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7B4" w14:textId="1CFE15B5" w:rsidR="00D1286B" w:rsidRPr="005916BF" w:rsidRDefault="00A24267" w:rsidP="005916BF">
      <w:pPr>
        <w:pStyle w:val="Heading1"/>
      </w:pPr>
      <w:r w:rsidRPr="005916BF">
        <w:t>CALIFORNIA-SPECIFIC REGULATORY REQUIREMENTS APPLICATION ADDENDUM (PART C)</w:t>
      </w:r>
    </w:p>
    <w:p w14:paraId="62214FE9" w14:textId="7E55FB1E" w:rsidR="00D1286B" w:rsidRPr="005916BF" w:rsidRDefault="00D1286B" w:rsidP="005916BF">
      <w:pPr>
        <w:pStyle w:val="Heading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916BF">
        <w:rPr>
          <w:rFonts w:ascii="Arial" w:hAnsi="Arial" w:cs="Arial"/>
          <w:b/>
          <w:bCs/>
          <w:color w:val="auto"/>
          <w:sz w:val="28"/>
          <w:szCs w:val="28"/>
        </w:rPr>
        <w:t>Environmental Laboratory Accreditation Program</w:t>
      </w:r>
    </w:p>
    <w:p w14:paraId="33039096" w14:textId="1B664B6F" w:rsidR="00D1286B" w:rsidRPr="00D1286B" w:rsidRDefault="00D1286B" w:rsidP="00EF4491">
      <w:pPr>
        <w:spacing w:before="160"/>
        <w:rPr>
          <w:rFonts w:cs="Arial"/>
          <w:iCs/>
          <w:szCs w:val="24"/>
        </w:rPr>
      </w:pPr>
      <w:r w:rsidRPr="00D1286B">
        <w:rPr>
          <w:rFonts w:cs="Arial"/>
          <w:iCs/>
          <w:szCs w:val="24"/>
        </w:rPr>
        <w:t xml:space="preserve">This </w:t>
      </w:r>
      <w:r w:rsidR="00A24267">
        <w:rPr>
          <w:rFonts w:cs="Arial"/>
          <w:iCs/>
          <w:szCs w:val="24"/>
        </w:rPr>
        <w:t>application addendum</w:t>
      </w:r>
      <w:r w:rsidRPr="00D1286B">
        <w:rPr>
          <w:rFonts w:cs="Arial"/>
          <w:iCs/>
          <w:szCs w:val="24"/>
        </w:rPr>
        <w:t xml:space="preserve"> is </w:t>
      </w:r>
      <w:r w:rsidRPr="00D1286B">
        <w:rPr>
          <w:rFonts w:cs="Arial"/>
          <w:b/>
          <w:bCs/>
          <w:i/>
          <w:szCs w:val="24"/>
        </w:rPr>
        <w:t>for use by laboratories geographically located outside of California</w:t>
      </w:r>
      <w:r w:rsidRPr="00D1286B">
        <w:rPr>
          <w:rFonts w:cs="Arial"/>
          <w:iCs/>
          <w:szCs w:val="24"/>
        </w:rPr>
        <w:t xml:space="preserve"> seeking accreditation by reciprocity under the California Environmental Laboratory Accreditation Act (Chapter 4 commencing with Section 100825, Part 1, Division 101, of the California Health &amp; Safety Code). </w:t>
      </w:r>
      <w:r w:rsidR="00A24267">
        <w:rPr>
          <w:rFonts w:cs="Arial"/>
          <w:iCs/>
          <w:szCs w:val="24"/>
        </w:rPr>
        <w:t>This addendum must be completed for PART C of the Application for Reciprocity Accreditation.</w:t>
      </w:r>
    </w:p>
    <w:p w14:paraId="4B312EDA" w14:textId="2C756C67" w:rsidR="00D1286B" w:rsidRDefault="00A24267" w:rsidP="00EF4491">
      <w:pPr>
        <w:spacing w:after="240"/>
      </w:pPr>
      <w:r w:rsidRPr="00A24267">
        <w:rPr>
          <w:b/>
          <w:bCs/>
          <w:u w:val="single"/>
        </w:rPr>
        <w:t>Directions</w:t>
      </w:r>
      <w:r>
        <w:t xml:space="preserve">: Fill in the column “SOP or QM </w:t>
      </w:r>
      <w:r w:rsidRPr="00E90F0C">
        <w:rPr>
          <w:rFonts w:cs="Arial"/>
          <w:szCs w:val="24"/>
        </w:rPr>
        <w:t>§</w:t>
      </w:r>
      <w:r>
        <w:rPr>
          <w:rFonts w:cs="Arial"/>
          <w:szCs w:val="24"/>
        </w:rPr>
        <w:t>” with the location in the laboratory’s quality system documents that each</w:t>
      </w:r>
      <w:r>
        <w:t xml:space="preserve"> requirement can be found. </w:t>
      </w:r>
      <w:r w:rsidR="00E02240" w:rsidRPr="006D7E17">
        <w:rPr>
          <w:b/>
          <w:bCs/>
        </w:rPr>
        <w:t xml:space="preserve">Sections </w:t>
      </w:r>
      <w:r w:rsidR="002228F5" w:rsidRPr="006D7E17">
        <w:rPr>
          <w:b/>
          <w:bCs/>
        </w:rPr>
        <w:t>may not be left blank</w:t>
      </w:r>
      <w:r w:rsidR="00E02240">
        <w:t xml:space="preserve"> and must be filled in with either a reference to the SOP or quality manual section or N/A for requirements that do not apply to th</w:t>
      </w:r>
      <w:r w:rsidR="00E84EBB">
        <w:t>e</w:t>
      </w:r>
      <w:r w:rsidR="00E02240">
        <w:t xml:space="preserve"> application.</w:t>
      </w:r>
    </w:p>
    <w:p w14:paraId="3227DBF3" w14:textId="141D185B" w:rsidR="00741E1A" w:rsidRPr="00EC630B" w:rsidRDefault="002228F5" w:rsidP="00EC630B">
      <w:pPr>
        <w:pStyle w:val="Heading3"/>
      </w:pPr>
      <w:r w:rsidRPr="00EC630B">
        <w:t>Subp</w:t>
      </w:r>
      <w:r w:rsidR="00E02240" w:rsidRPr="00EC630B">
        <w:t xml:space="preserve">art 1: </w:t>
      </w:r>
      <w:r w:rsidR="00741E1A" w:rsidRPr="00EC630B">
        <w:t xml:space="preserve">All laboratories </w:t>
      </w:r>
      <w:r w:rsidR="00E02240" w:rsidRPr="00EC630B">
        <w:t xml:space="preserve">MUST </w:t>
      </w:r>
      <w:r w:rsidR="00741E1A" w:rsidRPr="00EC630B">
        <w:t>complete the following table.</w:t>
      </w:r>
    </w:p>
    <w:tbl>
      <w:tblPr>
        <w:tblStyle w:val="GridTable1Light-Accent3"/>
        <w:tblW w:w="9445" w:type="dxa"/>
        <w:tblLayout w:type="fixed"/>
        <w:tblLook w:val="0620" w:firstRow="1" w:lastRow="0" w:firstColumn="0" w:lastColumn="0" w:noHBand="1" w:noVBand="1"/>
      </w:tblPr>
      <w:tblGrid>
        <w:gridCol w:w="1435"/>
        <w:gridCol w:w="6030"/>
        <w:gridCol w:w="1980"/>
      </w:tblGrid>
      <w:tr w:rsidR="00741E1A" w:rsidRPr="00744A39" w14:paraId="342DEF12" w14:textId="24E0A4F5" w:rsidTr="00EF4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"/>
        </w:trPr>
        <w:tc>
          <w:tcPr>
            <w:tcW w:w="1435" w:type="dxa"/>
            <w:shd w:val="clear" w:color="auto" w:fill="D9E2F3" w:themeFill="accent1" w:themeFillTint="33"/>
          </w:tcPr>
          <w:p w14:paraId="30FB2513" w14:textId="77777777" w:rsidR="00741E1A" w:rsidRPr="00744A39" w:rsidRDefault="00741E1A" w:rsidP="00741E1A">
            <w:pPr>
              <w:rPr>
                <w:rFonts w:cs="Arial"/>
                <w:b w:val="0"/>
                <w:bCs w:val="0"/>
                <w:color w:val="222A35" w:themeColor="text2" w:themeShade="80"/>
                <w:szCs w:val="24"/>
              </w:rPr>
            </w:pPr>
            <w:r w:rsidRPr="00744A39">
              <w:rPr>
                <w:rFonts w:cs="Arial"/>
                <w:color w:val="222A35" w:themeColor="text2" w:themeShade="80"/>
                <w:szCs w:val="24"/>
              </w:rPr>
              <w:t>§ 64814.00</w:t>
            </w:r>
          </w:p>
        </w:tc>
        <w:tc>
          <w:tcPr>
            <w:tcW w:w="6030" w:type="dxa"/>
            <w:shd w:val="clear" w:color="auto" w:fill="D9E2F3" w:themeFill="accent1" w:themeFillTint="33"/>
          </w:tcPr>
          <w:p w14:paraId="3F7679F0" w14:textId="77777777" w:rsidR="00741E1A" w:rsidRPr="00744A39" w:rsidRDefault="00741E1A" w:rsidP="00741E1A">
            <w:pPr>
              <w:spacing w:line="256" w:lineRule="auto"/>
              <w:rPr>
                <w:rFonts w:cs="Arial"/>
                <w:b w:val="0"/>
                <w:bCs w:val="0"/>
                <w:color w:val="222A35" w:themeColor="text2" w:themeShade="80"/>
                <w:szCs w:val="24"/>
              </w:rPr>
            </w:pPr>
            <w:r w:rsidRPr="00744A39">
              <w:rPr>
                <w:rFonts w:cs="Arial"/>
                <w:color w:val="222A35" w:themeColor="text2" w:themeShade="80"/>
                <w:szCs w:val="24"/>
              </w:rPr>
              <w:t>Notification and Reporting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592512C9" w14:textId="2BF1C9E5" w:rsidR="00741E1A" w:rsidRPr="00744A39" w:rsidRDefault="00741E1A" w:rsidP="00741E1A">
            <w:pPr>
              <w:spacing w:line="256" w:lineRule="auto"/>
              <w:rPr>
                <w:rFonts w:cs="Arial"/>
                <w:b w:val="0"/>
                <w:bCs w:val="0"/>
                <w:color w:val="222A35" w:themeColor="text2" w:themeShade="80"/>
                <w:szCs w:val="24"/>
              </w:rPr>
            </w:pPr>
            <w:r w:rsidRPr="00E90F0C">
              <w:rPr>
                <w:rFonts w:cs="Arial"/>
                <w:szCs w:val="24"/>
              </w:rPr>
              <w:t>SOP or</w:t>
            </w:r>
            <w:r>
              <w:rPr>
                <w:rFonts w:cs="Arial"/>
                <w:szCs w:val="24"/>
              </w:rPr>
              <w:t xml:space="preserve"> </w:t>
            </w:r>
            <w:r w:rsidRPr="00E90F0C">
              <w:rPr>
                <w:rFonts w:cs="Arial"/>
                <w:szCs w:val="24"/>
              </w:rPr>
              <w:t>QM §</w:t>
            </w:r>
          </w:p>
        </w:tc>
      </w:tr>
      <w:tr w:rsidR="00741E1A" w:rsidRPr="00FC3772" w14:paraId="109639CA" w14:textId="7E4E834E" w:rsidTr="00EF4491">
        <w:trPr>
          <w:cantSplit/>
          <w:trHeight w:val="457"/>
        </w:trPr>
        <w:tc>
          <w:tcPr>
            <w:tcW w:w="1435" w:type="dxa"/>
          </w:tcPr>
          <w:p w14:paraId="61394560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(a)</w:t>
            </w:r>
          </w:p>
        </w:tc>
        <w:tc>
          <w:tcPr>
            <w:tcW w:w="6030" w:type="dxa"/>
          </w:tcPr>
          <w:p w14:paraId="1C3884FA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Does the laboratory document any additional State Regulatory Agencies or federal agencies reporting requirements?</w:t>
            </w:r>
          </w:p>
        </w:tc>
        <w:tc>
          <w:tcPr>
            <w:tcW w:w="1980" w:type="dxa"/>
          </w:tcPr>
          <w:p w14:paraId="251042D2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</w:p>
        </w:tc>
      </w:tr>
      <w:tr w:rsidR="00741E1A" w:rsidRPr="00FC3772" w14:paraId="6E957A45" w14:textId="7BE032F3" w:rsidTr="00EF4491">
        <w:trPr>
          <w:cantSplit/>
          <w:trHeight w:val="457"/>
        </w:trPr>
        <w:tc>
          <w:tcPr>
            <w:tcW w:w="1435" w:type="dxa"/>
          </w:tcPr>
          <w:p w14:paraId="6E33A264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(b)</w:t>
            </w:r>
          </w:p>
        </w:tc>
        <w:tc>
          <w:tcPr>
            <w:tcW w:w="6030" w:type="dxa"/>
          </w:tcPr>
          <w:p w14:paraId="1ED2316A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 xml:space="preserve">Does the Quality Manual, or referenced document, identify that </w:t>
            </w:r>
            <w:r>
              <w:rPr>
                <w:rFonts w:cs="Arial"/>
                <w:szCs w:val="24"/>
              </w:rPr>
              <w:t>i</w:t>
            </w:r>
            <w:r w:rsidRPr="00FC3772">
              <w:rPr>
                <w:rFonts w:cs="Arial"/>
                <w:szCs w:val="24"/>
              </w:rPr>
              <w:t>f an analytical result warrants a client notification, then the notification shall occur after the Technical Manager</w:t>
            </w:r>
            <w:r>
              <w:rPr>
                <w:rFonts w:cs="Arial"/>
                <w:szCs w:val="24"/>
              </w:rPr>
              <w:t>,</w:t>
            </w:r>
            <w:r w:rsidRPr="00FC3772">
              <w:rPr>
                <w:rFonts w:cs="Arial"/>
                <w:szCs w:val="24"/>
              </w:rPr>
              <w:t xml:space="preserve"> or designee, has approved of the result?</w:t>
            </w:r>
          </w:p>
        </w:tc>
        <w:tc>
          <w:tcPr>
            <w:tcW w:w="1980" w:type="dxa"/>
          </w:tcPr>
          <w:p w14:paraId="630F8B1D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</w:p>
        </w:tc>
      </w:tr>
      <w:tr w:rsidR="00741E1A" w:rsidRPr="00FC3772" w14:paraId="1BB2840D" w14:textId="6658B4AB" w:rsidTr="00EF4491">
        <w:trPr>
          <w:cantSplit/>
          <w:trHeight w:val="457"/>
        </w:trPr>
        <w:tc>
          <w:tcPr>
            <w:tcW w:w="1435" w:type="dxa"/>
          </w:tcPr>
          <w:p w14:paraId="7780A316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(h)(</w:t>
            </w:r>
            <w:r>
              <w:rPr>
                <w:rFonts w:cs="Arial"/>
                <w:szCs w:val="24"/>
              </w:rPr>
              <w:t>1</w:t>
            </w:r>
            <w:r w:rsidRPr="00FC3772">
              <w:rPr>
                <w:rFonts w:cs="Arial"/>
                <w:szCs w:val="24"/>
              </w:rPr>
              <w:t>)</w:t>
            </w:r>
          </w:p>
        </w:tc>
        <w:tc>
          <w:tcPr>
            <w:tcW w:w="6030" w:type="dxa"/>
          </w:tcPr>
          <w:p w14:paraId="409F94F3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Does the laboratory report to its clients </w:t>
            </w:r>
            <w:r>
              <w:rPr>
                <w:rFonts w:cs="Arial"/>
              </w:rPr>
              <w:t xml:space="preserve">in accordance with 2016 TNI V1M2 </w:t>
            </w:r>
            <w:r w:rsidRPr="00FC3772">
              <w:rPr>
                <w:rFonts w:cs="Arial"/>
                <w:szCs w:val="24"/>
              </w:rPr>
              <w:t>§</w:t>
            </w:r>
            <w:r>
              <w:rPr>
                <w:rFonts w:cs="Arial"/>
              </w:rPr>
              <w:t xml:space="preserve"> 5.10?</w:t>
            </w:r>
          </w:p>
        </w:tc>
        <w:tc>
          <w:tcPr>
            <w:tcW w:w="1980" w:type="dxa"/>
          </w:tcPr>
          <w:p w14:paraId="7417FBDB" w14:textId="77777777" w:rsidR="00741E1A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</w:p>
        </w:tc>
      </w:tr>
      <w:tr w:rsidR="00741E1A" w:rsidRPr="00FC3772" w14:paraId="1E3F4A71" w14:textId="5725E470" w:rsidTr="00EF4491">
        <w:trPr>
          <w:cantSplit/>
          <w:trHeight w:val="457"/>
        </w:trPr>
        <w:tc>
          <w:tcPr>
            <w:tcW w:w="1435" w:type="dxa"/>
          </w:tcPr>
          <w:p w14:paraId="2A80A60A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</w:t>
            </w:r>
            <w:r>
              <w:rPr>
                <w:rFonts w:cs="Arial"/>
                <w:szCs w:val="24"/>
              </w:rPr>
              <w:t>0</w:t>
            </w:r>
            <w:r w:rsidRPr="00FC3772">
              <w:rPr>
                <w:rFonts w:cs="Arial"/>
                <w:szCs w:val="24"/>
              </w:rPr>
              <w:t xml:space="preserve"> (n)(</w:t>
            </w:r>
            <w:r>
              <w:rPr>
                <w:rFonts w:cs="Arial"/>
                <w:szCs w:val="24"/>
              </w:rPr>
              <w:t>1</w:t>
            </w:r>
            <w:r w:rsidRPr="00FC3772">
              <w:rPr>
                <w:rFonts w:cs="Arial"/>
                <w:szCs w:val="24"/>
              </w:rPr>
              <w:t>)</w:t>
            </w:r>
          </w:p>
        </w:tc>
        <w:tc>
          <w:tcPr>
            <w:tcW w:w="6030" w:type="dxa"/>
          </w:tcPr>
          <w:p w14:paraId="4127A0A4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Does the laboratory’s record system comply with </w:t>
            </w:r>
            <w:r>
              <w:rPr>
                <w:rFonts w:cs="Arial"/>
              </w:rPr>
              <w:t xml:space="preserve">2016 TNI V1M2 </w:t>
            </w:r>
            <w:r w:rsidRPr="00FC3772">
              <w:rPr>
                <w:rFonts w:cs="Arial"/>
                <w:szCs w:val="24"/>
              </w:rPr>
              <w:t>§</w:t>
            </w:r>
            <w:r>
              <w:rPr>
                <w:rFonts w:cs="Arial"/>
              </w:rPr>
              <w:t xml:space="preserve"> 4.13?</w:t>
            </w:r>
          </w:p>
        </w:tc>
        <w:tc>
          <w:tcPr>
            <w:tcW w:w="1980" w:type="dxa"/>
          </w:tcPr>
          <w:p w14:paraId="63B97B78" w14:textId="77777777" w:rsidR="00741E1A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</w:p>
        </w:tc>
      </w:tr>
      <w:tr w:rsidR="00266FA8" w:rsidRPr="00FC3772" w14:paraId="1497DEDF" w14:textId="77777777" w:rsidTr="00EF4491">
        <w:trPr>
          <w:cantSplit/>
          <w:trHeight w:val="457"/>
        </w:trPr>
        <w:tc>
          <w:tcPr>
            <w:tcW w:w="1435" w:type="dxa"/>
          </w:tcPr>
          <w:p w14:paraId="1FFED33B" w14:textId="3DE07EBA" w:rsidR="00266FA8" w:rsidRPr="00FC3772" w:rsidRDefault="00266FA8" w:rsidP="00741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§ 64808.10 (g)</w:t>
            </w:r>
          </w:p>
        </w:tc>
        <w:tc>
          <w:tcPr>
            <w:tcW w:w="6030" w:type="dxa"/>
          </w:tcPr>
          <w:p w14:paraId="319997A0" w14:textId="77777777" w:rsidR="00266FA8" w:rsidRDefault="00266FA8" w:rsidP="00741E1A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the laboratory is notified of Suspension or Revocation of its Primary Accreditation Body’s certificate, the laboratory shall:</w:t>
            </w:r>
          </w:p>
          <w:p w14:paraId="3F562BC1" w14:textId="77777777" w:rsidR="00266FA8" w:rsidRDefault="00266FA8">
            <w:pPr>
              <w:spacing w:line="256" w:lineRule="auto"/>
              <w:rPr>
                <w:rFonts w:cs="Arial"/>
                <w:szCs w:val="24"/>
              </w:rPr>
            </w:pPr>
            <w:r w:rsidRPr="00266FA8">
              <w:rPr>
                <w:rFonts w:cs="Arial"/>
                <w:szCs w:val="24"/>
              </w:rPr>
              <w:t>(1) Cease all reporting of results for Regulatory Purposes; and</w:t>
            </w:r>
            <w:r w:rsidR="00835028">
              <w:rPr>
                <w:rFonts w:cs="Arial"/>
                <w:szCs w:val="24"/>
              </w:rPr>
              <w:t xml:space="preserve"> </w:t>
            </w:r>
            <w:r w:rsidRPr="00266FA8">
              <w:rPr>
                <w:rFonts w:cs="Arial"/>
                <w:szCs w:val="24"/>
              </w:rPr>
              <w:t>(2) Notify ELAP within ten (10) days of the notification of Suspension or Revocation.</w:t>
            </w:r>
          </w:p>
          <w:p w14:paraId="0DFA3D87" w14:textId="67D960FB" w:rsidR="00834EBB" w:rsidRPr="00834EBB" w:rsidRDefault="00834EBB" w:rsidP="00834EBB">
            <w:pPr>
              <w:tabs>
                <w:tab w:val="left" w:pos="401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  <w:tc>
          <w:tcPr>
            <w:tcW w:w="1980" w:type="dxa"/>
          </w:tcPr>
          <w:p w14:paraId="54171545" w14:textId="77777777" w:rsidR="00266FA8" w:rsidRDefault="00266FA8" w:rsidP="00741E1A">
            <w:pPr>
              <w:spacing w:line="256" w:lineRule="auto"/>
              <w:rPr>
                <w:rFonts w:cs="Arial"/>
                <w:szCs w:val="24"/>
              </w:rPr>
            </w:pPr>
          </w:p>
        </w:tc>
      </w:tr>
    </w:tbl>
    <w:p w14:paraId="3430DA6B" w14:textId="08D89D06" w:rsidR="00741E1A" w:rsidRPr="00741E1A" w:rsidRDefault="002228F5" w:rsidP="00EC630B">
      <w:pPr>
        <w:pStyle w:val="Heading3"/>
      </w:pPr>
      <w:r>
        <w:lastRenderedPageBreak/>
        <w:t>Subp</w:t>
      </w:r>
      <w:r w:rsidR="00E02240">
        <w:t xml:space="preserve">art 2: </w:t>
      </w:r>
      <w:r w:rsidR="00741E1A" w:rsidRPr="00741E1A">
        <w:t>Laboratories Applying for Drinking Water Fields of Accreditation (</w:t>
      </w:r>
      <w:r w:rsidR="00E02240">
        <w:t xml:space="preserve">Requesting Any </w:t>
      </w:r>
      <w:r w:rsidR="00741E1A" w:rsidRPr="00741E1A">
        <w:t>FOA</w:t>
      </w:r>
      <w:r w:rsidR="00E02240">
        <w:t xml:space="preserve"> in Tables</w:t>
      </w:r>
      <w:r w:rsidR="00741E1A" w:rsidRPr="00741E1A">
        <w:t xml:space="preserve"> 101, 102, 103, 104, 105, 106, and/or 129)</w:t>
      </w:r>
      <w:r w:rsidR="00741E1A">
        <w:t xml:space="preserve">, must </w:t>
      </w:r>
      <w:r w:rsidR="00E02240">
        <w:t>fill in</w:t>
      </w:r>
      <w:r w:rsidR="00741E1A">
        <w:t xml:space="preserve"> the following table.</w:t>
      </w:r>
    </w:p>
    <w:tbl>
      <w:tblPr>
        <w:tblStyle w:val="GridTable1Light-Accent3"/>
        <w:tblW w:w="9445" w:type="dxa"/>
        <w:tblLayout w:type="fixed"/>
        <w:tblLook w:val="0620" w:firstRow="1" w:lastRow="0" w:firstColumn="0" w:lastColumn="0" w:noHBand="1" w:noVBand="1"/>
      </w:tblPr>
      <w:tblGrid>
        <w:gridCol w:w="1435"/>
        <w:gridCol w:w="6300"/>
        <w:gridCol w:w="1710"/>
      </w:tblGrid>
      <w:tr w:rsidR="00741E1A" w:rsidRPr="00B73C22" w14:paraId="1181B5C2" w14:textId="75ABDE7F" w:rsidTr="0074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0"/>
          <w:tblHeader/>
        </w:trPr>
        <w:tc>
          <w:tcPr>
            <w:tcW w:w="1435" w:type="dxa"/>
            <w:shd w:val="clear" w:color="auto" w:fill="D9E2F3" w:themeFill="accent1" w:themeFillTint="33"/>
            <w:hideMark/>
          </w:tcPr>
          <w:p w14:paraId="633F4FD7" w14:textId="77777777" w:rsidR="00741E1A" w:rsidRPr="00B73C22" w:rsidRDefault="00741E1A" w:rsidP="00741E1A">
            <w:pPr>
              <w:rPr>
                <w:rFonts w:cs="Arial"/>
                <w:szCs w:val="24"/>
              </w:rPr>
            </w:pPr>
            <w:r w:rsidRPr="00B73C22">
              <w:rPr>
                <w:rFonts w:cs="Arial"/>
                <w:szCs w:val="24"/>
              </w:rPr>
              <w:t>Reference</w:t>
            </w:r>
          </w:p>
        </w:tc>
        <w:tc>
          <w:tcPr>
            <w:tcW w:w="6300" w:type="dxa"/>
            <w:shd w:val="clear" w:color="auto" w:fill="D9E2F3" w:themeFill="accent1" w:themeFillTint="33"/>
            <w:hideMark/>
          </w:tcPr>
          <w:p w14:paraId="46F30B7B" w14:textId="36E6FA63" w:rsidR="00741E1A" w:rsidRPr="00B73C22" w:rsidRDefault="00741E1A" w:rsidP="00741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California Drinking Water Specific Requirement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28AB2A77" w14:textId="46CFF8B6" w:rsidR="00741E1A" w:rsidRPr="00741E1A" w:rsidRDefault="00741E1A" w:rsidP="00741E1A">
            <w:pPr>
              <w:rPr>
                <w:rFonts w:cs="Arial"/>
                <w:szCs w:val="24"/>
              </w:rPr>
            </w:pPr>
            <w:r w:rsidRPr="00741E1A">
              <w:rPr>
                <w:rFonts w:cs="Arial"/>
                <w:szCs w:val="24"/>
              </w:rPr>
              <w:t>SOP or QM §</w:t>
            </w:r>
          </w:p>
        </w:tc>
      </w:tr>
      <w:tr w:rsidR="00741E1A" w:rsidRPr="00FC3772" w14:paraId="40C8D935" w14:textId="2056AAD5" w:rsidTr="00741E1A">
        <w:trPr>
          <w:cantSplit/>
          <w:trHeight w:val="548"/>
        </w:trPr>
        <w:tc>
          <w:tcPr>
            <w:tcW w:w="1435" w:type="dxa"/>
            <w:shd w:val="clear" w:color="auto" w:fill="auto"/>
          </w:tcPr>
          <w:p w14:paraId="5C57B42E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(j)</w:t>
            </w:r>
          </w:p>
        </w:tc>
        <w:tc>
          <w:tcPr>
            <w:tcW w:w="6300" w:type="dxa"/>
            <w:shd w:val="clear" w:color="auto" w:fill="auto"/>
          </w:tcPr>
          <w:p w14:paraId="6D7E7EAB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 xml:space="preserve">For laboratories testing for bacteria in drinking water, does the laboratory report the results consistent with </w:t>
            </w:r>
            <w:r>
              <w:rPr>
                <w:rFonts w:cs="Arial"/>
                <w:szCs w:val="24"/>
              </w:rPr>
              <w:t>DDW</w:t>
            </w:r>
            <w:r w:rsidRPr="00FC3772">
              <w:rPr>
                <w:rFonts w:cs="Arial"/>
                <w:szCs w:val="24"/>
              </w:rPr>
              <w:t xml:space="preserve"> requirements? [ref. 22 CCR § 64423.1(c)(2) &amp; (c)(3)]</w:t>
            </w:r>
          </w:p>
        </w:tc>
        <w:tc>
          <w:tcPr>
            <w:tcW w:w="1710" w:type="dxa"/>
          </w:tcPr>
          <w:p w14:paraId="24981C98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0FC87E8D" w14:textId="5469696C" w:rsidTr="00741E1A">
        <w:trPr>
          <w:cantSplit/>
          <w:trHeight w:val="548"/>
        </w:trPr>
        <w:tc>
          <w:tcPr>
            <w:tcW w:w="1435" w:type="dxa"/>
            <w:shd w:val="clear" w:color="auto" w:fill="auto"/>
          </w:tcPr>
          <w:p w14:paraId="7441AAE1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(k)</w:t>
            </w:r>
          </w:p>
        </w:tc>
        <w:tc>
          <w:tcPr>
            <w:tcW w:w="6300" w:type="dxa"/>
            <w:shd w:val="clear" w:color="auto" w:fill="auto"/>
          </w:tcPr>
          <w:p w14:paraId="02108821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 xml:space="preserve">For laboratories performing chemical, radiological and microbiological analyses on drinking water samples, does the laboratory report the results consistent with the </w:t>
            </w:r>
            <w:r>
              <w:rPr>
                <w:rFonts w:cs="Arial"/>
                <w:szCs w:val="24"/>
              </w:rPr>
              <w:t>DDW</w:t>
            </w:r>
            <w:r w:rsidRPr="00FC3772">
              <w:rPr>
                <w:rFonts w:cs="Arial"/>
                <w:szCs w:val="24"/>
              </w:rPr>
              <w:t xml:space="preserve"> requirements? [ref. 22 CCR § 64814.00(k)(1) &amp; (2)]</w:t>
            </w:r>
          </w:p>
        </w:tc>
        <w:tc>
          <w:tcPr>
            <w:tcW w:w="1710" w:type="dxa"/>
          </w:tcPr>
          <w:p w14:paraId="29CA6F1C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64B4527A" w14:textId="340F4284" w:rsidTr="00741E1A">
        <w:trPr>
          <w:cantSplit/>
          <w:trHeight w:val="548"/>
        </w:trPr>
        <w:tc>
          <w:tcPr>
            <w:tcW w:w="1435" w:type="dxa"/>
            <w:shd w:val="clear" w:color="auto" w:fill="auto"/>
          </w:tcPr>
          <w:p w14:paraId="19ABA50B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</w:t>
            </w:r>
            <w:r w:rsidRPr="00FC3772">
              <w:rPr>
                <w:rFonts w:cs="Arial"/>
                <w:i/>
                <w:iCs/>
                <w:szCs w:val="24"/>
              </w:rPr>
              <w:t>l</w:t>
            </w:r>
            <w:r w:rsidRPr="00FC3772">
              <w:rPr>
                <w:rFonts w:cs="Arial"/>
                <w:szCs w:val="24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0B493F55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 xml:space="preserve">Are drinking water results provided to the </w:t>
            </w:r>
            <w:r>
              <w:rPr>
                <w:rFonts w:cs="Arial"/>
                <w:szCs w:val="24"/>
              </w:rPr>
              <w:t>DDW</w:t>
            </w:r>
            <w:r w:rsidRPr="00FC3772">
              <w:rPr>
                <w:rFonts w:cs="Arial"/>
                <w:szCs w:val="24"/>
              </w:rPr>
              <w:t xml:space="preserve"> before the 10</w:t>
            </w:r>
            <w:r w:rsidRPr="00FC3772">
              <w:rPr>
                <w:rFonts w:cs="Arial"/>
                <w:szCs w:val="24"/>
                <w:vertAlign w:val="superscript"/>
              </w:rPr>
              <w:t>th</w:t>
            </w:r>
            <w:r w:rsidRPr="00FC3772">
              <w:rPr>
                <w:rFonts w:cs="Arial"/>
                <w:szCs w:val="24"/>
              </w:rPr>
              <w:t xml:space="preserve"> of the month after completion of analysis?</w:t>
            </w:r>
          </w:p>
        </w:tc>
        <w:tc>
          <w:tcPr>
            <w:tcW w:w="1710" w:type="dxa"/>
          </w:tcPr>
          <w:p w14:paraId="0B415AE8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4D9D8992" w14:textId="2D5626CD" w:rsidTr="00741E1A">
        <w:trPr>
          <w:cantSplit/>
          <w:trHeight w:val="548"/>
        </w:trPr>
        <w:tc>
          <w:tcPr>
            <w:tcW w:w="1435" w:type="dxa"/>
          </w:tcPr>
          <w:p w14:paraId="74CCF73F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(c)</w:t>
            </w:r>
          </w:p>
        </w:tc>
        <w:tc>
          <w:tcPr>
            <w:tcW w:w="6300" w:type="dxa"/>
          </w:tcPr>
          <w:p w14:paraId="15607609" w14:textId="77777777" w:rsidR="00741E1A" w:rsidRPr="00B445E9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B445E9">
              <w:rPr>
                <w:rFonts w:cs="Arial"/>
                <w:szCs w:val="24"/>
              </w:rPr>
              <w:t>Does the Quality Manual, or referenced document, detail procedures when client notification is required?</w:t>
            </w:r>
          </w:p>
        </w:tc>
        <w:tc>
          <w:tcPr>
            <w:tcW w:w="1710" w:type="dxa"/>
          </w:tcPr>
          <w:p w14:paraId="422D10A6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2D9E0987" w14:textId="7DBAF532" w:rsidTr="00741E1A">
        <w:trPr>
          <w:cantSplit/>
          <w:trHeight w:val="580"/>
        </w:trPr>
        <w:tc>
          <w:tcPr>
            <w:tcW w:w="1435" w:type="dxa"/>
          </w:tcPr>
          <w:p w14:paraId="2FB37F81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(c)(1)(A)</w:t>
            </w:r>
          </w:p>
        </w:tc>
        <w:tc>
          <w:tcPr>
            <w:tcW w:w="6300" w:type="dxa"/>
            <w:hideMark/>
          </w:tcPr>
          <w:p w14:paraId="75AC0014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clients notified in 24 hours when the</w:t>
            </w:r>
            <w:r w:rsidRPr="00FC3772">
              <w:rPr>
                <w:rFonts w:cs="Arial"/>
                <w:szCs w:val="24"/>
              </w:rPr>
              <w:t xml:space="preserve"> presence of total </w:t>
            </w:r>
            <w:r>
              <w:rPr>
                <w:rFonts w:cs="Arial"/>
                <w:szCs w:val="24"/>
              </w:rPr>
              <w:t>or</w:t>
            </w:r>
            <w:r w:rsidRPr="00FC3772">
              <w:rPr>
                <w:rFonts w:cs="Arial"/>
                <w:szCs w:val="24"/>
              </w:rPr>
              <w:t xml:space="preserve"> fecal coliforms, or </w:t>
            </w:r>
            <w:r>
              <w:rPr>
                <w:rFonts w:cs="Arial"/>
                <w:szCs w:val="24"/>
              </w:rPr>
              <w:t>E. coli is confirmed?</w:t>
            </w:r>
          </w:p>
        </w:tc>
        <w:tc>
          <w:tcPr>
            <w:tcW w:w="1710" w:type="dxa"/>
          </w:tcPr>
          <w:p w14:paraId="3CD670A1" w14:textId="77777777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08964C3F" w14:textId="07FCF31A" w:rsidTr="00741E1A">
        <w:trPr>
          <w:cantSplit/>
          <w:trHeight w:val="580"/>
        </w:trPr>
        <w:tc>
          <w:tcPr>
            <w:tcW w:w="1435" w:type="dxa"/>
          </w:tcPr>
          <w:p w14:paraId="22E04341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(c)(1)(B)</w:t>
            </w:r>
          </w:p>
        </w:tc>
        <w:tc>
          <w:tcPr>
            <w:tcW w:w="6300" w:type="dxa"/>
            <w:hideMark/>
          </w:tcPr>
          <w:p w14:paraId="3CE40E57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clients notified in 24 hours when a</w:t>
            </w:r>
            <w:r w:rsidRPr="00FC3772">
              <w:rPr>
                <w:rFonts w:cs="Arial"/>
                <w:szCs w:val="24"/>
              </w:rPr>
              <w:t xml:space="preserve"> bacterial sample</w:t>
            </w:r>
            <w:r>
              <w:rPr>
                <w:rFonts w:cs="Arial"/>
                <w:szCs w:val="24"/>
              </w:rPr>
              <w:t xml:space="preserve"> cannot be reported and</w:t>
            </w:r>
            <w:r w:rsidRPr="00FC377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must be</w:t>
            </w:r>
            <w:r w:rsidRPr="00FC3772">
              <w:rPr>
                <w:rFonts w:cs="Arial"/>
                <w:szCs w:val="24"/>
              </w:rPr>
              <w:t xml:space="preserve"> invalidated due to </w:t>
            </w:r>
            <w:r w:rsidRPr="00FC3772">
              <w:rPr>
                <w:rFonts w:cs="Arial"/>
                <w:b/>
                <w:bCs/>
                <w:szCs w:val="24"/>
              </w:rPr>
              <w:t>interference</w:t>
            </w:r>
            <w:r>
              <w:rPr>
                <w:rFonts w:cs="Arial"/>
                <w:szCs w:val="24"/>
              </w:rPr>
              <w:t>?</w:t>
            </w:r>
            <w:r w:rsidRPr="00FC3772">
              <w:rPr>
                <w:rFonts w:cs="Arial"/>
                <w:szCs w:val="24"/>
              </w:rPr>
              <w:t xml:space="preserve"> [ref.</w:t>
            </w:r>
            <w:r>
              <w:rPr>
                <w:rFonts w:cs="Arial"/>
                <w:szCs w:val="24"/>
              </w:rPr>
              <w:t> </w:t>
            </w:r>
            <w:r w:rsidRPr="00FC3772">
              <w:rPr>
                <w:rFonts w:cs="Arial"/>
                <w:szCs w:val="24"/>
              </w:rPr>
              <w:t>22</w:t>
            </w:r>
            <w:r>
              <w:rPr>
                <w:rFonts w:cs="Arial"/>
                <w:szCs w:val="24"/>
              </w:rPr>
              <w:t> </w:t>
            </w:r>
            <w:r w:rsidRPr="00FC3772">
              <w:rPr>
                <w:rFonts w:cs="Arial"/>
                <w:szCs w:val="24"/>
              </w:rPr>
              <w:t>CCR</w:t>
            </w:r>
            <w:r>
              <w:rPr>
                <w:rFonts w:cs="Arial"/>
                <w:szCs w:val="24"/>
              </w:rPr>
              <w:t> </w:t>
            </w:r>
            <w:r w:rsidRPr="00FC3772">
              <w:rPr>
                <w:rFonts w:cs="Arial"/>
                <w:szCs w:val="24"/>
              </w:rPr>
              <w:t>§</w:t>
            </w:r>
            <w:r>
              <w:rPr>
                <w:rFonts w:cs="Arial"/>
                <w:szCs w:val="24"/>
              </w:rPr>
              <w:t> </w:t>
            </w:r>
            <w:r w:rsidRPr="00FC3772">
              <w:rPr>
                <w:rFonts w:cs="Arial"/>
                <w:szCs w:val="24"/>
              </w:rPr>
              <w:t>64425(b)]</w:t>
            </w:r>
          </w:p>
        </w:tc>
        <w:tc>
          <w:tcPr>
            <w:tcW w:w="1710" w:type="dxa"/>
          </w:tcPr>
          <w:p w14:paraId="1972ED09" w14:textId="77777777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098D7BBB" w14:textId="3B1C37A3" w:rsidTr="00741E1A">
        <w:trPr>
          <w:cantSplit/>
          <w:trHeight w:val="290"/>
        </w:trPr>
        <w:tc>
          <w:tcPr>
            <w:tcW w:w="1435" w:type="dxa"/>
          </w:tcPr>
          <w:p w14:paraId="08F7C490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(c)(1)(C)</w:t>
            </w:r>
          </w:p>
        </w:tc>
        <w:tc>
          <w:tcPr>
            <w:tcW w:w="6300" w:type="dxa"/>
            <w:hideMark/>
          </w:tcPr>
          <w:p w14:paraId="3F2968C5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clients notified in 24 hours when a</w:t>
            </w:r>
            <w:r w:rsidRPr="00FC3772">
              <w:rPr>
                <w:rFonts w:cs="Arial"/>
                <w:szCs w:val="24"/>
              </w:rPr>
              <w:t xml:space="preserve"> nitrate sample exceeds the </w:t>
            </w:r>
            <w:r>
              <w:rPr>
                <w:rFonts w:cs="Arial"/>
                <w:szCs w:val="24"/>
              </w:rPr>
              <w:t>MCL?</w:t>
            </w:r>
          </w:p>
        </w:tc>
        <w:tc>
          <w:tcPr>
            <w:tcW w:w="1710" w:type="dxa"/>
          </w:tcPr>
          <w:p w14:paraId="2E464AC8" w14:textId="77777777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B445E9" w14:paraId="5F6E1155" w14:textId="4578D52F" w:rsidTr="00741E1A">
        <w:trPr>
          <w:cantSplit/>
          <w:trHeight w:val="548"/>
        </w:trPr>
        <w:tc>
          <w:tcPr>
            <w:tcW w:w="1435" w:type="dxa"/>
          </w:tcPr>
          <w:p w14:paraId="13D07B98" w14:textId="77777777" w:rsidR="00741E1A" w:rsidRPr="00B445E9" w:rsidRDefault="00741E1A" w:rsidP="00741E1A">
            <w:pPr>
              <w:rPr>
                <w:rFonts w:cs="Arial"/>
                <w:szCs w:val="24"/>
              </w:rPr>
            </w:pPr>
            <w:r w:rsidRPr="00B445E9">
              <w:rPr>
                <w:rFonts w:cs="Arial"/>
                <w:szCs w:val="24"/>
              </w:rPr>
              <w:t>§ 64814.00 (c)(1)(D)</w:t>
            </w:r>
          </w:p>
        </w:tc>
        <w:tc>
          <w:tcPr>
            <w:tcW w:w="6300" w:type="dxa"/>
          </w:tcPr>
          <w:p w14:paraId="7B4CF052" w14:textId="77777777" w:rsidR="00741E1A" w:rsidRPr="00B445E9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B445E9">
              <w:rPr>
                <w:rFonts w:cs="Arial"/>
                <w:szCs w:val="24"/>
              </w:rPr>
              <w:t>Are clients notified in 24 hours when a chlorite sample result collected at the entry point of a water distribution system exceeds the MCL?</w:t>
            </w:r>
          </w:p>
        </w:tc>
        <w:tc>
          <w:tcPr>
            <w:tcW w:w="1710" w:type="dxa"/>
          </w:tcPr>
          <w:p w14:paraId="42AC94D4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3C5C1C1F" w14:textId="0F42AC20" w:rsidTr="00741E1A">
        <w:trPr>
          <w:cantSplit/>
          <w:trHeight w:val="548"/>
        </w:trPr>
        <w:tc>
          <w:tcPr>
            <w:tcW w:w="1435" w:type="dxa"/>
          </w:tcPr>
          <w:p w14:paraId="1C9BD2B5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(c)(2)(A)</w:t>
            </w:r>
          </w:p>
        </w:tc>
        <w:tc>
          <w:tcPr>
            <w:tcW w:w="6300" w:type="dxa"/>
          </w:tcPr>
          <w:p w14:paraId="10EACA7A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clients notified in 48 hours when a</w:t>
            </w:r>
            <w:r w:rsidRPr="00FC3772">
              <w:rPr>
                <w:rFonts w:cs="Arial"/>
                <w:szCs w:val="24"/>
              </w:rPr>
              <w:t xml:space="preserve"> perchlorate sample result exceeds the</w:t>
            </w:r>
            <w:r>
              <w:rPr>
                <w:rFonts w:cs="Arial"/>
                <w:szCs w:val="24"/>
              </w:rPr>
              <w:t xml:space="preserve"> MCL?</w:t>
            </w:r>
          </w:p>
        </w:tc>
        <w:tc>
          <w:tcPr>
            <w:tcW w:w="1710" w:type="dxa"/>
          </w:tcPr>
          <w:p w14:paraId="493C35FD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424A9527" w14:textId="134732DA" w:rsidTr="00741E1A">
        <w:trPr>
          <w:cantSplit/>
          <w:trHeight w:val="548"/>
        </w:trPr>
        <w:tc>
          <w:tcPr>
            <w:tcW w:w="1435" w:type="dxa"/>
          </w:tcPr>
          <w:p w14:paraId="34AFA2B6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(c)(2)(B)</w:t>
            </w:r>
          </w:p>
        </w:tc>
        <w:tc>
          <w:tcPr>
            <w:tcW w:w="6300" w:type="dxa"/>
          </w:tcPr>
          <w:p w14:paraId="50ABC288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clients notified in 48 hours when a</w:t>
            </w:r>
            <w:r w:rsidRPr="00FC3772">
              <w:rPr>
                <w:rFonts w:cs="Arial"/>
                <w:szCs w:val="24"/>
              </w:rPr>
              <w:t xml:space="preserve"> chlorine dioxide sample result exceeds the </w:t>
            </w:r>
            <w:r>
              <w:rPr>
                <w:rFonts w:cs="Arial"/>
                <w:szCs w:val="24"/>
              </w:rPr>
              <w:t>MRDL?</w:t>
            </w:r>
          </w:p>
        </w:tc>
        <w:tc>
          <w:tcPr>
            <w:tcW w:w="1710" w:type="dxa"/>
          </w:tcPr>
          <w:p w14:paraId="03D08CFA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5A5E76DB" w14:textId="374C2152" w:rsidTr="00741E1A">
        <w:trPr>
          <w:cantSplit/>
          <w:trHeight w:val="548"/>
        </w:trPr>
        <w:tc>
          <w:tcPr>
            <w:tcW w:w="1435" w:type="dxa"/>
          </w:tcPr>
          <w:p w14:paraId="4248C66B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(c)(2)(C)</w:t>
            </w:r>
          </w:p>
        </w:tc>
        <w:tc>
          <w:tcPr>
            <w:tcW w:w="6300" w:type="dxa"/>
          </w:tcPr>
          <w:p w14:paraId="3F1335D0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clients notified in 48 hours when a</w:t>
            </w:r>
            <w:r w:rsidRPr="00FC3772">
              <w:rPr>
                <w:rFonts w:cs="Arial"/>
                <w:szCs w:val="24"/>
              </w:rPr>
              <w:t xml:space="preserve"> chlorite sample result exceeds the </w:t>
            </w:r>
            <w:r>
              <w:rPr>
                <w:rFonts w:cs="Arial"/>
                <w:szCs w:val="24"/>
              </w:rPr>
              <w:t>MCL?</w:t>
            </w:r>
          </w:p>
        </w:tc>
        <w:tc>
          <w:tcPr>
            <w:tcW w:w="1710" w:type="dxa"/>
          </w:tcPr>
          <w:p w14:paraId="5A3F90EA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65A721ED" w14:textId="6C597522" w:rsidTr="00741E1A">
        <w:trPr>
          <w:cantSplit/>
          <w:trHeight w:val="548"/>
        </w:trPr>
        <w:tc>
          <w:tcPr>
            <w:tcW w:w="1435" w:type="dxa"/>
          </w:tcPr>
          <w:p w14:paraId="75029D8D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</w:t>
            </w:r>
            <w:r>
              <w:rPr>
                <w:rFonts w:cs="Arial"/>
                <w:szCs w:val="24"/>
              </w:rPr>
              <w:t>d</w:t>
            </w:r>
            <w:r w:rsidRPr="00FC3772">
              <w:rPr>
                <w:rFonts w:cs="Arial"/>
                <w:szCs w:val="24"/>
              </w:rPr>
              <w:t>)</w:t>
            </w:r>
          </w:p>
        </w:tc>
        <w:tc>
          <w:tcPr>
            <w:tcW w:w="6300" w:type="dxa"/>
          </w:tcPr>
          <w:p w14:paraId="755A009F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 xml:space="preserve">Does the Quality Manual, or referenced document, detail procedures </w:t>
            </w:r>
            <w:r>
              <w:rPr>
                <w:rFonts w:cs="Arial"/>
                <w:szCs w:val="24"/>
              </w:rPr>
              <w:t xml:space="preserve">to contact the DDW </w:t>
            </w:r>
            <w:r w:rsidRPr="00FC3772">
              <w:rPr>
                <w:rFonts w:cs="Arial"/>
                <w:szCs w:val="24"/>
              </w:rPr>
              <w:t>when client</w:t>
            </w:r>
            <w:r>
              <w:rPr>
                <w:rFonts w:cs="Arial"/>
                <w:szCs w:val="24"/>
              </w:rPr>
              <w:t>s</w:t>
            </w:r>
            <w:r w:rsidRPr="00FC377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cannot be contacted directly within the required timeframes?</w:t>
            </w:r>
          </w:p>
        </w:tc>
        <w:tc>
          <w:tcPr>
            <w:tcW w:w="1710" w:type="dxa"/>
          </w:tcPr>
          <w:p w14:paraId="55C237E0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5DFBB89C" w14:textId="05C95208" w:rsidTr="00741E1A">
        <w:trPr>
          <w:cantSplit/>
          <w:trHeight w:val="548"/>
        </w:trPr>
        <w:tc>
          <w:tcPr>
            <w:tcW w:w="1435" w:type="dxa"/>
          </w:tcPr>
          <w:p w14:paraId="57CD747C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(f)(2)(E)</w:t>
            </w:r>
          </w:p>
        </w:tc>
        <w:tc>
          <w:tcPr>
            <w:tcW w:w="6300" w:type="dxa"/>
          </w:tcPr>
          <w:p w14:paraId="4F0F3007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When drinking water samples are subcontracted, does the laboratory </w:t>
            </w:r>
            <w:r w:rsidRPr="00FC3772">
              <w:rPr>
                <w:rFonts w:cs="Arial"/>
                <w:szCs w:val="24"/>
              </w:rPr>
              <w:t>provid</w:t>
            </w:r>
            <w:r>
              <w:rPr>
                <w:rFonts w:cs="Arial"/>
                <w:szCs w:val="24"/>
              </w:rPr>
              <w:t>e</w:t>
            </w:r>
            <w:r w:rsidRPr="00FC3772">
              <w:rPr>
                <w:rFonts w:cs="Arial"/>
                <w:szCs w:val="24"/>
              </w:rPr>
              <w:t xml:space="preserve"> the required notification for drinking water testing, unless there is an arrangement in writing that the subcontractor will provide the required notification</w:t>
            </w:r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1710" w:type="dxa"/>
          </w:tcPr>
          <w:p w14:paraId="235BB615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37CA7801" w14:textId="58DC1D4D" w:rsidTr="00741E1A">
        <w:trPr>
          <w:cantSplit/>
          <w:trHeight w:val="548"/>
        </w:trPr>
        <w:tc>
          <w:tcPr>
            <w:tcW w:w="1435" w:type="dxa"/>
          </w:tcPr>
          <w:p w14:paraId="1CE61FBD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lastRenderedPageBreak/>
              <w:t>§ 64814.00 (e)</w:t>
            </w:r>
          </w:p>
        </w:tc>
        <w:tc>
          <w:tcPr>
            <w:tcW w:w="6300" w:type="dxa"/>
          </w:tcPr>
          <w:p w14:paraId="486B5E7F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 xml:space="preserve">Does the Quality Manual, or referenced document, detail procedures when a water </w:t>
            </w:r>
            <w:r>
              <w:rPr>
                <w:rFonts w:cs="Arial"/>
                <w:szCs w:val="24"/>
              </w:rPr>
              <w:t>supplier</w:t>
            </w:r>
            <w:r w:rsidRPr="00FC3772">
              <w:rPr>
                <w:rFonts w:cs="Arial"/>
                <w:szCs w:val="24"/>
              </w:rPr>
              <w:t xml:space="preserve"> requests invalidation of samples</w:t>
            </w:r>
            <w:r>
              <w:rPr>
                <w:rFonts w:cs="Arial"/>
                <w:szCs w:val="24"/>
              </w:rPr>
              <w:t>, after reporting the results to the DDW,</w:t>
            </w:r>
            <w:r w:rsidRPr="00FC3772">
              <w:rPr>
                <w:rFonts w:cs="Arial"/>
                <w:szCs w:val="24"/>
              </w:rPr>
              <w:t xml:space="preserve"> due to </w:t>
            </w:r>
            <w:r w:rsidRPr="00FC3772">
              <w:rPr>
                <w:rFonts w:cs="Arial"/>
                <w:b/>
                <w:bCs/>
                <w:szCs w:val="24"/>
              </w:rPr>
              <w:t>laboratory accident or error</w:t>
            </w:r>
            <w:r w:rsidRPr="00FC3772">
              <w:rPr>
                <w:rFonts w:cs="Arial"/>
                <w:szCs w:val="24"/>
              </w:rPr>
              <w:t>, including:</w:t>
            </w:r>
            <w:r>
              <w:rPr>
                <w:rFonts w:cs="Arial"/>
                <w:szCs w:val="24"/>
              </w:rPr>
              <w:t xml:space="preserve"> [(1) – (6)]</w:t>
            </w:r>
          </w:p>
        </w:tc>
        <w:tc>
          <w:tcPr>
            <w:tcW w:w="1710" w:type="dxa"/>
          </w:tcPr>
          <w:p w14:paraId="0D1510B9" w14:textId="77777777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41E1A" w:rsidRPr="00FC3772" w14:paraId="4B5E4AFF" w14:textId="7AD61AA7" w:rsidTr="00741E1A">
        <w:trPr>
          <w:cantSplit/>
          <w:trHeight w:val="580"/>
        </w:trPr>
        <w:tc>
          <w:tcPr>
            <w:tcW w:w="1435" w:type="dxa"/>
          </w:tcPr>
          <w:p w14:paraId="6D6A89AA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(e)(1)</w:t>
            </w:r>
          </w:p>
        </w:tc>
        <w:tc>
          <w:tcPr>
            <w:tcW w:w="6300" w:type="dxa"/>
            <w:hideMark/>
          </w:tcPr>
          <w:p w14:paraId="725432E9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A letter from the Technical Manager to the water supplier confirming the laboratory accident or error and agreeing to the invalidation request</w:t>
            </w:r>
          </w:p>
        </w:tc>
        <w:tc>
          <w:tcPr>
            <w:tcW w:w="1710" w:type="dxa"/>
          </w:tcPr>
          <w:p w14:paraId="3E56F34B" w14:textId="33853975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  <w:r w:rsidRPr="00741E1A">
              <w:rPr>
                <w:b/>
                <w:bCs/>
              </w:rPr>
              <w:t> </w:t>
            </w:r>
          </w:p>
        </w:tc>
      </w:tr>
      <w:tr w:rsidR="00741E1A" w:rsidRPr="00FC3772" w14:paraId="4C7090EA" w14:textId="0728E996" w:rsidTr="00741E1A">
        <w:trPr>
          <w:cantSplit/>
          <w:trHeight w:val="870"/>
        </w:trPr>
        <w:tc>
          <w:tcPr>
            <w:tcW w:w="1435" w:type="dxa"/>
          </w:tcPr>
          <w:p w14:paraId="7B6FE715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(e)(2)</w:t>
            </w:r>
          </w:p>
        </w:tc>
        <w:tc>
          <w:tcPr>
            <w:tcW w:w="6300" w:type="dxa"/>
            <w:hideMark/>
          </w:tcPr>
          <w:p w14:paraId="37F5216F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 xml:space="preserve">Complete sample identification, laboratory sample log number (if used), date and time of collection, </w:t>
            </w:r>
            <w:proofErr w:type="gramStart"/>
            <w:r w:rsidRPr="00FC3772">
              <w:rPr>
                <w:rFonts w:cs="Arial"/>
                <w:szCs w:val="24"/>
              </w:rPr>
              <w:t>date</w:t>
            </w:r>
            <w:proofErr w:type="gramEnd"/>
            <w:r w:rsidRPr="00FC3772">
              <w:rPr>
                <w:rFonts w:cs="Arial"/>
                <w:szCs w:val="24"/>
              </w:rPr>
              <w:t xml:space="preserve"> and time of receipt by the laboratory, date and time of analysis for the sample(s) in question</w:t>
            </w:r>
          </w:p>
        </w:tc>
        <w:tc>
          <w:tcPr>
            <w:tcW w:w="1710" w:type="dxa"/>
          </w:tcPr>
          <w:p w14:paraId="779E3B62" w14:textId="18FA0118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  <w:r w:rsidRPr="00741E1A">
              <w:rPr>
                <w:b/>
                <w:bCs/>
              </w:rPr>
              <w:t> </w:t>
            </w:r>
          </w:p>
        </w:tc>
      </w:tr>
      <w:tr w:rsidR="00741E1A" w:rsidRPr="00FC3772" w14:paraId="52689490" w14:textId="59D3FC5F" w:rsidTr="00741E1A">
        <w:trPr>
          <w:cantSplit/>
          <w:trHeight w:val="580"/>
        </w:trPr>
        <w:tc>
          <w:tcPr>
            <w:tcW w:w="1435" w:type="dxa"/>
          </w:tcPr>
          <w:p w14:paraId="15744231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(e)(3)</w:t>
            </w:r>
          </w:p>
        </w:tc>
        <w:tc>
          <w:tcPr>
            <w:tcW w:w="6300" w:type="dxa"/>
            <w:hideMark/>
          </w:tcPr>
          <w:p w14:paraId="59647F89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Complete description of the error alleged to have invalidated the result(s)</w:t>
            </w:r>
          </w:p>
        </w:tc>
        <w:tc>
          <w:tcPr>
            <w:tcW w:w="1710" w:type="dxa"/>
          </w:tcPr>
          <w:p w14:paraId="52A64F15" w14:textId="4A08A30D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  <w:r w:rsidRPr="00741E1A">
              <w:rPr>
                <w:b/>
                <w:bCs/>
              </w:rPr>
              <w:t> </w:t>
            </w:r>
          </w:p>
        </w:tc>
      </w:tr>
      <w:tr w:rsidR="00741E1A" w:rsidRPr="00FC3772" w14:paraId="070561C2" w14:textId="05E0264D" w:rsidTr="00741E1A">
        <w:trPr>
          <w:cantSplit/>
          <w:trHeight w:val="580"/>
        </w:trPr>
        <w:tc>
          <w:tcPr>
            <w:tcW w:w="1435" w:type="dxa"/>
          </w:tcPr>
          <w:p w14:paraId="1118274A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(e)(4)</w:t>
            </w:r>
          </w:p>
        </w:tc>
        <w:tc>
          <w:tcPr>
            <w:tcW w:w="6300" w:type="dxa"/>
            <w:hideMark/>
          </w:tcPr>
          <w:p w14:paraId="5711BE59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Copies of all analytical, operating, and quality assurance records pertaining to the incident in question</w:t>
            </w:r>
          </w:p>
        </w:tc>
        <w:tc>
          <w:tcPr>
            <w:tcW w:w="1710" w:type="dxa"/>
          </w:tcPr>
          <w:p w14:paraId="6D565B46" w14:textId="4863FF71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  <w:r w:rsidRPr="00741E1A">
              <w:rPr>
                <w:b/>
                <w:bCs/>
              </w:rPr>
              <w:t> </w:t>
            </w:r>
          </w:p>
        </w:tc>
      </w:tr>
      <w:tr w:rsidR="00741E1A" w:rsidRPr="00FC3772" w14:paraId="55C8E98C" w14:textId="0092BA9B" w:rsidTr="00741E1A">
        <w:trPr>
          <w:cantSplit/>
          <w:trHeight w:val="580"/>
        </w:trPr>
        <w:tc>
          <w:tcPr>
            <w:tcW w:w="1435" w:type="dxa"/>
          </w:tcPr>
          <w:p w14:paraId="74840E57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(e)(5)</w:t>
            </w:r>
          </w:p>
        </w:tc>
        <w:tc>
          <w:tcPr>
            <w:tcW w:w="6300" w:type="dxa"/>
            <w:hideMark/>
          </w:tcPr>
          <w:p w14:paraId="3983E1FC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Any observations noted by laboratory personnel when receiving and analyzing the sample(s) in question</w:t>
            </w:r>
          </w:p>
        </w:tc>
        <w:tc>
          <w:tcPr>
            <w:tcW w:w="1710" w:type="dxa"/>
          </w:tcPr>
          <w:p w14:paraId="6A4CC1CE" w14:textId="3F4B6419" w:rsidR="00741E1A" w:rsidRPr="00741E1A" w:rsidRDefault="00741E1A" w:rsidP="00741E1A">
            <w:pPr>
              <w:rPr>
                <w:rFonts w:cs="Arial"/>
                <w:b/>
                <w:bCs/>
                <w:szCs w:val="24"/>
              </w:rPr>
            </w:pPr>
            <w:r w:rsidRPr="00741E1A">
              <w:rPr>
                <w:b/>
                <w:bCs/>
              </w:rPr>
              <w:t> </w:t>
            </w:r>
          </w:p>
        </w:tc>
      </w:tr>
      <w:tr w:rsidR="00741E1A" w:rsidRPr="00FC3772" w14:paraId="7B522FB5" w14:textId="59DD9FD3" w:rsidTr="00741E1A">
        <w:trPr>
          <w:cantSplit/>
          <w:trHeight w:val="580"/>
        </w:trPr>
        <w:tc>
          <w:tcPr>
            <w:tcW w:w="1435" w:type="dxa"/>
          </w:tcPr>
          <w:p w14:paraId="17B47176" w14:textId="77777777" w:rsidR="00741E1A" w:rsidRPr="00FC3772" w:rsidRDefault="00741E1A" w:rsidP="00741E1A">
            <w:pPr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§ 64814.00 (e)(6)</w:t>
            </w:r>
          </w:p>
        </w:tc>
        <w:tc>
          <w:tcPr>
            <w:tcW w:w="6300" w:type="dxa"/>
            <w:hideMark/>
          </w:tcPr>
          <w:p w14:paraId="19ACC172" w14:textId="77777777" w:rsidR="00741E1A" w:rsidRPr="00FC3772" w:rsidRDefault="00741E1A" w:rsidP="00741E1A">
            <w:pPr>
              <w:spacing w:line="256" w:lineRule="auto"/>
              <w:rPr>
                <w:rFonts w:cs="Arial"/>
                <w:szCs w:val="24"/>
              </w:rPr>
            </w:pPr>
            <w:r w:rsidRPr="00FC3772">
              <w:rPr>
                <w:rFonts w:cs="Arial"/>
                <w:szCs w:val="24"/>
              </w:rPr>
              <w:t>A corrective action plan that contains a root cause analysis of the laboratory accident or error, the corrective actions that will take place, and the date the finding(s) will be corrected.</w:t>
            </w:r>
          </w:p>
        </w:tc>
        <w:tc>
          <w:tcPr>
            <w:tcW w:w="1710" w:type="dxa"/>
          </w:tcPr>
          <w:p w14:paraId="1BF007C8" w14:textId="4A4BE8F3" w:rsidR="00741E1A" w:rsidRPr="00741E1A" w:rsidRDefault="00741E1A" w:rsidP="00741E1A">
            <w:pPr>
              <w:spacing w:line="256" w:lineRule="auto"/>
              <w:rPr>
                <w:rFonts w:cs="Arial"/>
                <w:b/>
                <w:bCs/>
                <w:szCs w:val="24"/>
              </w:rPr>
            </w:pPr>
            <w:r w:rsidRPr="00741E1A">
              <w:rPr>
                <w:b/>
                <w:bCs/>
              </w:rPr>
              <w:t> </w:t>
            </w:r>
          </w:p>
        </w:tc>
      </w:tr>
    </w:tbl>
    <w:p w14:paraId="5ABA20C6" w14:textId="77777777" w:rsidR="006D7E17" w:rsidRDefault="006D7E17" w:rsidP="00835028">
      <w:pPr>
        <w:spacing w:after="240"/>
        <w:rPr>
          <w:rFonts w:cs="Arial"/>
          <w:szCs w:val="24"/>
        </w:rPr>
      </w:pPr>
    </w:p>
    <w:p w14:paraId="56E14B41" w14:textId="2969CBBF" w:rsidR="00835028" w:rsidRPr="002228F5" w:rsidRDefault="00835028" w:rsidP="00835028">
      <w:pPr>
        <w:spacing w:after="240"/>
      </w:pPr>
      <w:r>
        <w:rPr>
          <w:b/>
          <w:bCs/>
          <w:u w:val="single"/>
        </w:rPr>
        <w:t>Disclaimer</w:t>
      </w:r>
      <w:r>
        <w:t xml:space="preserve">: </w:t>
      </w:r>
      <w:r w:rsidRPr="006C07A0">
        <w:t>This</w:t>
      </w:r>
      <w:r>
        <w:t xml:space="preserve"> application required</w:t>
      </w:r>
      <w:r w:rsidRPr="006C07A0">
        <w:t xml:space="preserve"> checklist</w:t>
      </w:r>
      <w:r>
        <w:t xml:space="preserve"> does not change, </w:t>
      </w:r>
      <w:r w:rsidRPr="006C07A0">
        <w:t>substitute</w:t>
      </w:r>
      <w:r>
        <w:t>, or address every</w:t>
      </w:r>
      <w:r w:rsidRPr="006C07A0">
        <w:t xml:space="preserve"> legal requirement</w:t>
      </w:r>
      <w:r>
        <w:t xml:space="preserve">. The obligations of the regulated community are determined by the relevant </w:t>
      </w:r>
      <w:hyperlink r:id="rId7" w:history="1">
        <w:r w:rsidRPr="002228F5">
          <w:rPr>
            <w:rStyle w:val="Hyperlink"/>
          </w:rPr>
          <w:t>statutes</w:t>
        </w:r>
      </w:hyperlink>
      <w:r>
        <w:t xml:space="preserve"> and </w:t>
      </w:r>
      <w:hyperlink r:id="rId8" w:history="1">
        <w:r w:rsidRPr="002228F5">
          <w:rPr>
            <w:rStyle w:val="Hyperlink"/>
          </w:rPr>
          <w:t>regulations</w:t>
        </w:r>
      </w:hyperlink>
      <w:r>
        <w:t>.</w:t>
      </w:r>
    </w:p>
    <w:p w14:paraId="27A3EDAA" w14:textId="77777777" w:rsidR="00835028" w:rsidRPr="00F82CF8" w:rsidRDefault="00835028"/>
    <w:sectPr w:rsidR="00835028" w:rsidRPr="00F82CF8" w:rsidSect="00A242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052D" w14:textId="77777777" w:rsidR="00D1286B" w:rsidRDefault="00D1286B" w:rsidP="00D1286B">
      <w:pPr>
        <w:spacing w:after="0" w:line="240" w:lineRule="auto"/>
      </w:pPr>
      <w:r>
        <w:separator/>
      </w:r>
    </w:p>
  </w:endnote>
  <w:endnote w:type="continuationSeparator" w:id="0">
    <w:p w14:paraId="0F5C25E4" w14:textId="77777777" w:rsidR="00D1286B" w:rsidRDefault="00D1286B" w:rsidP="00D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4002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4A7975" w14:textId="7F0E5B3B" w:rsidR="00EF4491" w:rsidRDefault="00EF44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B98A1D3" w14:textId="77777777" w:rsidR="00EF4491" w:rsidRDefault="00EF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2B1" w14:textId="598C5BF6" w:rsidR="00834EBB" w:rsidRPr="00A24267" w:rsidRDefault="00834EBB" w:rsidP="00A24267">
    <w:pPr>
      <w:pStyle w:val="Footer"/>
    </w:pPr>
    <w:r w:rsidRPr="00156678">
      <w:rPr>
        <w:rFonts w:cs="Arial"/>
        <w:noProof/>
      </w:rPr>
      <w:drawing>
        <wp:inline distT="0" distB="0" distL="0" distR="0" wp14:anchorId="78B0D45D" wp14:editId="0D29FBEB">
          <wp:extent cx="5943600" cy="648335"/>
          <wp:effectExtent l="0" t="0" r="0" b="0"/>
          <wp:docPr id="4" name="Picture 4" descr="E. Joaquin Esquivel, Chair | Eric Oppenheimer, Executive Director - 1001 I Street, Sacramento, CA 95814 | Mailing Address: P.O. Box 100, Sacramento, CA 95812-0100 | www.waterboards.ca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. Joaquin Esquivel, Chair | Eric Oppenheimer, Executive Director - 1001 I Street, Sacramento, CA 95814 | Mailing Address: P.O. Box 100, Sacramento, CA 95812-0100 | www.waterboards.ca.go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2C37" w14:textId="77777777" w:rsidR="00D1286B" w:rsidRDefault="00D1286B" w:rsidP="00D1286B">
      <w:pPr>
        <w:spacing w:after="0" w:line="240" w:lineRule="auto"/>
      </w:pPr>
      <w:r>
        <w:separator/>
      </w:r>
    </w:p>
  </w:footnote>
  <w:footnote w:type="continuationSeparator" w:id="0">
    <w:p w14:paraId="11CB1C56" w14:textId="77777777" w:rsidR="00D1286B" w:rsidRDefault="00D1286B" w:rsidP="00D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EAD7" w14:textId="77777777" w:rsidR="00EF4491" w:rsidRDefault="00EF4491" w:rsidP="00EF4491">
    <w:pPr>
      <w:spacing w:after="0"/>
      <w:jc w:val="right"/>
      <w:rPr>
        <w:rFonts w:cs="Arial"/>
        <w:szCs w:val="24"/>
      </w:rPr>
    </w:pPr>
    <w:bookmarkStart w:id="0" w:name="_Hlk59545610"/>
    <w:bookmarkStart w:id="1" w:name="_Hlk59545611"/>
    <w:bookmarkStart w:id="2" w:name="_Hlk59548123"/>
    <w:bookmarkStart w:id="3" w:name="_Hlk59548124"/>
    <w:r>
      <w:rPr>
        <w:rFonts w:cs="Arial"/>
        <w:szCs w:val="24"/>
      </w:rPr>
      <w:t>PART C – California-Specific Regulatory Requirements Application Addendum</w:t>
    </w:r>
  </w:p>
  <w:p w14:paraId="0C6184DE" w14:textId="63777E87" w:rsidR="00EF4491" w:rsidRDefault="00EF4491" w:rsidP="00EF4491">
    <w:pPr>
      <w:spacing w:after="0"/>
      <w:jc w:val="right"/>
      <w:rPr>
        <w:rFonts w:cs="Arial"/>
        <w:szCs w:val="24"/>
      </w:rPr>
    </w:pPr>
    <w:r>
      <w:rPr>
        <w:rFonts w:cs="Arial"/>
        <w:szCs w:val="24"/>
      </w:rPr>
      <w:t>Application for Reciprocity Accreditation</w:t>
    </w:r>
  </w:p>
  <w:p w14:paraId="0B208070" w14:textId="3BF2CB20" w:rsidR="002228F5" w:rsidRPr="00C60102" w:rsidRDefault="00EF4491" w:rsidP="00EF4491">
    <w:pPr>
      <w:spacing w:after="0"/>
      <w:jc w:val="right"/>
      <w:rPr>
        <w:rFonts w:cs="Arial"/>
        <w:szCs w:val="24"/>
      </w:rPr>
    </w:pPr>
    <w:r>
      <w:rPr>
        <w:rFonts w:cs="Arial"/>
        <w:szCs w:val="24"/>
      </w:rPr>
      <w:t xml:space="preserve">Rev. 1 – </w:t>
    </w:r>
    <w:r w:rsidR="007A2C25">
      <w:rPr>
        <w:rFonts w:cs="Arial"/>
        <w:szCs w:val="24"/>
      </w:rPr>
      <w:t>Dec. 13</w:t>
    </w:r>
    <w:r>
      <w:rPr>
        <w:rFonts w:cs="Arial"/>
        <w:szCs w:val="24"/>
      </w:rPr>
      <w:t>, 2021</w:t>
    </w:r>
  </w:p>
  <w:bookmarkEnd w:id="0"/>
  <w:bookmarkEnd w:id="1"/>
  <w:bookmarkEnd w:id="2"/>
  <w:bookmarkEnd w:id="3"/>
  <w:p w14:paraId="38128497" w14:textId="77777777" w:rsidR="00EF4491" w:rsidRPr="006D7E17" w:rsidRDefault="00EF4491" w:rsidP="006D7E17">
    <w:pPr>
      <w:spacing w:after="0"/>
      <w:jc w:val="righ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F70B" w14:textId="77777777" w:rsidR="00834EBB" w:rsidRPr="00834EBB" w:rsidRDefault="00834EBB" w:rsidP="00834EBB">
    <w:pPr>
      <w:spacing w:after="0" w:line="240" w:lineRule="auto"/>
      <w:rPr>
        <w:rFonts w:eastAsia="Times New Roman" w:cs="Times New Roman"/>
        <w:szCs w:val="24"/>
      </w:rPr>
    </w:pPr>
    <w:r w:rsidRPr="00834EBB">
      <w:rPr>
        <w:rFonts w:eastAsia="Times New Roman" w:cs="Times New Roman"/>
        <w:noProof/>
        <w:szCs w:val="24"/>
      </w:rPr>
      <w:drawing>
        <wp:inline distT="0" distB="0" distL="0" distR="0" wp14:anchorId="2E8F0930" wp14:editId="40603381">
          <wp:extent cx="5943600" cy="840740"/>
          <wp:effectExtent l="0" t="0" r="0" b="0"/>
          <wp:docPr id="1" name="Picture 1" descr="California Water Boards. Gavin Newsom, Governor. Yana Garcia, Secretary for Environmental Protec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Water Boards. Gavin Newsom, Governor. Yana Garcia, Secretary for Environmental Protectio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25476" w14:textId="77777777" w:rsidR="00834EBB" w:rsidRPr="00834EBB" w:rsidRDefault="00834EBB" w:rsidP="00834EBB">
    <w:pPr>
      <w:spacing w:before="120" w:after="240" w:line="240" w:lineRule="auto"/>
      <w:outlineLvl w:val="0"/>
      <w:rPr>
        <w:rFonts w:eastAsiaTheme="majorEastAsia" w:cs="Arial"/>
        <w:color w:val="2F5496" w:themeColor="accent1" w:themeShade="BF"/>
        <w:sz w:val="32"/>
        <w:szCs w:val="32"/>
      </w:rPr>
    </w:pPr>
    <w:r w:rsidRPr="00834EBB">
      <w:rPr>
        <w:rFonts w:eastAsiaTheme="majorEastAsia" w:cs="Arial"/>
        <w:color w:val="2F5496" w:themeColor="accent1" w:themeShade="BF"/>
        <w:sz w:val="32"/>
        <w:szCs w:val="32"/>
      </w:rPr>
      <w:t>State Water Resources Control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6B"/>
    <w:rsid w:val="002228F5"/>
    <w:rsid w:val="00266FA8"/>
    <w:rsid w:val="005916BF"/>
    <w:rsid w:val="0065652D"/>
    <w:rsid w:val="006D7E17"/>
    <w:rsid w:val="00741E1A"/>
    <w:rsid w:val="007A2C25"/>
    <w:rsid w:val="00834EBB"/>
    <w:rsid w:val="00835028"/>
    <w:rsid w:val="00A24267"/>
    <w:rsid w:val="00BF6390"/>
    <w:rsid w:val="00D1286B"/>
    <w:rsid w:val="00DD2CDE"/>
    <w:rsid w:val="00E02240"/>
    <w:rsid w:val="00E84EBB"/>
    <w:rsid w:val="00EC630B"/>
    <w:rsid w:val="00EF4491"/>
    <w:rsid w:val="00F55D76"/>
    <w:rsid w:val="00F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72CBC1"/>
  <w15:chartTrackingRefBased/>
  <w15:docId w15:val="{044FE47E-9AD9-4427-A0B0-8E8704E6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6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6BF"/>
    <w:pPr>
      <w:keepNext/>
      <w:keepLines/>
      <w:pageBreakBefore/>
      <w:shd w:val="clear" w:color="auto" w:fill="D9E2F3" w:themeFill="accent1" w:themeFillTint="33"/>
      <w:spacing w:before="24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30B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6BF"/>
    <w:rPr>
      <w:rFonts w:ascii="Arial" w:eastAsiaTheme="majorEastAsia" w:hAnsi="Arial" w:cstheme="majorBidi"/>
      <w:b/>
      <w:bCs/>
      <w:sz w:val="32"/>
      <w:szCs w:val="32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6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6B"/>
    <w:rPr>
      <w:rFonts w:ascii="Arial" w:hAnsi="Arial"/>
      <w:sz w:val="24"/>
    </w:rPr>
  </w:style>
  <w:style w:type="table" w:styleId="GridTable1Light-Accent3">
    <w:name w:val="Grid Table 1 Light Accent 3"/>
    <w:basedOn w:val="TableNormal"/>
    <w:uiPriority w:val="46"/>
    <w:rsid w:val="00D1286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ditable">
    <w:name w:val="Editable"/>
    <w:basedOn w:val="NoSpacing"/>
    <w:link w:val="EditableChar"/>
    <w:qFormat/>
    <w:rsid w:val="00D1286B"/>
    <w:pPr>
      <w:tabs>
        <w:tab w:val="left" w:pos="2790"/>
      </w:tabs>
    </w:pPr>
  </w:style>
  <w:style w:type="character" w:customStyle="1" w:styleId="EditableChar">
    <w:name w:val="Editable Char"/>
    <w:basedOn w:val="DefaultParagraphFont"/>
    <w:link w:val="Editable"/>
    <w:rsid w:val="00D1286B"/>
    <w:rPr>
      <w:rFonts w:ascii="Arial" w:hAnsi="Arial"/>
      <w:sz w:val="24"/>
    </w:rPr>
  </w:style>
  <w:style w:type="paragraph" w:styleId="NoSpacing">
    <w:name w:val="No Spacing"/>
    <w:uiPriority w:val="1"/>
    <w:qFormat/>
    <w:rsid w:val="00D1286B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2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tterOrg">
    <w:name w:val="LetterOrg"/>
    <w:qFormat/>
    <w:rsid w:val="00D1286B"/>
    <w:pPr>
      <w:spacing w:before="120" w:after="240" w:line="240" w:lineRule="auto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8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8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8F5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C630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calregs/Browse/Home/California/CaliforniaCodeofRegulations?guid=I68C107A0D4BA11DE8879F88E8B0DAAAE&amp;originationContext=documenttoc&amp;transitionType=Default&amp;contextData=(sc.Default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nfo.legislature.ca.gov/faces/codes_displayText.xhtml?lawCode=HSC&amp;division=101.&amp;title=&amp;part=1.&amp;chapter=4.&amp;article=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5F0F-77CD-4A4B-9915-8CE6E5AD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Reciprocity Application - PART C Addendum CA Specific Requirements</dc:title>
  <dc:subject/>
  <dc:creator>California Environmental Laboratory Accreditation Program</dc:creator>
  <cp:keywords/>
  <dc:description/>
  <cp:lastModifiedBy>Hilty, Katelyn@Waterboards</cp:lastModifiedBy>
  <cp:revision>13</cp:revision>
  <dcterms:created xsi:type="dcterms:W3CDTF">2021-11-22T19:18:00Z</dcterms:created>
  <dcterms:modified xsi:type="dcterms:W3CDTF">2024-01-08T19:43:00Z</dcterms:modified>
</cp:coreProperties>
</file>