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C" w:rsidRDefault="0001622C" w:rsidP="0001622C">
      <w:pPr>
        <w:jc w:val="center"/>
        <w:rPr>
          <w:rStyle w:val="Strong"/>
          <w:rFonts w:eastAsiaTheme="majorEastAsia" w:cs="Arial"/>
          <w:sz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BB24D4E" wp14:editId="324CA81E">
            <wp:simplePos x="0" y="0"/>
            <wp:positionH relativeFrom="column">
              <wp:posOffset>-25096</wp:posOffset>
            </wp:positionH>
            <wp:positionV relativeFrom="paragraph">
              <wp:posOffset>-168275</wp:posOffset>
            </wp:positionV>
            <wp:extent cx="6446520" cy="11263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12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rFonts w:eastAsiaTheme="majorEastAsia" w:cs="Arial"/>
          <w:sz w:val="32"/>
        </w:rPr>
        <w:t xml:space="preserve">Lahontan Water Board Program Fact Sheet </w:t>
      </w:r>
    </w:p>
    <w:p w:rsidR="008D2140" w:rsidRPr="007B2346" w:rsidRDefault="007B2346" w:rsidP="008D2140">
      <w:pPr>
        <w:jc w:val="center"/>
        <w:rPr>
          <w:rStyle w:val="Strong"/>
          <w:sz w:val="32"/>
          <w:szCs w:val="32"/>
        </w:rPr>
      </w:pPr>
      <w:r w:rsidRPr="007B2346">
        <w:rPr>
          <w:rStyle w:val="Strong"/>
          <w:sz w:val="32"/>
          <w:szCs w:val="32"/>
        </w:rPr>
        <w:t>FY 201</w:t>
      </w:r>
      <w:r w:rsidR="00CF7DEC">
        <w:rPr>
          <w:rStyle w:val="Strong"/>
          <w:sz w:val="32"/>
          <w:szCs w:val="32"/>
        </w:rPr>
        <w:t>7</w:t>
      </w:r>
      <w:r w:rsidR="00326E22">
        <w:rPr>
          <w:rStyle w:val="Strong"/>
          <w:sz w:val="32"/>
          <w:szCs w:val="32"/>
        </w:rPr>
        <w:t>-1</w:t>
      </w:r>
      <w:r w:rsidR="00CF7DEC">
        <w:rPr>
          <w:rStyle w:val="Strong"/>
          <w:sz w:val="32"/>
          <w:szCs w:val="32"/>
        </w:rPr>
        <w:t>8</w:t>
      </w:r>
    </w:p>
    <w:tbl>
      <w:tblPr>
        <w:tblStyle w:val="TableGrid"/>
        <w:tblW w:w="10409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31"/>
        <w:gridCol w:w="278"/>
      </w:tblGrid>
      <w:tr w:rsidR="00D22E6D" w:rsidRPr="000E014E" w:rsidTr="00E83D08">
        <w:trPr>
          <w:trHeight w:val="456"/>
        </w:trPr>
        <w:tc>
          <w:tcPr>
            <w:tcW w:w="10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524AD" w:rsidRPr="000E014E" w:rsidRDefault="003C325B" w:rsidP="000E014E">
            <w:pPr>
              <w:tabs>
                <w:tab w:val="right" w:pos="9630"/>
              </w:tabs>
              <w:jc w:val="center"/>
              <w:rPr>
                <w:rStyle w:val="Strong"/>
                <w:sz w:val="40"/>
                <w:szCs w:val="32"/>
              </w:rPr>
            </w:pPr>
            <w:r>
              <w:rPr>
                <w:rStyle w:val="Strong"/>
                <w:i/>
                <w:sz w:val="40"/>
                <w:szCs w:val="32"/>
              </w:rPr>
              <w:t xml:space="preserve">Surface Water Ambient Monitoring Program </w:t>
            </w:r>
            <w:r w:rsidRPr="00260379">
              <w:rPr>
                <w:rStyle w:val="Strong"/>
                <w:i/>
                <w:sz w:val="32"/>
                <w:szCs w:val="32"/>
              </w:rPr>
              <w:t>(SWAMP</w:t>
            </w:r>
            <w:r w:rsidR="00A66CE9" w:rsidRPr="00260379">
              <w:rPr>
                <w:rStyle w:val="Strong"/>
                <w:i/>
                <w:sz w:val="32"/>
                <w:szCs w:val="32"/>
              </w:rPr>
              <w:t>)</w:t>
            </w:r>
          </w:p>
        </w:tc>
      </w:tr>
      <w:tr w:rsidR="00D22E6D" w:rsidRPr="00260379" w:rsidTr="00E83D08">
        <w:trPr>
          <w:trHeight w:val="283"/>
        </w:trPr>
        <w:tc>
          <w:tcPr>
            <w:tcW w:w="10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22E6D" w:rsidRPr="00260379" w:rsidRDefault="00D22E6D" w:rsidP="006E02DD">
            <w:pPr>
              <w:rPr>
                <w:rStyle w:val="Strong"/>
                <w:b w:val="0"/>
                <w:sz w:val="8"/>
              </w:rPr>
            </w:pPr>
          </w:p>
        </w:tc>
      </w:tr>
      <w:tr w:rsidR="00D22E6D" w:rsidTr="00E83D08">
        <w:trPr>
          <w:trHeight w:val="3500"/>
        </w:trPr>
        <w:tc>
          <w:tcPr>
            <w:tcW w:w="10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85F70" w:rsidRDefault="00D22E6D" w:rsidP="00C20B67">
            <w:pPr>
              <w:tabs>
                <w:tab w:val="left" w:pos="1800"/>
              </w:tabs>
              <w:spacing w:after="60"/>
              <w:rPr>
                <w:rStyle w:val="Strong"/>
                <w:b w:val="0"/>
                <w:sz w:val="32"/>
              </w:rPr>
            </w:pPr>
            <w:r w:rsidRPr="006F30E6">
              <w:rPr>
                <w:rStyle w:val="Strong"/>
                <w:b w:val="0"/>
                <w:sz w:val="32"/>
              </w:rPr>
              <w:t>Overview</w:t>
            </w:r>
          </w:p>
          <w:p w:rsidR="003C325B" w:rsidRPr="003F331E" w:rsidRDefault="003C325B" w:rsidP="00C20B67">
            <w:pPr>
              <w:spacing w:after="120"/>
              <w:rPr>
                <w:sz w:val="22"/>
                <w:szCs w:val="22"/>
              </w:rPr>
            </w:pPr>
            <w:r w:rsidRPr="003F331E">
              <w:rPr>
                <w:sz w:val="22"/>
                <w:szCs w:val="22"/>
              </w:rPr>
              <w:t>The Surface Water Ambient Monitoring Program (SWAMP) is a statewide monitoring effort designed to assess the conditions of surface waters throughout the State of California.</w:t>
            </w:r>
            <w:r w:rsidR="0001622C" w:rsidRPr="003F331E">
              <w:rPr>
                <w:sz w:val="22"/>
                <w:szCs w:val="22"/>
              </w:rPr>
              <w:t xml:space="preserve"> </w:t>
            </w:r>
            <w:r w:rsidR="0001622C" w:rsidRPr="003F331E">
              <w:rPr>
                <w:rStyle w:val="Strong"/>
                <w:b w:val="0"/>
                <w:sz w:val="22"/>
                <w:szCs w:val="22"/>
              </w:rPr>
              <w:t>The program is funded by the Waste Discharge Permit Fee (WDPF</w:t>
            </w:r>
            <w:proofErr w:type="gramStart"/>
            <w:r w:rsidR="0001622C" w:rsidRPr="003F331E">
              <w:rPr>
                <w:rStyle w:val="Strong"/>
                <w:b w:val="0"/>
                <w:sz w:val="22"/>
                <w:szCs w:val="22"/>
              </w:rPr>
              <w:t xml:space="preserve">) </w:t>
            </w:r>
            <w:r w:rsidR="00C56A84">
              <w:rPr>
                <w:rStyle w:val="Strong"/>
                <w:b w:val="0"/>
                <w:sz w:val="22"/>
                <w:szCs w:val="22"/>
              </w:rPr>
              <w:t>.</w:t>
            </w:r>
            <w:proofErr w:type="gramEnd"/>
            <w:r w:rsidR="00C56A84">
              <w:rPr>
                <w:rStyle w:val="Strong"/>
                <w:b w:val="0"/>
                <w:sz w:val="22"/>
                <w:szCs w:val="22"/>
              </w:rPr>
              <w:t xml:space="preserve">  </w:t>
            </w:r>
            <w:r w:rsidR="00326E22" w:rsidRPr="003F331E">
              <w:rPr>
                <w:sz w:val="22"/>
                <w:szCs w:val="22"/>
              </w:rPr>
              <w:t xml:space="preserve">SWAMP </w:t>
            </w:r>
            <w:r w:rsidRPr="003F331E">
              <w:rPr>
                <w:sz w:val="22"/>
                <w:szCs w:val="22"/>
              </w:rPr>
              <w:t>seeks to monitor the status and trends in water quality for all surface waters (lakes, streams/</w:t>
            </w:r>
            <w:r w:rsidR="00EF6F77" w:rsidRPr="003F331E">
              <w:rPr>
                <w:sz w:val="22"/>
                <w:szCs w:val="22"/>
              </w:rPr>
              <w:t>rivers, wetlands, coastal waters)</w:t>
            </w:r>
            <w:r w:rsidR="00326E22" w:rsidRPr="003F331E">
              <w:rPr>
                <w:sz w:val="22"/>
                <w:szCs w:val="22"/>
              </w:rPr>
              <w:t xml:space="preserve"> as well as targeted monitoring to answer specific regional questions.</w:t>
            </w:r>
          </w:p>
          <w:p w:rsidR="00F524AD" w:rsidRDefault="003C325B" w:rsidP="0007617E">
            <w:pPr>
              <w:tabs>
                <w:tab w:val="left" w:pos="1800"/>
              </w:tabs>
              <w:rPr>
                <w:rStyle w:val="Strong"/>
                <w:b w:val="0"/>
              </w:rPr>
            </w:pPr>
            <w:r w:rsidRPr="003F331E">
              <w:rPr>
                <w:sz w:val="22"/>
                <w:szCs w:val="22"/>
              </w:rPr>
              <w:t>SWAMP has two primary components: 1) “regional” monitoring</w:t>
            </w:r>
            <w:r w:rsidR="00C71B1D" w:rsidRPr="003F331E">
              <w:rPr>
                <w:sz w:val="22"/>
                <w:szCs w:val="22"/>
              </w:rPr>
              <w:t xml:space="preserve"> </w:t>
            </w:r>
            <w:r w:rsidRPr="003F331E">
              <w:rPr>
                <w:sz w:val="22"/>
                <w:szCs w:val="22"/>
              </w:rPr>
              <w:t>l</w:t>
            </w:r>
            <w:r w:rsidR="00C71B1D" w:rsidRPr="003F331E">
              <w:rPr>
                <w:sz w:val="22"/>
                <w:szCs w:val="22"/>
              </w:rPr>
              <w:t>ed by the Regional Water Boards</w:t>
            </w:r>
            <w:r w:rsidRPr="003F331E">
              <w:rPr>
                <w:sz w:val="22"/>
                <w:szCs w:val="22"/>
              </w:rPr>
              <w:t>; and 2) statewide surveys</w:t>
            </w:r>
            <w:r w:rsidR="00C71B1D" w:rsidRPr="003F331E">
              <w:rPr>
                <w:sz w:val="22"/>
                <w:szCs w:val="22"/>
              </w:rPr>
              <w:t xml:space="preserve"> led by the State Water Board</w:t>
            </w:r>
            <w:r w:rsidRPr="003F331E">
              <w:rPr>
                <w:sz w:val="22"/>
                <w:szCs w:val="22"/>
              </w:rPr>
              <w:t xml:space="preserve">. SWAMP also </w:t>
            </w:r>
            <w:r w:rsidR="00D70D74" w:rsidRPr="003F331E">
              <w:rPr>
                <w:sz w:val="22"/>
                <w:szCs w:val="22"/>
              </w:rPr>
              <w:t>supports</w:t>
            </w:r>
            <w:r w:rsidRPr="003F331E">
              <w:rPr>
                <w:sz w:val="22"/>
                <w:szCs w:val="22"/>
              </w:rPr>
              <w:t xml:space="preserve"> the development, deployment, and maintenance of a statewide database</w:t>
            </w:r>
            <w:r w:rsidR="005728D8" w:rsidRPr="003F331E">
              <w:rPr>
                <w:sz w:val="22"/>
                <w:szCs w:val="22"/>
              </w:rPr>
              <w:t>,</w:t>
            </w:r>
            <w:r w:rsidR="009103E5" w:rsidRPr="003F331E">
              <w:rPr>
                <w:sz w:val="22"/>
                <w:szCs w:val="22"/>
              </w:rPr>
              <w:t xml:space="preserve"> </w:t>
            </w:r>
            <w:r w:rsidRPr="003F331E">
              <w:rPr>
                <w:sz w:val="22"/>
                <w:szCs w:val="22"/>
              </w:rPr>
              <w:t>the California Environmental Data Exchange Network (CEDEN)</w:t>
            </w:r>
            <w:r w:rsidR="005728D8" w:rsidRPr="003F331E">
              <w:rPr>
                <w:sz w:val="22"/>
                <w:szCs w:val="22"/>
              </w:rPr>
              <w:t>,</w:t>
            </w:r>
            <w:r w:rsidR="009103E5" w:rsidRPr="003F331E">
              <w:rPr>
                <w:sz w:val="22"/>
                <w:szCs w:val="22"/>
              </w:rPr>
              <w:t xml:space="preserve"> </w:t>
            </w:r>
            <w:r w:rsidRPr="003F331E">
              <w:rPr>
                <w:sz w:val="22"/>
                <w:szCs w:val="22"/>
              </w:rPr>
              <w:t>to permanently store surface water monitoring data collected by all entities throughout California</w:t>
            </w:r>
            <w:r w:rsidR="00CD384C" w:rsidRPr="003F331E">
              <w:rPr>
                <w:rStyle w:val="Strong"/>
                <w:b w:val="0"/>
                <w:sz w:val="22"/>
                <w:szCs w:val="22"/>
              </w:rPr>
              <w:t>.</w:t>
            </w:r>
            <w:r w:rsidR="0007617E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07617E" w:rsidRPr="0007617E">
              <w:rPr>
                <w:rStyle w:val="Strong"/>
                <w:b w:val="0"/>
                <w:sz w:val="22"/>
                <w:szCs w:val="22"/>
              </w:rPr>
              <w:t>SWAMP staffing is 2 PY (down from 3.5</w:t>
            </w:r>
            <w:r w:rsidR="0007617E">
              <w:rPr>
                <w:rStyle w:val="Strong"/>
                <w:b w:val="0"/>
                <w:sz w:val="22"/>
                <w:szCs w:val="22"/>
              </w:rPr>
              <w:t xml:space="preserve"> PY</w:t>
            </w:r>
            <w:r w:rsidR="00C56A84">
              <w:rPr>
                <w:rStyle w:val="Strong"/>
                <w:b w:val="0"/>
                <w:sz w:val="22"/>
                <w:szCs w:val="22"/>
              </w:rPr>
              <w:t xml:space="preserve"> in FY 2015-</w:t>
            </w:r>
            <w:r w:rsidR="0007617E" w:rsidRPr="0007617E">
              <w:rPr>
                <w:rStyle w:val="Strong"/>
                <w:b w:val="0"/>
                <w:sz w:val="22"/>
                <w:szCs w:val="22"/>
              </w:rPr>
              <w:t xml:space="preserve">2016). </w:t>
            </w:r>
          </w:p>
        </w:tc>
      </w:tr>
      <w:tr w:rsidR="00D22E6D" w:rsidRPr="00260379" w:rsidTr="00E83D08">
        <w:trPr>
          <w:trHeight w:val="76"/>
        </w:trPr>
        <w:tc>
          <w:tcPr>
            <w:tcW w:w="10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22E6D" w:rsidRPr="00260379" w:rsidRDefault="00D22E6D" w:rsidP="006E02DD">
            <w:pPr>
              <w:rPr>
                <w:rStyle w:val="Strong"/>
                <w:b w:val="0"/>
                <w:sz w:val="8"/>
              </w:rPr>
            </w:pPr>
          </w:p>
        </w:tc>
      </w:tr>
      <w:tr w:rsidR="00260379" w:rsidTr="00E83D08">
        <w:trPr>
          <w:trHeight w:val="7192"/>
        </w:trPr>
        <w:tc>
          <w:tcPr>
            <w:tcW w:w="1013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60379" w:rsidRDefault="00E83D08" w:rsidP="00C20B67">
            <w:pPr>
              <w:tabs>
                <w:tab w:val="left" w:pos="1815"/>
              </w:tabs>
              <w:spacing w:after="60"/>
              <w:rPr>
                <w:rStyle w:val="Strong"/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B9A2F50" wp14:editId="65160ACB">
                  <wp:simplePos x="0" y="0"/>
                  <wp:positionH relativeFrom="column">
                    <wp:posOffset>4822825</wp:posOffset>
                  </wp:positionH>
                  <wp:positionV relativeFrom="paragraph">
                    <wp:posOffset>-55880</wp:posOffset>
                  </wp:positionV>
                  <wp:extent cx="1444625" cy="1737360"/>
                  <wp:effectExtent l="19050" t="19050" r="22225" b="15240"/>
                  <wp:wrapTight wrapText="bothSides">
                    <wp:wrapPolygon edited="0">
                      <wp:start x="-285" y="-237"/>
                      <wp:lineTo x="-285" y="21553"/>
                      <wp:lineTo x="21647" y="21553"/>
                      <wp:lineTo x="21647" y="-237"/>
                      <wp:lineTo x="-285" y="-237"/>
                    </wp:wrapPolygon>
                  </wp:wrapTight>
                  <wp:docPr id="1" name="Picture 1" descr="SWAM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AM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376"/>
                          <a:stretch/>
                        </pic:blipFill>
                        <pic:spPr bwMode="auto">
                          <a:xfrm>
                            <a:off x="0" y="0"/>
                            <a:ext cx="1444625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E22">
              <w:rPr>
                <w:rStyle w:val="Strong"/>
                <w:b w:val="0"/>
              </w:rPr>
              <w:t>Key Efforts</w:t>
            </w:r>
          </w:p>
          <w:p w:rsidR="00E83D08" w:rsidRPr="002608CE" w:rsidRDefault="00E83D08" w:rsidP="00C20B67">
            <w:pPr>
              <w:tabs>
                <w:tab w:val="left" w:pos="1815"/>
              </w:tabs>
              <w:spacing w:after="60"/>
              <w:rPr>
                <w:rStyle w:val="Strong"/>
                <w:b w:val="0"/>
              </w:rPr>
            </w:pPr>
          </w:p>
          <w:p w:rsidR="005A493E" w:rsidRPr="00E83D08" w:rsidRDefault="00C71B1D" w:rsidP="00E83D08">
            <w:pPr>
              <w:numPr>
                <w:ilvl w:val="0"/>
                <w:numId w:val="1"/>
              </w:numPr>
              <w:ind w:left="158" w:hanging="158"/>
              <w:rPr>
                <w:rFonts w:cs="Arial"/>
                <w:sz w:val="22"/>
                <w:szCs w:val="22"/>
              </w:rPr>
            </w:pPr>
            <w:r w:rsidRPr="00E83D08">
              <w:rPr>
                <w:rFonts w:cs="Arial"/>
                <w:sz w:val="22"/>
                <w:szCs w:val="22"/>
              </w:rPr>
              <w:t>C</w:t>
            </w:r>
            <w:r w:rsidR="000D3384" w:rsidRPr="00E83D08">
              <w:rPr>
                <w:rFonts w:cs="Arial"/>
                <w:sz w:val="22"/>
                <w:szCs w:val="22"/>
              </w:rPr>
              <w:t xml:space="preserve">ollect ambient water quality data to </w:t>
            </w:r>
            <w:r w:rsidR="00DC6518" w:rsidRPr="00E83D08">
              <w:rPr>
                <w:rFonts w:cs="Arial"/>
                <w:sz w:val="22"/>
                <w:szCs w:val="22"/>
              </w:rPr>
              <w:t>assess long</w:t>
            </w:r>
            <w:r w:rsidR="00D63DCA" w:rsidRPr="00E83D08">
              <w:rPr>
                <w:rFonts w:cs="Arial"/>
                <w:sz w:val="22"/>
                <w:szCs w:val="22"/>
              </w:rPr>
              <w:t>-</w:t>
            </w:r>
            <w:r w:rsidR="00DC6518" w:rsidRPr="00E83D08">
              <w:rPr>
                <w:rFonts w:cs="Arial"/>
                <w:sz w:val="22"/>
                <w:szCs w:val="22"/>
              </w:rPr>
              <w:t xml:space="preserve">term trends and </w:t>
            </w:r>
            <w:r w:rsidR="00F238C2" w:rsidRPr="00E83D08">
              <w:rPr>
                <w:rFonts w:cs="Arial"/>
                <w:sz w:val="22"/>
                <w:szCs w:val="22"/>
              </w:rPr>
              <w:t xml:space="preserve">determine impairments. </w:t>
            </w:r>
            <w:r w:rsidR="00D63DCA" w:rsidRPr="00E83D08">
              <w:rPr>
                <w:rFonts w:cs="Arial"/>
                <w:sz w:val="22"/>
                <w:szCs w:val="22"/>
              </w:rPr>
              <w:t xml:space="preserve">Prepare a report on the </w:t>
            </w:r>
            <w:r w:rsidR="00F238C2" w:rsidRPr="00E83D08">
              <w:rPr>
                <w:rFonts w:cs="Arial"/>
                <w:sz w:val="22"/>
                <w:szCs w:val="22"/>
              </w:rPr>
              <w:t xml:space="preserve">quality and </w:t>
            </w:r>
            <w:r w:rsidR="00D63DCA" w:rsidRPr="00E83D08">
              <w:rPr>
                <w:rFonts w:cs="Arial"/>
                <w:sz w:val="22"/>
                <w:szCs w:val="22"/>
              </w:rPr>
              <w:t>health of the Lahontan Region’s surface waters</w:t>
            </w:r>
            <w:r w:rsidR="00F238C2" w:rsidRPr="00E83D08">
              <w:rPr>
                <w:rFonts w:cs="Arial"/>
                <w:sz w:val="22"/>
                <w:szCs w:val="22"/>
              </w:rPr>
              <w:t>.</w:t>
            </w:r>
          </w:p>
          <w:p w:rsidR="00D97E0E" w:rsidRPr="003F331E" w:rsidRDefault="00D97E0E" w:rsidP="00E83D08">
            <w:pPr>
              <w:ind w:left="158"/>
              <w:rPr>
                <w:rFonts w:cs="Arial"/>
                <w:sz w:val="22"/>
                <w:szCs w:val="22"/>
              </w:rPr>
            </w:pPr>
          </w:p>
          <w:p w:rsidR="00E11F4B" w:rsidRPr="00E11F4B" w:rsidRDefault="00D97E0E" w:rsidP="00E11F4B">
            <w:pPr>
              <w:numPr>
                <w:ilvl w:val="0"/>
                <w:numId w:val="1"/>
              </w:numPr>
              <w:ind w:left="158" w:hanging="158"/>
              <w:rPr>
                <w:rStyle w:val="Strong"/>
                <w:rFonts w:cs="Arial"/>
                <w:b w:val="0"/>
                <w:bCs w:val="0"/>
                <w:sz w:val="22"/>
                <w:szCs w:val="22"/>
              </w:rPr>
            </w:pPr>
            <w:r w:rsidRPr="003F331E">
              <w:rPr>
                <w:rFonts w:cs="Arial"/>
                <w:sz w:val="22"/>
                <w:szCs w:val="22"/>
              </w:rPr>
              <w:t>Implement</w:t>
            </w:r>
            <w:r w:rsidR="00E11F4B">
              <w:rPr>
                <w:rFonts w:cs="Arial"/>
                <w:sz w:val="22"/>
                <w:szCs w:val="22"/>
              </w:rPr>
              <w:t xml:space="preserve"> the second year of</w:t>
            </w:r>
            <w:r w:rsidR="00B367F5" w:rsidRPr="003F331E">
              <w:rPr>
                <w:rFonts w:cs="Arial"/>
                <w:sz w:val="22"/>
                <w:szCs w:val="22"/>
              </w:rPr>
              <w:t xml:space="preserve"> a </w:t>
            </w:r>
            <w:r w:rsidR="005728D8" w:rsidRPr="003F331E">
              <w:rPr>
                <w:rFonts w:cs="Arial"/>
                <w:sz w:val="22"/>
                <w:szCs w:val="22"/>
              </w:rPr>
              <w:t>three-</w:t>
            </w:r>
            <w:r w:rsidR="00B367F5" w:rsidRPr="003F331E">
              <w:rPr>
                <w:rFonts w:cs="Arial"/>
                <w:sz w:val="22"/>
                <w:szCs w:val="22"/>
              </w:rPr>
              <w:t xml:space="preserve">year </w:t>
            </w:r>
            <w:proofErr w:type="spellStart"/>
            <w:r w:rsidR="00B367F5" w:rsidRPr="003F331E">
              <w:rPr>
                <w:rFonts w:cs="Arial"/>
                <w:sz w:val="22"/>
                <w:szCs w:val="22"/>
              </w:rPr>
              <w:t>bioassessment</w:t>
            </w:r>
            <w:proofErr w:type="spellEnd"/>
            <w:r w:rsidR="00B367F5" w:rsidRPr="003F331E">
              <w:rPr>
                <w:rFonts w:cs="Arial"/>
                <w:sz w:val="22"/>
                <w:szCs w:val="22"/>
              </w:rPr>
              <w:t xml:space="preserve"> sampling effort to</w:t>
            </w:r>
            <w:r w:rsidR="00F85576" w:rsidRPr="003F331E">
              <w:rPr>
                <w:rFonts w:cs="Arial"/>
                <w:sz w:val="22"/>
                <w:szCs w:val="22"/>
              </w:rPr>
              <w:t xml:space="preserve"> </w:t>
            </w:r>
            <w:r w:rsidR="009014DA" w:rsidRPr="003F331E">
              <w:rPr>
                <w:rFonts w:cs="Arial"/>
                <w:sz w:val="22"/>
                <w:szCs w:val="22"/>
              </w:rPr>
              <w:t>assess the biological and physical integrity of the Region’s streams and rivers.</w:t>
            </w:r>
            <w:r w:rsidR="005728D8" w:rsidRPr="003F331E">
              <w:rPr>
                <w:rFonts w:cs="Arial"/>
                <w:sz w:val="22"/>
                <w:szCs w:val="22"/>
              </w:rPr>
              <w:t xml:space="preserve"> </w:t>
            </w:r>
            <w:r w:rsidR="00E11F4B" w:rsidRPr="00E11F4B">
              <w:rPr>
                <w:rFonts w:cs="Arial"/>
                <w:bCs/>
                <w:sz w:val="22"/>
                <w:szCs w:val="22"/>
              </w:rPr>
              <w:t>Staff will focus on the Region’s long-term SWAMP sampling sites, water bodies with sedimentation issues, data gaps, and reference sites.</w:t>
            </w:r>
          </w:p>
          <w:p w:rsidR="009014DA" w:rsidRPr="003F331E" w:rsidRDefault="00E11F4B" w:rsidP="00E11F4B">
            <w:pPr>
              <w:ind w:left="158"/>
              <w:rPr>
                <w:rFonts w:cs="Arial"/>
                <w:sz w:val="22"/>
                <w:szCs w:val="22"/>
              </w:rPr>
            </w:pPr>
            <w:r w:rsidRPr="003F331E">
              <w:rPr>
                <w:rFonts w:cs="Arial"/>
                <w:sz w:val="22"/>
                <w:szCs w:val="22"/>
              </w:rPr>
              <w:t xml:space="preserve"> </w:t>
            </w:r>
          </w:p>
          <w:p w:rsidR="005A493E" w:rsidRPr="003F331E" w:rsidRDefault="00F238C2" w:rsidP="00E83D08">
            <w:pPr>
              <w:numPr>
                <w:ilvl w:val="0"/>
                <w:numId w:val="1"/>
              </w:numPr>
              <w:ind w:left="155" w:right="-150" w:hanging="1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response to Harmful </w:t>
            </w:r>
            <w:proofErr w:type="spellStart"/>
            <w:r>
              <w:rPr>
                <w:rFonts w:cs="Arial"/>
                <w:sz w:val="22"/>
                <w:szCs w:val="22"/>
              </w:rPr>
              <w:t>Alagal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Blooms (HABs), d</w:t>
            </w:r>
            <w:r w:rsidR="000D3384" w:rsidRPr="003F331E">
              <w:rPr>
                <w:rFonts w:cs="Arial"/>
                <w:sz w:val="22"/>
                <w:szCs w:val="22"/>
              </w:rPr>
              <w:t xml:space="preserve">etermine if human health is protected in cases of water contact </w:t>
            </w:r>
            <w:r w:rsidR="00944705" w:rsidRPr="003F331E">
              <w:rPr>
                <w:rFonts w:cs="Arial"/>
                <w:sz w:val="22"/>
                <w:szCs w:val="22"/>
              </w:rPr>
              <w:t>recreation through field</w:t>
            </w:r>
            <w:r w:rsidR="000D3384" w:rsidRPr="003F331E">
              <w:rPr>
                <w:rFonts w:cs="Arial"/>
                <w:sz w:val="22"/>
                <w:szCs w:val="22"/>
              </w:rPr>
              <w:t xml:space="preserve"> indicator bacteria monitoring.</w:t>
            </w:r>
            <w:r w:rsidR="005728D8" w:rsidRPr="003F331E">
              <w:rPr>
                <w:rFonts w:cs="Arial"/>
                <w:sz w:val="22"/>
                <w:szCs w:val="22"/>
              </w:rPr>
              <w:t xml:space="preserve"> HAB response is a new effort initiated in 2017.</w:t>
            </w:r>
          </w:p>
          <w:p w:rsidR="00D97E0E" w:rsidRPr="003F331E" w:rsidRDefault="00D97E0E" w:rsidP="00D97E0E">
            <w:pPr>
              <w:ind w:left="155"/>
              <w:rPr>
                <w:rFonts w:cs="Arial"/>
                <w:sz w:val="22"/>
                <w:szCs w:val="22"/>
              </w:rPr>
            </w:pPr>
          </w:p>
          <w:p w:rsidR="00D97E0E" w:rsidRPr="003F331E" w:rsidRDefault="005F689F">
            <w:pPr>
              <w:numPr>
                <w:ilvl w:val="0"/>
                <w:numId w:val="1"/>
              </w:numPr>
              <w:ind w:left="155" w:hanging="155"/>
              <w:rPr>
                <w:rFonts w:cs="Arial"/>
                <w:sz w:val="22"/>
                <w:szCs w:val="22"/>
              </w:rPr>
            </w:pPr>
            <w:r w:rsidRPr="003F331E">
              <w:rPr>
                <w:rFonts w:cs="Arial"/>
                <w:sz w:val="22"/>
                <w:szCs w:val="22"/>
              </w:rPr>
              <w:t xml:space="preserve">Ensure all SWAMP data is </w:t>
            </w:r>
            <w:r w:rsidR="000777ED" w:rsidRPr="003F331E">
              <w:rPr>
                <w:rFonts w:cs="Arial"/>
                <w:sz w:val="22"/>
                <w:szCs w:val="22"/>
              </w:rPr>
              <w:t xml:space="preserve">collected and managed using </w:t>
            </w:r>
            <w:r w:rsidR="002E4D28" w:rsidRPr="003F331E">
              <w:rPr>
                <w:rFonts w:cs="Arial"/>
                <w:sz w:val="22"/>
                <w:szCs w:val="22"/>
              </w:rPr>
              <w:t xml:space="preserve">statewide </w:t>
            </w:r>
            <w:r w:rsidRPr="003F331E">
              <w:rPr>
                <w:rFonts w:cs="Arial"/>
                <w:sz w:val="22"/>
                <w:szCs w:val="22"/>
              </w:rPr>
              <w:t>quality assurance and quality control</w:t>
            </w:r>
            <w:r w:rsidR="00C51002" w:rsidRPr="003F331E">
              <w:rPr>
                <w:rFonts w:cs="Arial"/>
                <w:sz w:val="22"/>
                <w:szCs w:val="22"/>
              </w:rPr>
              <w:t xml:space="preserve"> standards. After </w:t>
            </w:r>
            <w:r w:rsidR="00F238C2">
              <w:rPr>
                <w:rFonts w:cs="Arial"/>
                <w:sz w:val="22"/>
                <w:szCs w:val="22"/>
              </w:rPr>
              <w:t>this</w:t>
            </w:r>
            <w:r w:rsidR="00C51002" w:rsidRPr="003F331E">
              <w:rPr>
                <w:rFonts w:cs="Arial"/>
                <w:sz w:val="22"/>
                <w:szCs w:val="22"/>
              </w:rPr>
              <w:t xml:space="preserve"> </w:t>
            </w:r>
            <w:r w:rsidR="00E940FD" w:rsidRPr="003F331E">
              <w:rPr>
                <w:rFonts w:cs="Arial"/>
                <w:sz w:val="22"/>
                <w:szCs w:val="22"/>
              </w:rPr>
              <w:t xml:space="preserve">internal </w:t>
            </w:r>
            <w:r w:rsidR="00C51002" w:rsidRPr="003F331E">
              <w:rPr>
                <w:rFonts w:cs="Arial"/>
                <w:sz w:val="22"/>
                <w:szCs w:val="22"/>
              </w:rPr>
              <w:t>review</w:t>
            </w:r>
            <w:r w:rsidR="005728D8" w:rsidRPr="003F331E">
              <w:rPr>
                <w:rFonts w:cs="Arial"/>
                <w:sz w:val="22"/>
                <w:szCs w:val="22"/>
              </w:rPr>
              <w:t>,</w:t>
            </w:r>
            <w:r w:rsidR="00C51002" w:rsidRPr="003F331E">
              <w:rPr>
                <w:rFonts w:cs="Arial"/>
                <w:sz w:val="22"/>
                <w:szCs w:val="22"/>
              </w:rPr>
              <w:t xml:space="preserve"> regio</w:t>
            </w:r>
            <w:r w:rsidR="002E4D28" w:rsidRPr="003F331E">
              <w:rPr>
                <w:rFonts w:cs="Arial"/>
                <w:sz w:val="22"/>
                <w:szCs w:val="22"/>
              </w:rPr>
              <w:t xml:space="preserve">nal data is available on CEDEN for the public to access. </w:t>
            </w:r>
            <w:r w:rsidR="00F238C2">
              <w:rPr>
                <w:rFonts w:cs="Arial"/>
                <w:sz w:val="22"/>
                <w:szCs w:val="22"/>
              </w:rPr>
              <w:t>Begin to m</w:t>
            </w:r>
            <w:r w:rsidR="002E4D28" w:rsidRPr="003F331E">
              <w:rPr>
                <w:rFonts w:cs="Arial"/>
                <w:sz w:val="22"/>
                <w:szCs w:val="22"/>
              </w:rPr>
              <w:t>odern</w:t>
            </w:r>
            <w:r w:rsidR="00D97E0E" w:rsidRPr="003F331E">
              <w:rPr>
                <w:rFonts w:cs="Arial"/>
                <w:sz w:val="22"/>
                <w:szCs w:val="22"/>
              </w:rPr>
              <w:t>ize our</w:t>
            </w:r>
            <w:r w:rsidR="002E4D28" w:rsidRPr="003F331E">
              <w:rPr>
                <w:rFonts w:cs="Arial"/>
                <w:sz w:val="22"/>
                <w:szCs w:val="22"/>
              </w:rPr>
              <w:t xml:space="preserve"> regional </w:t>
            </w:r>
            <w:r w:rsidR="00D97E0E" w:rsidRPr="003F331E">
              <w:rPr>
                <w:rFonts w:cs="Arial"/>
                <w:sz w:val="22"/>
                <w:szCs w:val="22"/>
              </w:rPr>
              <w:t>website with data assessment tools</w:t>
            </w:r>
            <w:r w:rsidR="005728D8" w:rsidRPr="003F331E">
              <w:rPr>
                <w:rFonts w:cs="Arial"/>
                <w:sz w:val="22"/>
                <w:szCs w:val="22"/>
              </w:rPr>
              <w:t>,</w:t>
            </w:r>
            <w:r w:rsidR="00D97E0E" w:rsidRPr="003F331E">
              <w:rPr>
                <w:rFonts w:cs="Arial"/>
                <w:sz w:val="22"/>
                <w:szCs w:val="22"/>
              </w:rPr>
              <w:t xml:space="preserve"> and </w:t>
            </w:r>
            <w:r w:rsidR="005728D8" w:rsidRPr="003F331E">
              <w:rPr>
                <w:rFonts w:cs="Arial"/>
                <w:sz w:val="22"/>
                <w:szCs w:val="22"/>
              </w:rPr>
              <w:t>a more user</w:t>
            </w:r>
            <w:r w:rsidR="00D63DCA" w:rsidRPr="003F331E">
              <w:rPr>
                <w:rFonts w:cs="Arial"/>
                <w:sz w:val="22"/>
                <w:szCs w:val="22"/>
              </w:rPr>
              <w:t>-</w:t>
            </w:r>
            <w:r w:rsidR="005728D8" w:rsidRPr="003F331E">
              <w:rPr>
                <w:rFonts w:cs="Arial"/>
                <w:sz w:val="22"/>
                <w:szCs w:val="22"/>
              </w:rPr>
              <w:t xml:space="preserve">friendly </w:t>
            </w:r>
            <w:r w:rsidR="00D97E0E" w:rsidRPr="003F331E">
              <w:rPr>
                <w:rFonts w:cs="Arial"/>
                <w:sz w:val="22"/>
                <w:szCs w:val="22"/>
              </w:rPr>
              <w:t xml:space="preserve">design </w:t>
            </w:r>
            <w:r w:rsidR="00E940FD" w:rsidRPr="003F331E">
              <w:rPr>
                <w:rFonts w:cs="Arial"/>
                <w:sz w:val="22"/>
                <w:szCs w:val="22"/>
              </w:rPr>
              <w:t>and useful</w:t>
            </w:r>
            <w:r w:rsidR="00D97E0E" w:rsidRPr="003F331E">
              <w:rPr>
                <w:rFonts w:cs="Arial"/>
                <w:sz w:val="22"/>
                <w:szCs w:val="22"/>
              </w:rPr>
              <w:t xml:space="preserve"> format.</w:t>
            </w:r>
          </w:p>
          <w:p w:rsidR="00C51002" w:rsidRPr="003F331E" w:rsidRDefault="002E4D28" w:rsidP="00944705">
            <w:pPr>
              <w:ind w:left="155"/>
              <w:rPr>
                <w:rFonts w:cs="Arial"/>
                <w:sz w:val="22"/>
                <w:szCs w:val="22"/>
              </w:rPr>
            </w:pPr>
            <w:r w:rsidRPr="003F331E">
              <w:rPr>
                <w:rFonts w:cs="Arial"/>
                <w:sz w:val="22"/>
                <w:szCs w:val="22"/>
              </w:rPr>
              <w:t xml:space="preserve"> </w:t>
            </w:r>
          </w:p>
          <w:p w:rsidR="00463F08" w:rsidRPr="003F331E" w:rsidRDefault="00C51002" w:rsidP="00D97E0E">
            <w:pPr>
              <w:numPr>
                <w:ilvl w:val="0"/>
                <w:numId w:val="1"/>
              </w:numPr>
              <w:ind w:left="155" w:hanging="155"/>
              <w:rPr>
                <w:rFonts w:cs="Arial"/>
                <w:sz w:val="22"/>
                <w:szCs w:val="22"/>
              </w:rPr>
            </w:pPr>
            <w:r w:rsidRPr="003F331E">
              <w:rPr>
                <w:rFonts w:cs="Arial"/>
                <w:sz w:val="22"/>
                <w:szCs w:val="22"/>
              </w:rPr>
              <w:t>Redesign</w:t>
            </w:r>
            <w:r w:rsidR="002E4D28" w:rsidRPr="003F331E">
              <w:rPr>
                <w:rFonts w:cs="Arial"/>
                <w:sz w:val="22"/>
                <w:szCs w:val="22"/>
              </w:rPr>
              <w:t xml:space="preserve"> </w:t>
            </w:r>
            <w:r w:rsidR="005728D8" w:rsidRPr="003F331E">
              <w:rPr>
                <w:rFonts w:cs="Arial"/>
                <w:sz w:val="22"/>
                <w:szCs w:val="22"/>
              </w:rPr>
              <w:t xml:space="preserve">the region’s SWAMP </w:t>
            </w:r>
            <w:r w:rsidRPr="003F331E">
              <w:rPr>
                <w:rFonts w:cs="Arial"/>
                <w:sz w:val="22"/>
                <w:szCs w:val="22"/>
              </w:rPr>
              <w:t>monitoring plan to be as useful and efficient as possible</w:t>
            </w:r>
            <w:r w:rsidR="005728D8" w:rsidRPr="003F331E">
              <w:rPr>
                <w:rFonts w:cs="Arial"/>
                <w:sz w:val="22"/>
                <w:szCs w:val="22"/>
              </w:rPr>
              <w:t>,</w:t>
            </w:r>
            <w:r w:rsidRPr="003F331E">
              <w:rPr>
                <w:rFonts w:cs="Arial"/>
                <w:sz w:val="22"/>
                <w:szCs w:val="22"/>
              </w:rPr>
              <w:t xml:space="preserve"> while adjusting to</w:t>
            </w:r>
            <w:r w:rsidR="002E4D28" w:rsidRPr="003F331E">
              <w:rPr>
                <w:rFonts w:cs="Arial"/>
                <w:sz w:val="22"/>
                <w:szCs w:val="22"/>
              </w:rPr>
              <w:t xml:space="preserve"> staff </w:t>
            </w:r>
            <w:r w:rsidR="00D63DCA" w:rsidRPr="003F331E">
              <w:rPr>
                <w:rFonts w:cs="Arial"/>
                <w:sz w:val="22"/>
                <w:szCs w:val="22"/>
              </w:rPr>
              <w:t>reductions and changing</w:t>
            </w:r>
            <w:r w:rsidR="00D63DCA">
              <w:rPr>
                <w:rFonts w:cs="Arial"/>
                <w:sz w:val="22"/>
                <w:szCs w:val="22"/>
              </w:rPr>
              <w:t xml:space="preserve"> responsibilities</w:t>
            </w:r>
            <w:r w:rsidR="002E4D28">
              <w:rPr>
                <w:rFonts w:cs="Arial"/>
                <w:sz w:val="22"/>
                <w:szCs w:val="22"/>
              </w:rPr>
              <w:t xml:space="preserve">. </w:t>
            </w:r>
            <w:r w:rsidR="00D97E0E">
              <w:rPr>
                <w:rFonts w:cs="Arial"/>
                <w:sz w:val="22"/>
                <w:szCs w:val="22"/>
              </w:rPr>
              <w:t>SWAMP is c</w:t>
            </w:r>
            <w:r w:rsidR="002E4D28">
              <w:rPr>
                <w:rFonts w:cs="Arial"/>
                <w:sz w:val="22"/>
                <w:szCs w:val="22"/>
              </w:rPr>
              <w:t xml:space="preserve">urrently </w:t>
            </w:r>
            <w:r w:rsidR="005728D8">
              <w:rPr>
                <w:rFonts w:cs="Arial"/>
                <w:sz w:val="22"/>
                <w:szCs w:val="22"/>
              </w:rPr>
              <w:t>evaluating</w:t>
            </w:r>
            <w:r w:rsidR="002E4D28">
              <w:rPr>
                <w:rFonts w:cs="Arial"/>
                <w:sz w:val="22"/>
                <w:szCs w:val="22"/>
              </w:rPr>
              <w:t xml:space="preserve"> </w:t>
            </w:r>
            <w:r w:rsidR="003E1BB4">
              <w:rPr>
                <w:rFonts w:cs="Arial"/>
                <w:sz w:val="22"/>
                <w:szCs w:val="22"/>
              </w:rPr>
              <w:t>opportunities</w:t>
            </w:r>
            <w:r w:rsidR="002E4D28">
              <w:rPr>
                <w:rFonts w:cs="Arial"/>
                <w:sz w:val="22"/>
                <w:szCs w:val="22"/>
              </w:rPr>
              <w:t xml:space="preserve"> to collaborate with other regional programs, statewide programs</w:t>
            </w:r>
            <w:r w:rsidR="005728D8">
              <w:rPr>
                <w:rFonts w:cs="Arial"/>
                <w:sz w:val="22"/>
                <w:szCs w:val="22"/>
              </w:rPr>
              <w:t>,</w:t>
            </w:r>
            <w:r w:rsidR="002E4D28">
              <w:rPr>
                <w:rFonts w:cs="Arial"/>
                <w:sz w:val="22"/>
                <w:szCs w:val="22"/>
              </w:rPr>
              <w:t xml:space="preserve"> and stakeholders to better utilize all available</w:t>
            </w:r>
            <w:r w:rsidR="00D97E0E">
              <w:rPr>
                <w:rFonts w:cs="Arial"/>
                <w:sz w:val="22"/>
                <w:szCs w:val="22"/>
              </w:rPr>
              <w:t xml:space="preserve"> resources.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0379" w:rsidRDefault="00260379" w:rsidP="00260379">
            <w:pPr>
              <w:rPr>
                <w:rStyle w:val="Strong"/>
                <w:b w:val="0"/>
              </w:rPr>
            </w:pPr>
          </w:p>
          <w:p w:rsidR="00FD2D21" w:rsidRDefault="00FD2D21" w:rsidP="00260379">
            <w:pPr>
              <w:rPr>
                <w:rStyle w:val="Strong"/>
                <w:b w:val="0"/>
              </w:rPr>
            </w:pPr>
          </w:p>
          <w:p w:rsidR="0037678E" w:rsidRPr="00260379" w:rsidRDefault="0037678E" w:rsidP="00F82759">
            <w:pPr>
              <w:rPr>
                <w:rStyle w:val="Strong"/>
                <w:b w:val="0"/>
              </w:rPr>
            </w:pPr>
          </w:p>
        </w:tc>
      </w:tr>
    </w:tbl>
    <w:p w:rsidR="00C20B67" w:rsidRPr="00260379" w:rsidRDefault="00C20B67">
      <w:pPr>
        <w:rPr>
          <w:sz w:val="20"/>
        </w:rPr>
      </w:pPr>
    </w:p>
    <w:p w:rsidR="00326E22" w:rsidRDefault="003A1193"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210E2A6A" wp14:editId="377DDDAE">
            <wp:simplePos x="0" y="0"/>
            <wp:positionH relativeFrom="column">
              <wp:posOffset>4124325</wp:posOffset>
            </wp:positionH>
            <wp:positionV relativeFrom="paragraph">
              <wp:posOffset>-238125</wp:posOffset>
            </wp:positionV>
            <wp:extent cx="2676525" cy="1828800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78D">
        <w:rPr>
          <w:noProof/>
        </w:rPr>
        <w:drawing>
          <wp:inline distT="0" distB="0" distL="0" distR="0" wp14:anchorId="72AE2663" wp14:editId="1E039D6D">
            <wp:extent cx="3961130" cy="1247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62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6" r="-7200" b="27396"/>
                    <a:stretch/>
                  </pic:blipFill>
                  <pic:spPr bwMode="auto">
                    <a:xfrm>
                      <a:off x="0" y="0"/>
                      <a:ext cx="4115780" cy="129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52"/>
        <w:tblW w:w="1069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692"/>
      </w:tblGrid>
      <w:tr w:rsidR="002F37A7" w:rsidTr="00E11F4B">
        <w:trPr>
          <w:trHeight w:val="3878"/>
        </w:trPr>
        <w:tc>
          <w:tcPr>
            <w:tcW w:w="106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F37A7" w:rsidRDefault="002F37A7" w:rsidP="002F37A7">
            <w:pPr>
              <w:tabs>
                <w:tab w:val="left" w:pos="1815"/>
              </w:tabs>
              <w:spacing w:after="80"/>
              <w:rPr>
                <w:rStyle w:val="Strong"/>
                <w:b w:val="0"/>
                <w:sz w:val="32"/>
              </w:rPr>
            </w:pPr>
            <w:r w:rsidRPr="00BC03BB">
              <w:rPr>
                <w:rStyle w:val="Strong"/>
                <w:b w:val="0"/>
                <w:sz w:val="32"/>
              </w:rPr>
              <w:t>Accomplishments</w:t>
            </w:r>
          </w:p>
          <w:p w:rsidR="002F37A7" w:rsidRDefault="00944705" w:rsidP="002F37A7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SWAMP staff visited </w:t>
            </w:r>
            <w:r w:rsidRPr="00944705">
              <w:rPr>
                <w:rStyle w:val="Strong"/>
                <w:b w:val="0"/>
                <w:sz w:val="20"/>
                <w:szCs w:val="20"/>
              </w:rPr>
              <w:t>144</w:t>
            </w:r>
            <w:r w:rsidR="009014DA">
              <w:rPr>
                <w:rStyle w:val="Strong"/>
                <w:b w:val="0"/>
                <w:sz w:val="20"/>
                <w:szCs w:val="20"/>
              </w:rPr>
              <w:t xml:space="preserve"> sites and conducted </w:t>
            </w:r>
            <w:r>
              <w:rPr>
                <w:rStyle w:val="Strong"/>
                <w:b w:val="0"/>
                <w:sz w:val="20"/>
                <w:szCs w:val="20"/>
              </w:rPr>
              <w:t>350</w:t>
            </w:r>
            <w:r w:rsidR="009014DA">
              <w:rPr>
                <w:rStyle w:val="Strong"/>
                <w:b w:val="0"/>
                <w:sz w:val="20"/>
                <w:szCs w:val="20"/>
              </w:rPr>
              <w:t xml:space="preserve"> water quality collections.</w:t>
            </w:r>
            <w:r w:rsidR="002F37A7" w:rsidRPr="00BA5C12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2F37A7">
              <w:rPr>
                <w:rStyle w:val="Strong"/>
                <w:b w:val="0"/>
                <w:sz w:val="20"/>
                <w:szCs w:val="20"/>
              </w:rPr>
              <w:t xml:space="preserve">All data is </w:t>
            </w:r>
            <w:r w:rsidR="002F37A7" w:rsidRPr="00BA5C12">
              <w:rPr>
                <w:rStyle w:val="Strong"/>
                <w:b w:val="0"/>
                <w:sz w:val="20"/>
                <w:szCs w:val="20"/>
              </w:rPr>
              <w:t xml:space="preserve">made available </w:t>
            </w:r>
            <w:r w:rsidR="002F37A7">
              <w:rPr>
                <w:rStyle w:val="Strong"/>
                <w:b w:val="0"/>
                <w:sz w:val="20"/>
                <w:szCs w:val="20"/>
              </w:rPr>
              <w:t xml:space="preserve">in the California Environmental Data Exchange Network (CEDEN), </w:t>
            </w:r>
            <w:r w:rsidR="002F37A7" w:rsidRPr="00BA5C12">
              <w:rPr>
                <w:rStyle w:val="Strong"/>
                <w:b w:val="0"/>
                <w:sz w:val="20"/>
                <w:szCs w:val="20"/>
              </w:rPr>
              <w:t xml:space="preserve">and assessed </w:t>
            </w:r>
            <w:r w:rsidR="002F37A7">
              <w:rPr>
                <w:rStyle w:val="Strong"/>
                <w:b w:val="0"/>
                <w:sz w:val="20"/>
                <w:szCs w:val="20"/>
              </w:rPr>
              <w:t>in</w:t>
            </w:r>
            <w:r w:rsidR="002F37A7" w:rsidRPr="00BA5C12">
              <w:rPr>
                <w:rStyle w:val="Strong"/>
                <w:b w:val="0"/>
                <w:sz w:val="20"/>
                <w:szCs w:val="20"/>
              </w:rPr>
              <w:t xml:space="preserve"> the State Water Board’s “Integrated Report” (i.e., Clean Water Act Section 303(d)/305(b) assessment).</w:t>
            </w:r>
            <w:r w:rsidR="002F37A7">
              <w:rPr>
                <w:rStyle w:val="Strong"/>
                <w:b w:val="0"/>
                <w:sz w:val="20"/>
                <w:szCs w:val="20"/>
              </w:rPr>
              <w:t xml:space="preserve"> Statewide and historical Region 6 SWAMP performance measures are available at: </w:t>
            </w:r>
            <w:hyperlink r:id="rId13" w:history="1">
              <w:r w:rsidR="002F37A7" w:rsidRPr="00A95B92">
                <w:rPr>
                  <w:rStyle w:val="Hyperlink"/>
                  <w:sz w:val="20"/>
                  <w:szCs w:val="20"/>
                </w:rPr>
                <w:t>http://www.waterboards.ca.gov/about_us/performance_report_1516/plan_assess/12111_swamp_visits.shtml</w:t>
              </w:r>
            </w:hyperlink>
          </w:p>
          <w:p w:rsidR="002F37A7" w:rsidRPr="00A95B92" w:rsidRDefault="00967844" w:rsidP="002F37A7">
            <w:pPr>
              <w:pStyle w:val="ListParagraph"/>
              <w:numPr>
                <w:ilvl w:val="0"/>
                <w:numId w:val="7"/>
              </w:numPr>
              <w:rPr>
                <w:bCs/>
                <w:sz w:val="10"/>
                <w:szCs w:val="10"/>
              </w:rPr>
            </w:pPr>
            <w:r>
              <w:rPr>
                <w:rStyle w:val="Strong"/>
                <w:b w:val="0"/>
                <w:sz w:val="20"/>
                <w:szCs w:val="20"/>
              </w:rPr>
              <w:t>Updated</w:t>
            </w:r>
            <w:r w:rsidR="002F37A7" w:rsidRPr="00D53D88">
              <w:rPr>
                <w:sz w:val="20"/>
                <w:szCs w:val="20"/>
              </w:rPr>
              <w:t xml:space="preserve"> </w:t>
            </w:r>
            <w:r w:rsidR="00D97E0E">
              <w:rPr>
                <w:sz w:val="20"/>
                <w:szCs w:val="20"/>
              </w:rPr>
              <w:t xml:space="preserve">regional </w:t>
            </w:r>
            <w:r w:rsidR="002F37A7" w:rsidRPr="00D53D88">
              <w:rPr>
                <w:sz w:val="20"/>
                <w:szCs w:val="20"/>
              </w:rPr>
              <w:t>web</w:t>
            </w:r>
            <w:r w:rsidR="00D97E0E">
              <w:rPr>
                <w:sz w:val="20"/>
                <w:szCs w:val="20"/>
              </w:rPr>
              <w:t>site</w:t>
            </w:r>
            <w:r w:rsidR="002F37A7" w:rsidRPr="00D53D88">
              <w:rPr>
                <w:rStyle w:val="Strong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b w:val="0"/>
                <w:sz w:val="20"/>
                <w:szCs w:val="20"/>
              </w:rPr>
              <w:t>with the most recent fish consumption advisories and resources for regional data collectors. A</w:t>
            </w:r>
            <w:r w:rsidR="002F37A7" w:rsidRPr="00D53D88">
              <w:rPr>
                <w:rStyle w:val="Strong"/>
                <w:b w:val="0"/>
                <w:sz w:val="20"/>
                <w:szCs w:val="20"/>
              </w:rPr>
              <w:t>ccess</w:t>
            </w:r>
            <w:r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2F37A7" w:rsidRPr="00D53D88">
              <w:rPr>
                <w:rStyle w:val="Strong"/>
                <w:b w:val="0"/>
                <w:sz w:val="20"/>
                <w:szCs w:val="20"/>
              </w:rPr>
              <w:t>to SWAMP reports and data</w:t>
            </w:r>
            <w:r w:rsidR="00D97E0E">
              <w:rPr>
                <w:rStyle w:val="Strong"/>
                <w:b w:val="0"/>
                <w:sz w:val="20"/>
                <w:szCs w:val="20"/>
              </w:rPr>
              <w:t xml:space="preserve"> is available</w:t>
            </w:r>
            <w:r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2F37A7" w:rsidRPr="00D53D88">
              <w:rPr>
                <w:rStyle w:val="Strong"/>
                <w:b w:val="0"/>
                <w:sz w:val="20"/>
                <w:szCs w:val="20"/>
              </w:rPr>
              <w:t xml:space="preserve">at:  </w:t>
            </w:r>
            <w:hyperlink r:id="rId14" w:history="1">
              <w:r w:rsidR="002F37A7" w:rsidRPr="002554FA">
                <w:rPr>
                  <w:rStyle w:val="Hyperlink"/>
                  <w:sz w:val="20"/>
                  <w:szCs w:val="20"/>
                </w:rPr>
                <w:t>www.waterboards.ca.gov/lahontan/water_issues/programs/swamp</w:t>
              </w:r>
            </w:hyperlink>
          </w:p>
          <w:p w:rsidR="002F37A7" w:rsidRPr="00A95B92" w:rsidRDefault="002F37A7" w:rsidP="002F37A7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  <w:sz w:val="10"/>
                <w:szCs w:val="10"/>
              </w:rPr>
            </w:pPr>
            <w:r w:rsidRPr="00A95B92">
              <w:rPr>
                <w:rStyle w:val="Strong"/>
                <w:b w:val="0"/>
                <w:sz w:val="20"/>
                <w:szCs w:val="20"/>
              </w:rPr>
              <w:t>During 2016</w:t>
            </w:r>
            <w:r w:rsidR="00F238C2">
              <w:rPr>
                <w:rStyle w:val="Strong"/>
                <w:b w:val="0"/>
                <w:sz w:val="20"/>
                <w:szCs w:val="20"/>
              </w:rPr>
              <w:t>-17</w:t>
            </w:r>
            <w:r w:rsidRPr="00A95B92">
              <w:rPr>
                <w:rStyle w:val="Strong"/>
                <w:b w:val="0"/>
                <w:sz w:val="20"/>
                <w:szCs w:val="20"/>
              </w:rPr>
              <w:t>, the Region’s SWAMP staff conducted a toxicity study for the Susan River</w:t>
            </w:r>
            <w:r w:rsidR="001E32B1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F238C2">
              <w:rPr>
                <w:rStyle w:val="Strong"/>
                <w:b w:val="0"/>
                <w:sz w:val="20"/>
                <w:szCs w:val="20"/>
              </w:rPr>
              <w:t>with the California Department of Fish and Wildlife and the UC Davis Aquatic Hea</w:t>
            </w:r>
            <w:r w:rsidR="000A6342">
              <w:rPr>
                <w:rStyle w:val="Strong"/>
                <w:b w:val="0"/>
                <w:sz w:val="20"/>
                <w:szCs w:val="20"/>
              </w:rPr>
              <w:t>lth Program Laboratory</w:t>
            </w:r>
            <w:r w:rsidR="00F238C2">
              <w:rPr>
                <w:rStyle w:val="Strong"/>
                <w:b w:val="0"/>
                <w:sz w:val="20"/>
                <w:szCs w:val="20"/>
              </w:rPr>
              <w:t xml:space="preserve">. The 2017 UC Davis authored report, </w:t>
            </w:r>
            <w:r w:rsidR="00B5702E">
              <w:rPr>
                <w:rStyle w:val="Strong"/>
                <w:b w:val="0"/>
                <w:sz w:val="20"/>
                <w:szCs w:val="20"/>
              </w:rPr>
              <w:t xml:space="preserve">available </w:t>
            </w:r>
            <w:r w:rsidR="000A6342">
              <w:rPr>
                <w:rStyle w:val="Strong"/>
                <w:b w:val="0"/>
                <w:sz w:val="20"/>
                <w:szCs w:val="20"/>
              </w:rPr>
              <w:t>on the SWAMP website</w:t>
            </w:r>
            <w:r w:rsidR="00F238C2">
              <w:rPr>
                <w:rStyle w:val="Strong"/>
                <w:b w:val="0"/>
                <w:sz w:val="20"/>
                <w:szCs w:val="20"/>
              </w:rPr>
              <w:t>, concluded that there is l</w:t>
            </w:r>
            <w:r w:rsidR="001E32B1">
              <w:rPr>
                <w:rStyle w:val="Strong"/>
                <w:b w:val="0"/>
                <w:sz w:val="20"/>
                <w:szCs w:val="20"/>
              </w:rPr>
              <w:t xml:space="preserve">ess toxicity than past studies and the Susan River is on the mend. </w:t>
            </w:r>
          </w:p>
          <w:p w:rsidR="000A6342" w:rsidRPr="00EF74C3" w:rsidRDefault="000A6342" w:rsidP="002F37A7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  <w:sz w:val="20"/>
                <w:szCs w:val="20"/>
              </w:rPr>
              <w:t>Collected fish tissue samples from Fallen Leaf Lake, Big Pine Creek, Independence Creek</w:t>
            </w:r>
            <w:r w:rsidR="00145F38">
              <w:rPr>
                <w:rStyle w:val="Strong"/>
                <w:b w:val="0"/>
                <w:sz w:val="20"/>
                <w:szCs w:val="20"/>
              </w:rPr>
              <w:t>,</w:t>
            </w:r>
            <w:r>
              <w:rPr>
                <w:rStyle w:val="Strong"/>
                <w:b w:val="0"/>
                <w:sz w:val="20"/>
                <w:szCs w:val="20"/>
              </w:rPr>
              <w:t xml:space="preserve"> and Bishop Creek for </w:t>
            </w:r>
            <w:r w:rsidR="00B5702E">
              <w:rPr>
                <w:rStyle w:val="Strong"/>
                <w:b w:val="0"/>
                <w:sz w:val="20"/>
                <w:szCs w:val="20"/>
              </w:rPr>
              <w:t>developing</w:t>
            </w:r>
            <w:r>
              <w:rPr>
                <w:rStyle w:val="Strong"/>
                <w:b w:val="0"/>
                <w:sz w:val="20"/>
                <w:szCs w:val="20"/>
              </w:rPr>
              <w:t xml:space="preserve"> fish consumption advisories. Results </w:t>
            </w:r>
            <w:r w:rsidR="00B5702E">
              <w:rPr>
                <w:rStyle w:val="Strong"/>
                <w:b w:val="0"/>
                <w:sz w:val="20"/>
                <w:szCs w:val="20"/>
              </w:rPr>
              <w:t xml:space="preserve">are </w:t>
            </w:r>
            <w:r w:rsidR="00F238C2">
              <w:rPr>
                <w:rStyle w:val="Strong"/>
                <w:b w:val="0"/>
                <w:sz w:val="20"/>
                <w:szCs w:val="20"/>
              </w:rPr>
              <w:t xml:space="preserve">expected </w:t>
            </w:r>
            <w:r w:rsidR="00E11F4B">
              <w:rPr>
                <w:rStyle w:val="Strong"/>
                <w:b w:val="0"/>
                <w:sz w:val="20"/>
                <w:szCs w:val="20"/>
              </w:rPr>
              <w:t>summer 2018</w:t>
            </w:r>
            <w:r>
              <w:rPr>
                <w:rStyle w:val="Strong"/>
                <w:b w:val="0"/>
                <w:sz w:val="20"/>
                <w:szCs w:val="20"/>
              </w:rPr>
              <w:t xml:space="preserve">. </w:t>
            </w:r>
          </w:p>
          <w:p w:rsidR="000A6342" w:rsidRPr="00EF74C3" w:rsidRDefault="00145F38" w:rsidP="002F37A7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  <w:sz w:val="20"/>
                <w:szCs w:val="20"/>
              </w:rPr>
              <w:t>Established</w:t>
            </w:r>
            <w:r w:rsidR="000A6342">
              <w:rPr>
                <w:rStyle w:val="Strong"/>
                <w:b w:val="0"/>
                <w:sz w:val="20"/>
                <w:szCs w:val="20"/>
              </w:rPr>
              <w:t xml:space="preserve"> our fi</w:t>
            </w:r>
            <w:r w:rsidR="00724BCF">
              <w:rPr>
                <w:rStyle w:val="Strong"/>
                <w:b w:val="0"/>
                <w:sz w:val="20"/>
                <w:szCs w:val="20"/>
              </w:rPr>
              <w:t>r</w:t>
            </w:r>
            <w:r w:rsidR="000A6342">
              <w:rPr>
                <w:rStyle w:val="Strong"/>
                <w:b w:val="0"/>
                <w:sz w:val="20"/>
                <w:szCs w:val="20"/>
              </w:rPr>
              <w:t>st in</w:t>
            </w:r>
            <w:r w:rsidR="0030014D">
              <w:rPr>
                <w:rStyle w:val="Strong"/>
                <w:b w:val="0"/>
                <w:sz w:val="20"/>
                <w:szCs w:val="20"/>
              </w:rPr>
              <w:t>-</w:t>
            </w:r>
            <w:r w:rsidR="000A6342">
              <w:rPr>
                <w:rStyle w:val="Strong"/>
                <w:b w:val="0"/>
                <w:sz w:val="20"/>
                <w:szCs w:val="20"/>
              </w:rPr>
              <w:t xml:space="preserve">house </w:t>
            </w:r>
            <w:proofErr w:type="spellStart"/>
            <w:r w:rsidR="000A6342">
              <w:rPr>
                <w:rStyle w:val="Strong"/>
                <w:b w:val="0"/>
                <w:sz w:val="20"/>
                <w:szCs w:val="20"/>
              </w:rPr>
              <w:t>bioassessment</w:t>
            </w:r>
            <w:proofErr w:type="spellEnd"/>
            <w:r w:rsidR="000A6342">
              <w:rPr>
                <w:rStyle w:val="Strong"/>
                <w:b w:val="0"/>
                <w:sz w:val="20"/>
                <w:szCs w:val="20"/>
              </w:rPr>
              <w:t xml:space="preserve"> s</w:t>
            </w:r>
            <w:r w:rsidR="00724BCF">
              <w:rPr>
                <w:rStyle w:val="Strong"/>
                <w:b w:val="0"/>
                <w:sz w:val="20"/>
                <w:szCs w:val="20"/>
              </w:rPr>
              <w:t>ampling team. With assistance from</w:t>
            </w:r>
            <w:r w:rsidR="000A6342">
              <w:rPr>
                <w:rStyle w:val="Strong"/>
                <w:b w:val="0"/>
                <w:sz w:val="20"/>
                <w:szCs w:val="20"/>
              </w:rPr>
              <w:t xml:space="preserve"> contractors</w:t>
            </w:r>
            <w:r w:rsidR="002351AC">
              <w:rPr>
                <w:rStyle w:val="Strong"/>
                <w:b w:val="0"/>
                <w:sz w:val="20"/>
                <w:szCs w:val="20"/>
              </w:rPr>
              <w:t>,</w:t>
            </w:r>
            <w:r w:rsidR="000A6342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2351AC">
              <w:rPr>
                <w:rStyle w:val="Strong"/>
                <w:b w:val="0"/>
                <w:sz w:val="20"/>
                <w:szCs w:val="20"/>
              </w:rPr>
              <w:t xml:space="preserve">Water Board staff </w:t>
            </w:r>
            <w:r w:rsidR="000A6342">
              <w:rPr>
                <w:rStyle w:val="Strong"/>
                <w:b w:val="0"/>
                <w:sz w:val="20"/>
                <w:szCs w:val="20"/>
              </w:rPr>
              <w:t>sample</w:t>
            </w:r>
            <w:r w:rsidR="00E11F4B">
              <w:rPr>
                <w:rStyle w:val="Strong"/>
                <w:b w:val="0"/>
                <w:sz w:val="20"/>
                <w:szCs w:val="20"/>
              </w:rPr>
              <w:t>d 20 sites in the first year of a three year effort.</w:t>
            </w:r>
            <w:r w:rsidR="00837DFD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  <w:p w:rsidR="009014DA" w:rsidRPr="009014DA" w:rsidRDefault="000A6342" w:rsidP="00944705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Funded and organized </w:t>
            </w:r>
            <w:proofErr w:type="gramStart"/>
            <w:r>
              <w:rPr>
                <w:rStyle w:val="Strong"/>
                <w:b w:val="0"/>
                <w:sz w:val="20"/>
                <w:szCs w:val="20"/>
              </w:rPr>
              <w:t>a training</w:t>
            </w:r>
            <w:proofErr w:type="gramEnd"/>
            <w:r>
              <w:rPr>
                <w:rStyle w:val="Strong"/>
                <w:b w:val="0"/>
                <w:sz w:val="20"/>
                <w:szCs w:val="20"/>
              </w:rPr>
              <w:t xml:space="preserve"> for data collectors interested in uploading data into CEDEN. The Marine Pollution Studies Laboratory </w:t>
            </w:r>
            <w:r w:rsidR="00CF04B0">
              <w:rPr>
                <w:rStyle w:val="Strong"/>
                <w:b w:val="0"/>
                <w:sz w:val="20"/>
                <w:szCs w:val="20"/>
              </w:rPr>
              <w:t xml:space="preserve">provided the training, guiding </w:t>
            </w:r>
            <w:r>
              <w:rPr>
                <w:rStyle w:val="Strong"/>
                <w:b w:val="0"/>
                <w:sz w:val="20"/>
                <w:szCs w:val="20"/>
              </w:rPr>
              <w:t xml:space="preserve">data managers through the </w:t>
            </w:r>
            <w:r w:rsidR="00CF04B0">
              <w:rPr>
                <w:rStyle w:val="Strong"/>
                <w:b w:val="0"/>
                <w:sz w:val="20"/>
                <w:szCs w:val="20"/>
              </w:rPr>
              <w:t xml:space="preserve">CEDEN </w:t>
            </w:r>
            <w:r>
              <w:rPr>
                <w:rStyle w:val="Strong"/>
                <w:b w:val="0"/>
                <w:sz w:val="20"/>
                <w:szCs w:val="20"/>
              </w:rPr>
              <w:t xml:space="preserve">data submittal process. </w:t>
            </w:r>
            <w:r w:rsidR="00CF04B0">
              <w:rPr>
                <w:rStyle w:val="Strong"/>
                <w:b w:val="0"/>
                <w:sz w:val="20"/>
                <w:szCs w:val="20"/>
              </w:rPr>
              <w:t xml:space="preserve">The training </w:t>
            </w:r>
            <w:r>
              <w:rPr>
                <w:rStyle w:val="Strong"/>
                <w:b w:val="0"/>
                <w:sz w:val="20"/>
                <w:szCs w:val="20"/>
              </w:rPr>
              <w:t>was reco</w:t>
            </w:r>
            <w:r w:rsidR="00724BCF">
              <w:rPr>
                <w:rStyle w:val="Strong"/>
                <w:b w:val="0"/>
                <w:sz w:val="20"/>
                <w:szCs w:val="20"/>
              </w:rPr>
              <w:t>r</w:t>
            </w:r>
            <w:r>
              <w:rPr>
                <w:rStyle w:val="Strong"/>
                <w:b w:val="0"/>
                <w:sz w:val="20"/>
                <w:szCs w:val="20"/>
              </w:rPr>
              <w:t xml:space="preserve">ded and </w:t>
            </w:r>
            <w:r w:rsidR="00CF04B0">
              <w:rPr>
                <w:rStyle w:val="Strong"/>
                <w:b w:val="0"/>
                <w:sz w:val="20"/>
                <w:szCs w:val="20"/>
              </w:rPr>
              <w:t xml:space="preserve">is </w:t>
            </w:r>
            <w:r>
              <w:rPr>
                <w:rStyle w:val="Strong"/>
                <w:b w:val="0"/>
                <w:sz w:val="20"/>
                <w:szCs w:val="20"/>
              </w:rPr>
              <w:t xml:space="preserve">posted </w:t>
            </w:r>
            <w:r w:rsidR="00CF04B0">
              <w:rPr>
                <w:rStyle w:val="Strong"/>
                <w:b w:val="0"/>
                <w:sz w:val="20"/>
                <w:szCs w:val="20"/>
              </w:rPr>
              <w:t>on</w:t>
            </w:r>
            <w:r>
              <w:rPr>
                <w:rStyle w:val="Strong"/>
                <w:b w:val="0"/>
                <w:sz w:val="20"/>
                <w:szCs w:val="20"/>
              </w:rPr>
              <w:t xml:space="preserve"> the SWAMP website. </w:t>
            </w:r>
          </w:p>
          <w:p w:rsidR="002F37A7" w:rsidRPr="00BA5C12" w:rsidRDefault="002F37A7" w:rsidP="00944705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  <w:sz w:val="20"/>
                <w:szCs w:val="20"/>
              </w:rPr>
              <w:t>C</w:t>
            </w:r>
            <w:r w:rsidRPr="005318AE">
              <w:rPr>
                <w:rStyle w:val="Strong"/>
                <w:b w:val="0"/>
                <w:sz w:val="20"/>
                <w:szCs w:val="20"/>
              </w:rPr>
              <w:t>oordinated with the Region’s TMDL Unit to adjust SWAMP sampling to obtain data needed to address impairments at 303(d)-listed water bodies.</w:t>
            </w:r>
          </w:p>
        </w:tc>
      </w:tr>
      <w:tr w:rsidR="002F37A7" w:rsidRPr="0004222B" w:rsidTr="002F37A7">
        <w:tc>
          <w:tcPr>
            <w:tcW w:w="1069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2F37A7" w:rsidRPr="0004222B" w:rsidRDefault="002F37A7" w:rsidP="002F37A7">
            <w:pPr>
              <w:rPr>
                <w:rStyle w:val="Strong"/>
                <w:b w:val="0"/>
                <w:sz w:val="12"/>
              </w:rPr>
            </w:pPr>
          </w:p>
        </w:tc>
      </w:tr>
      <w:tr w:rsidR="002F37A7" w:rsidTr="002F37A7">
        <w:tc>
          <w:tcPr>
            <w:tcW w:w="106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F37A7" w:rsidRDefault="002F37A7" w:rsidP="002F37A7">
            <w:pPr>
              <w:tabs>
                <w:tab w:val="left" w:pos="1815"/>
              </w:tabs>
              <w:spacing w:after="80"/>
              <w:rPr>
                <w:rStyle w:val="Strong"/>
                <w:b w:val="0"/>
                <w:sz w:val="32"/>
              </w:rPr>
            </w:pPr>
            <w:r>
              <w:rPr>
                <w:rStyle w:val="Strong"/>
                <w:b w:val="0"/>
                <w:sz w:val="32"/>
              </w:rPr>
              <w:t xml:space="preserve">Performance </w:t>
            </w:r>
            <w:r w:rsidR="00CF04B0">
              <w:rPr>
                <w:rStyle w:val="Strong"/>
                <w:b w:val="0"/>
                <w:sz w:val="32"/>
              </w:rPr>
              <w:t xml:space="preserve">Targets </w:t>
            </w:r>
            <w:r>
              <w:rPr>
                <w:rStyle w:val="Strong"/>
                <w:b w:val="0"/>
                <w:sz w:val="32"/>
              </w:rPr>
              <w:t xml:space="preserve">for FY </w:t>
            </w:r>
            <w:r w:rsidR="00CF04B0">
              <w:rPr>
                <w:rStyle w:val="Strong"/>
                <w:b w:val="0"/>
                <w:sz w:val="32"/>
              </w:rPr>
              <w:t>2017</w:t>
            </w:r>
            <w:r>
              <w:rPr>
                <w:rStyle w:val="Strong"/>
                <w:b w:val="0"/>
                <w:sz w:val="32"/>
              </w:rPr>
              <w:t>-</w:t>
            </w:r>
            <w:r w:rsidR="00CF04B0">
              <w:rPr>
                <w:rStyle w:val="Strong"/>
                <w:b w:val="0"/>
                <w:sz w:val="32"/>
              </w:rPr>
              <w:t>18</w:t>
            </w:r>
          </w:p>
          <w:p w:rsidR="002F37A7" w:rsidRDefault="002F37A7" w:rsidP="002F37A7">
            <w:pPr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To </w:t>
            </w:r>
            <w:r w:rsidRPr="00C71B1D">
              <w:rPr>
                <w:rStyle w:val="Strong"/>
                <w:b w:val="0"/>
                <w:sz w:val="20"/>
              </w:rPr>
              <w:t xml:space="preserve">ensure that </w:t>
            </w:r>
            <w:r>
              <w:rPr>
                <w:rStyle w:val="Strong"/>
                <w:b w:val="0"/>
                <w:sz w:val="20"/>
              </w:rPr>
              <w:t>SWAMP</w:t>
            </w:r>
            <w:r w:rsidRPr="00C71B1D">
              <w:rPr>
                <w:rStyle w:val="Strong"/>
                <w:b w:val="0"/>
                <w:sz w:val="20"/>
              </w:rPr>
              <w:t xml:space="preserve"> results are timely and easily accessible to Water Board staff and the public</w:t>
            </w:r>
            <w:r>
              <w:rPr>
                <w:rStyle w:val="Strong"/>
                <w:b w:val="0"/>
                <w:sz w:val="20"/>
              </w:rPr>
              <w:t>:</w:t>
            </w:r>
          </w:p>
          <w:p w:rsidR="002F37A7" w:rsidRDefault="002F37A7" w:rsidP="002F37A7">
            <w:pPr>
              <w:ind w:left="990" w:hanging="270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1) Make available on CEDEN at least 50</w:t>
            </w:r>
            <w:r w:rsidR="00CF04B0">
              <w:rPr>
                <w:rStyle w:val="Strong"/>
                <w:b w:val="0"/>
                <w:sz w:val="20"/>
              </w:rPr>
              <w:t xml:space="preserve"> percent </w:t>
            </w:r>
            <w:r>
              <w:rPr>
                <w:rStyle w:val="Strong"/>
                <w:b w:val="0"/>
                <w:sz w:val="20"/>
              </w:rPr>
              <w:t xml:space="preserve">of SWAMP-funded data </w:t>
            </w:r>
            <w:r w:rsidRPr="00E650E4">
              <w:rPr>
                <w:rStyle w:val="Strong"/>
                <w:b w:val="0"/>
                <w:sz w:val="20"/>
              </w:rPr>
              <w:t xml:space="preserve">within </w:t>
            </w:r>
            <w:r>
              <w:rPr>
                <w:rStyle w:val="Strong"/>
                <w:b w:val="0"/>
                <w:sz w:val="20"/>
              </w:rPr>
              <w:t xml:space="preserve">one </w:t>
            </w:r>
            <w:r w:rsidRPr="00E650E4">
              <w:rPr>
                <w:rStyle w:val="Strong"/>
                <w:b w:val="0"/>
                <w:sz w:val="20"/>
              </w:rPr>
              <w:t>year of sample collection</w:t>
            </w:r>
          </w:p>
          <w:p w:rsidR="002F37A7" w:rsidRDefault="002F37A7" w:rsidP="002F37A7">
            <w:pPr>
              <w:ind w:left="990" w:hanging="270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2) Make available on CEDEN at least 95</w:t>
            </w:r>
            <w:r w:rsidR="00CF04B0">
              <w:rPr>
                <w:rStyle w:val="Strong"/>
                <w:b w:val="0"/>
                <w:sz w:val="20"/>
              </w:rPr>
              <w:t xml:space="preserve"> percent </w:t>
            </w:r>
            <w:r>
              <w:rPr>
                <w:rStyle w:val="Strong"/>
                <w:b w:val="0"/>
                <w:sz w:val="20"/>
              </w:rPr>
              <w:t>of data within two years of sample collection</w:t>
            </w:r>
            <w:r w:rsidRPr="00E650E4">
              <w:rPr>
                <w:rStyle w:val="Strong"/>
                <w:b w:val="0"/>
                <w:sz w:val="20"/>
              </w:rPr>
              <w:t xml:space="preserve">. </w:t>
            </w:r>
            <w:r w:rsidR="00E11F4B">
              <w:rPr>
                <w:rStyle w:val="Strong"/>
                <w:b w:val="0"/>
                <w:sz w:val="20"/>
              </w:rPr>
              <w:t>Including</w:t>
            </w:r>
            <w:r w:rsidRPr="00E650E4">
              <w:rPr>
                <w:rStyle w:val="Strong"/>
                <w:b w:val="0"/>
                <w:sz w:val="20"/>
              </w:rPr>
              <w:t xml:space="preserve"> laboratory analyses, quality assurance checks (</w:t>
            </w:r>
            <w:r>
              <w:rPr>
                <w:rStyle w:val="Strong"/>
                <w:b w:val="0"/>
                <w:sz w:val="20"/>
              </w:rPr>
              <w:t>i.</w:t>
            </w:r>
            <w:r w:rsidRPr="00E650E4">
              <w:rPr>
                <w:rStyle w:val="Strong"/>
                <w:b w:val="0"/>
                <w:sz w:val="20"/>
              </w:rPr>
              <w:t xml:space="preserve">e., data verification and validation), and data </w:t>
            </w:r>
            <w:r>
              <w:rPr>
                <w:rStyle w:val="Strong"/>
                <w:b w:val="0"/>
                <w:sz w:val="20"/>
              </w:rPr>
              <w:t>transfer.</w:t>
            </w:r>
          </w:p>
          <w:p w:rsidR="002F37A7" w:rsidRPr="00E759DF" w:rsidRDefault="002F37A7" w:rsidP="002F37A7">
            <w:pPr>
              <w:rPr>
                <w:rStyle w:val="Strong"/>
                <w:b w:val="0"/>
                <w:sz w:val="22"/>
              </w:rPr>
            </w:pPr>
            <w:r w:rsidRPr="00E650E4">
              <w:rPr>
                <w:rStyle w:val="Strong"/>
                <w:b w:val="0"/>
                <w:sz w:val="20"/>
              </w:rPr>
              <w:t xml:space="preserve">The Region’s SWAMP program </w:t>
            </w:r>
            <w:r w:rsidRPr="005318AE">
              <w:rPr>
                <w:rStyle w:val="Strong"/>
                <w:b w:val="0"/>
                <w:sz w:val="20"/>
              </w:rPr>
              <w:t>has met its performance targets for all prior years,</w:t>
            </w:r>
            <w:r w:rsidRPr="00E650E4">
              <w:rPr>
                <w:rStyle w:val="Strong"/>
                <w:b w:val="0"/>
                <w:sz w:val="20"/>
              </w:rPr>
              <w:t xml:space="preserve"> and expects to continue meeting the target</w:t>
            </w:r>
            <w:r>
              <w:rPr>
                <w:rStyle w:val="Strong"/>
                <w:b w:val="0"/>
                <w:sz w:val="20"/>
              </w:rPr>
              <w:t>s</w:t>
            </w:r>
            <w:r w:rsidRPr="00E650E4">
              <w:rPr>
                <w:rStyle w:val="Strong"/>
                <w:b w:val="0"/>
                <w:sz w:val="20"/>
              </w:rPr>
              <w:t xml:space="preserve"> going forward.</w:t>
            </w:r>
          </w:p>
        </w:tc>
      </w:tr>
    </w:tbl>
    <w:p w:rsidR="005455C8" w:rsidRPr="007248B0" w:rsidRDefault="005455C8" w:rsidP="0001622C">
      <w:pPr>
        <w:rPr>
          <w:rStyle w:val="Strong"/>
          <w:b w:val="0"/>
          <w:sz w:val="16"/>
        </w:rPr>
      </w:pPr>
    </w:p>
    <w:tbl>
      <w:tblPr>
        <w:tblStyle w:val="TableGrid"/>
        <w:tblW w:w="10710" w:type="dxa"/>
        <w:tblInd w:w="18" w:type="dxa"/>
        <w:tblLook w:val="04A0" w:firstRow="1" w:lastRow="0" w:firstColumn="1" w:lastColumn="0" w:noHBand="0" w:noVBand="1"/>
      </w:tblPr>
      <w:tblGrid>
        <w:gridCol w:w="10710"/>
      </w:tblGrid>
      <w:tr w:rsidR="00306008" w:rsidRPr="00397597" w:rsidTr="00145F38">
        <w:trPr>
          <w:trHeight w:val="3680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06008" w:rsidRDefault="005A493E" w:rsidP="0075695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Unaddressed Work</w:t>
            </w:r>
          </w:p>
          <w:p w:rsidR="00E11F4B" w:rsidRPr="00944705" w:rsidRDefault="00C56A84" w:rsidP="00E11F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ind w:left="705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S</w:t>
            </w:r>
            <w:r w:rsidR="00E11F4B" w:rsidRPr="00944705">
              <w:rPr>
                <w:rStyle w:val="Strong"/>
                <w:b w:val="0"/>
                <w:sz w:val="22"/>
                <w:szCs w:val="22"/>
              </w:rPr>
              <w:t xml:space="preserve">ampling to inform key management issues. These include: </w:t>
            </w:r>
          </w:p>
          <w:p w:rsidR="00E11F4B" w:rsidRPr="00944705" w:rsidRDefault="00E11F4B" w:rsidP="003F434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rStyle w:val="Strong"/>
                <w:b w:val="0"/>
                <w:sz w:val="22"/>
                <w:szCs w:val="22"/>
              </w:rPr>
            </w:pPr>
            <w:r w:rsidRPr="00944705">
              <w:rPr>
                <w:rStyle w:val="Strong"/>
                <w:b w:val="0"/>
                <w:sz w:val="22"/>
                <w:szCs w:val="22"/>
              </w:rPr>
              <w:t xml:space="preserve">Focused data collection to determine effects of climate change. </w:t>
            </w:r>
          </w:p>
          <w:p w:rsidR="00E11F4B" w:rsidRPr="00944705" w:rsidRDefault="00E11F4B" w:rsidP="003F434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rStyle w:val="Strong"/>
                <w:b w:val="0"/>
                <w:sz w:val="22"/>
                <w:szCs w:val="22"/>
              </w:rPr>
            </w:pPr>
            <w:r w:rsidRPr="00944705">
              <w:rPr>
                <w:rStyle w:val="Strong"/>
                <w:b w:val="0"/>
                <w:sz w:val="22"/>
                <w:szCs w:val="22"/>
              </w:rPr>
              <w:t>Additional sampling in headwaters to assess long</w:t>
            </w:r>
            <w:r>
              <w:rPr>
                <w:rStyle w:val="Strong"/>
                <w:b w:val="0"/>
                <w:sz w:val="22"/>
                <w:szCs w:val="22"/>
              </w:rPr>
              <w:t>-</w:t>
            </w:r>
            <w:r w:rsidRPr="00944705">
              <w:rPr>
                <w:rStyle w:val="Strong"/>
                <w:b w:val="0"/>
                <w:sz w:val="22"/>
                <w:szCs w:val="22"/>
              </w:rPr>
              <w:t xml:space="preserve">term changes in water quality and flows to protect state’s water supply. </w:t>
            </w:r>
          </w:p>
          <w:p w:rsidR="00E11F4B" w:rsidRPr="00E11F4B" w:rsidRDefault="00E11F4B" w:rsidP="003F434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rStyle w:val="Strong"/>
                <w:b w:val="0"/>
                <w:sz w:val="22"/>
                <w:szCs w:val="22"/>
              </w:rPr>
            </w:pPr>
            <w:r w:rsidRPr="00944705">
              <w:rPr>
                <w:rStyle w:val="Strong"/>
                <w:b w:val="0"/>
                <w:sz w:val="22"/>
                <w:szCs w:val="22"/>
              </w:rPr>
              <w:t>Assessment of minimum flows needed to maintain beneficial uses.</w:t>
            </w:r>
            <w:r w:rsidR="00BB27DC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Pr="00E11F4B">
              <w:rPr>
                <w:rStyle w:val="Strong"/>
                <w:b w:val="0"/>
                <w:sz w:val="22"/>
                <w:szCs w:val="22"/>
              </w:rPr>
              <w:t>Increased sampling events (ten sampling events per site/annually, recommended) at long-term monitoring sites to better capture seasonality of long-term sites.</w:t>
            </w:r>
          </w:p>
          <w:p w:rsidR="00837DFD" w:rsidRDefault="00C56A84" w:rsidP="00E11F4B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H</w:t>
            </w:r>
            <w:r w:rsidR="005A493E" w:rsidRPr="00944705">
              <w:rPr>
                <w:rStyle w:val="Strong"/>
                <w:b w:val="0"/>
                <w:sz w:val="22"/>
                <w:szCs w:val="22"/>
              </w:rPr>
              <w:t>istoric</w:t>
            </w:r>
            <w:r w:rsidR="00CF04B0">
              <w:rPr>
                <w:rStyle w:val="Strong"/>
                <w:b w:val="0"/>
                <w:sz w:val="22"/>
                <w:szCs w:val="22"/>
              </w:rPr>
              <w:t>al</w:t>
            </w:r>
            <w:r w:rsidR="005A493E" w:rsidRPr="00944705">
              <w:rPr>
                <w:rStyle w:val="Strong"/>
                <w:b w:val="0"/>
                <w:sz w:val="22"/>
                <w:szCs w:val="22"/>
              </w:rPr>
              <w:t xml:space="preserve"> SWAMP workload cannot be </w:t>
            </w:r>
            <w:r w:rsidR="00CF04B0">
              <w:rPr>
                <w:rStyle w:val="Strong"/>
                <w:b w:val="0"/>
                <w:sz w:val="22"/>
                <w:szCs w:val="22"/>
              </w:rPr>
              <w:t>sustained</w:t>
            </w:r>
            <w:r w:rsidR="00CF04B0" w:rsidRPr="00944705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5A493E" w:rsidRPr="00944705">
              <w:rPr>
                <w:rStyle w:val="Strong"/>
                <w:b w:val="0"/>
                <w:sz w:val="22"/>
                <w:szCs w:val="22"/>
              </w:rPr>
              <w:t xml:space="preserve">due to </w:t>
            </w:r>
            <w:r>
              <w:rPr>
                <w:rStyle w:val="Strong"/>
                <w:b w:val="0"/>
                <w:sz w:val="22"/>
                <w:szCs w:val="22"/>
              </w:rPr>
              <w:t>staffing loss</w:t>
            </w:r>
            <w:r w:rsidR="00E11F4B">
              <w:rPr>
                <w:rStyle w:val="Strong"/>
                <w:b w:val="0"/>
                <w:sz w:val="22"/>
                <w:szCs w:val="22"/>
              </w:rPr>
              <w:t>.</w:t>
            </w:r>
            <w:r w:rsidR="0030014D" w:rsidRPr="00944705" w:rsidDel="0030014D">
              <w:rPr>
                <w:rStyle w:val="Strong"/>
                <w:b w:val="0"/>
                <w:sz w:val="22"/>
                <w:szCs w:val="22"/>
              </w:rPr>
              <w:t xml:space="preserve"> </w:t>
            </w:r>
          </w:p>
          <w:p w:rsidR="000622C0" w:rsidRPr="00C56A84" w:rsidRDefault="000622C0" w:rsidP="00C56A84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</w:rPr>
            </w:pPr>
            <w:r w:rsidRPr="00C56A84">
              <w:rPr>
                <w:sz w:val="22"/>
                <w:szCs w:val="22"/>
              </w:rPr>
              <w:t>Increasing responsibilities for</w:t>
            </w:r>
            <w:r w:rsidR="00AD72B3" w:rsidRPr="00C56A84">
              <w:rPr>
                <w:sz w:val="22"/>
                <w:szCs w:val="22"/>
              </w:rPr>
              <w:t xml:space="preserve"> </w:t>
            </w:r>
            <w:r w:rsidRPr="00C56A84">
              <w:rPr>
                <w:sz w:val="22"/>
                <w:szCs w:val="22"/>
              </w:rPr>
              <w:t xml:space="preserve">Harmful Algal Blooms and regulatory support </w:t>
            </w:r>
            <w:r w:rsidR="00AD72B3" w:rsidRPr="00C56A84">
              <w:rPr>
                <w:sz w:val="22"/>
                <w:szCs w:val="22"/>
              </w:rPr>
              <w:t>without additional resources.</w:t>
            </w:r>
            <w:r w:rsidR="00145F38" w:rsidRPr="00C56A84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965516" w:rsidRPr="00C56A84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06008" w:rsidRPr="007248B0" w:rsidRDefault="00306008" w:rsidP="00B24A23">
      <w:bookmarkStart w:id="0" w:name="_GoBack"/>
      <w:bookmarkEnd w:id="0"/>
    </w:p>
    <w:sectPr w:rsidR="00306008" w:rsidRPr="007248B0" w:rsidSect="007248B0"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B0" w:rsidRDefault="006049B0" w:rsidP="003F1EDB">
      <w:r>
        <w:separator/>
      </w:r>
    </w:p>
  </w:endnote>
  <w:endnote w:type="continuationSeparator" w:id="0">
    <w:p w:rsidR="006049B0" w:rsidRDefault="006049B0" w:rsidP="003F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B0" w:rsidRDefault="006049B0" w:rsidP="003F1EDB">
      <w:r>
        <w:separator/>
      </w:r>
    </w:p>
  </w:footnote>
  <w:footnote w:type="continuationSeparator" w:id="0">
    <w:p w:rsidR="006049B0" w:rsidRDefault="006049B0" w:rsidP="003F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D66"/>
    <w:multiLevelType w:val="hybridMultilevel"/>
    <w:tmpl w:val="6158F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40B62"/>
    <w:multiLevelType w:val="multilevel"/>
    <w:tmpl w:val="B99E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34954"/>
    <w:multiLevelType w:val="hybridMultilevel"/>
    <w:tmpl w:val="C9A0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7954"/>
    <w:multiLevelType w:val="hybridMultilevel"/>
    <w:tmpl w:val="D56E80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3F3941"/>
    <w:multiLevelType w:val="hybridMultilevel"/>
    <w:tmpl w:val="C5084122"/>
    <w:lvl w:ilvl="0" w:tplc="723C059E">
      <w:start w:val="1"/>
      <w:numFmt w:val="decimal"/>
      <w:lvlText w:val="%1)"/>
      <w:lvlJc w:val="left"/>
      <w:pPr>
        <w:ind w:left="187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>
    <w:nsid w:val="3F1B3FF6"/>
    <w:multiLevelType w:val="hybridMultilevel"/>
    <w:tmpl w:val="0470B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1D4C85"/>
    <w:multiLevelType w:val="hybridMultilevel"/>
    <w:tmpl w:val="B4DAB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CE2276"/>
    <w:multiLevelType w:val="hybridMultilevel"/>
    <w:tmpl w:val="D13A59B8"/>
    <w:lvl w:ilvl="0" w:tplc="56161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6B364A"/>
    <w:multiLevelType w:val="hybridMultilevel"/>
    <w:tmpl w:val="F446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53F5F"/>
    <w:multiLevelType w:val="hybridMultilevel"/>
    <w:tmpl w:val="7A28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666A3"/>
    <w:multiLevelType w:val="hybridMultilevel"/>
    <w:tmpl w:val="178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901B3"/>
    <w:multiLevelType w:val="hybridMultilevel"/>
    <w:tmpl w:val="965255B6"/>
    <w:lvl w:ilvl="0" w:tplc="14D6CFE8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7E445CE2"/>
    <w:multiLevelType w:val="hybridMultilevel"/>
    <w:tmpl w:val="585AF906"/>
    <w:lvl w:ilvl="0" w:tplc="14D6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0"/>
    <w:rsid w:val="000010EE"/>
    <w:rsid w:val="0001018C"/>
    <w:rsid w:val="0001622C"/>
    <w:rsid w:val="00021174"/>
    <w:rsid w:val="0004222B"/>
    <w:rsid w:val="00047AB9"/>
    <w:rsid w:val="000622C0"/>
    <w:rsid w:val="00067147"/>
    <w:rsid w:val="00072743"/>
    <w:rsid w:val="0007617E"/>
    <w:rsid w:val="000762AF"/>
    <w:rsid w:val="000777ED"/>
    <w:rsid w:val="0008343D"/>
    <w:rsid w:val="000A2D34"/>
    <w:rsid w:val="000A6342"/>
    <w:rsid w:val="000B0130"/>
    <w:rsid w:val="000B6465"/>
    <w:rsid w:val="000C0D05"/>
    <w:rsid w:val="000D3384"/>
    <w:rsid w:val="000D71D5"/>
    <w:rsid w:val="000E014E"/>
    <w:rsid w:val="000E1447"/>
    <w:rsid w:val="000E2D13"/>
    <w:rsid w:val="000E43C0"/>
    <w:rsid w:val="001245F8"/>
    <w:rsid w:val="00127419"/>
    <w:rsid w:val="00135506"/>
    <w:rsid w:val="00145F38"/>
    <w:rsid w:val="00146200"/>
    <w:rsid w:val="00150981"/>
    <w:rsid w:val="001510BA"/>
    <w:rsid w:val="00160705"/>
    <w:rsid w:val="001712D0"/>
    <w:rsid w:val="00182604"/>
    <w:rsid w:val="00186F5B"/>
    <w:rsid w:val="0018741A"/>
    <w:rsid w:val="001879A4"/>
    <w:rsid w:val="001B4830"/>
    <w:rsid w:val="001C2628"/>
    <w:rsid w:val="001C5712"/>
    <w:rsid w:val="001D10DE"/>
    <w:rsid w:val="001E32B1"/>
    <w:rsid w:val="001F2DFF"/>
    <w:rsid w:val="0022578D"/>
    <w:rsid w:val="0023145E"/>
    <w:rsid w:val="00233AFC"/>
    <w:rsid w:val="002351AC"/>
    <w:rsid w:val="002539C0"/>
    <w:rsid w:val="00260379"/>
    <w:rsid w:val="002608CE"/>
    <w:rsid w:val="00283629"/>
    <w:rsid w:val="00283FC4"/>
    <w:rsid w:val="00285EA9"/>
    <w:rsid w:val="002A3A4A"/>
    <w:rsid w:val="002B1F5C"/>
    <w:rsid w:val="002C35DA"/>
    <w:rsid w:val="002E0A12"/>
    <w:rsid w:val="002E4D28"/>
    <w:rsid w:val="002F2244"/>
    <w:rsid w:val="002F37A7"/>
    <w:rsid w:val="002F69E6"/>
    <w:rsid w:val="0030014D"/>
    <w:rsid w:val="00306008"/>
    <w:rsid w:val="00311105"/>
    <w:rsid w:val="00320BEA"/>
    <w:rsid w:val="00323F98"/>
    <w:rsid w:val="00326E22"/>
    <w:rsid w:val="003356C8"/>
    <w:rsid w:val="003402B0"/>
    <w:rsid w:val="003570AD"/>
    <w:rsid w:val="0037678E"/>
    <w:rsid w:val="00397597"/>
    <w:rsid w:val="00397FC7"/>
    <w:rsid w:val="003A1193"/>
    <w:rsid w:val="003C325B"/>
    <w:rsid w:val="003E1BB4"/>
    <w:rsid w:val="003E5AEE"/>
    <w:rsid w:val="003F18EB"/>
    <w:rsid w:val="003F1EDB"/>
    <w:rsid w:val="003F331E"/>
    <w:rsid w:val="003F434D"/>
    <w:rsid w:val="003F4BF5"/>
    <w:rsid w:val="00401EA8"/>
    <w:rsid w:val="00413494"/>
    <w:rsid w:val="004423D0"/>
    <w:rsid w:val="00445CDE"/>
    <w:rsid w:val="004526D7"/>
    <w:rsid w:val="00463F08"/>
    <w:rsid w:val="00470F08"/>
    <w:rsid w:val="00486F72"/>
    <w:rsid w:val="0049336F"/>
    <w:rsid w:val="004B0E4C"/>
    <w:rsid w:val="004C0815"/>
    <w:rsid w:val="004C3A60"/>
    <w:rsid w:val="004D171C"/>
    <w:rsid w:val="004D2DE2"/>
    <w:rsid w:val="004E3AC3"/>
    <w:rsid w:val="005013DA"/>
    <w:rsid w:val="00503353"/>
    <w:rsid w:val="00516810"/>
    <w:rsid w:val="00526AEC"/>
    <w:rsid w:val="005318AE"/>
    <w:rsid w:val="00542F59"/>
    <w:rsid w:val="005455C8"/>
    <w:rsid w:val="00572047"/>
    <w:rsid w:val="005728D8"/>
    <w:rsid w:val="00572B2C"/>
    <w:rsid w:val="005763BF"/>
    <w:rsid w:val="00584AEE"/>
    <w:rsid w:val="005854AF"/>
    <w:rsid w:val="00590AE1"/>
    <w:rsid w:val="0059312B"/>
    <w:rsid w:val="00593142"/>
    <w:rsid w:val="005A2F37"/>
    <w:rsid w:val="005A493E"/>
    <w:rsid w:val="005B0632"/>
    <w:rsid w:val="005C150A"/>
    <w:rsid w:val="005D0051"/>
    <w:rsid w:val="005D3C93"/>
    <w:rsid w:val="005D7BC5"/>
    <w:rsid w:val="005E3FE6"/>
    <w:rsid w:val="005F0622"/>
    <w:rsid w:val="005F5842"/>
    <w:rsid w:val="005F689F"/>
    <w:rsid w:val="006049B0"/>
    <w:rsid w:val="0061061C"/>
    <w:rsid w:val="006117FD"/>
    <w:rsid w:val="006202FC"/>
    <w:rsid w:val="00634662"/>
    <w:rsid w:val="006443C5"/>
    <w:rsid w:val="00655F2A"/>
    <w:rsid w:val="00663577"/>
    <w:rsid w:val="00667C5F"/>
    <w:rsid w:val="0068297E"/>
    <w:rsid w:val="00682F07"/>
    <w:rsid w:val="00685F70"/>
    <w:rsid w:val="006A22C8"/>
    <w:rsid w:val="006A54A0"/>
    <w:rsid w:val="006B0891"/>
    <w:rsid w:val="006B4B10"/>
    <w:rsid w:val="006B7C0A"/>
    <w:rsid w:val="006D44EC"/>
    <w:rsid w:val="006E02DD"/>
    <w:rsid w:val="006E02E4"/>
    <w:rsid w:val="006E50B8"/>
    <w:rsid w:val="006F30E6"/>
    <w:rsid w:val="006F5239"/>
    <w:rsid w:val="00703516"/>
    <w:rsid w:val="00704521"/>
    <w:rsid w:val="007248B0"/>
    <w:rsid w:val="00724BCF"/>
    <w:rsid w:val="007533B4"/>
    <w:rsid w:val="00756956"/>
    <w:rsid w:val="00757181"/>
    <w:rsid w:val="00763268"/>
    <w:rsid w:val="00785AC3"/>
    <w:rsid w:val="007A13A2"/>
    <w:rsid w:val="007B07F3"/>
    <w:rsid w:val="007B2346"/>
    <w:rsid w:val="007D59A3"/>
    <w:rsid w:val="007E5AB5"/>
    <w:rsid w:val="007F414E"/>
    <w:rsid w:val="007F4398"/>
    <w:rsid w:val="00802548"/>
    <w:rsid w:val="00810D68"/>
    <w:rsid w:val="00812C13"/>
    <w:rsid w:val="0082107B"/>
    <w:rsid w:val="00835EA4"/>
    <w:rsid w:val="0083783E"/>
    <w:rsid w:val="00837DFD"/>
    <w:rsid w:val="00837EE7"/>
    <w:rsid w:val="008722A5"/>
    <w:rsid w:val="00875440"/>
    <w:rsid w:val="00884294"/>
    <w:rsid w:val="00887AD8"/>
    <w:rsid w:val="008A00B0"/>
    <w:rsid w:val="008A5A48"/>
    <w:rsid w:val="008B53CE"/>
    <w:rsid w:val="008D2140"/>
    <w:rsid w:val="008D4D6B"/>
    <w:rsid w:val="008D66B7"/>
    <w:rsid w:val="008D7C70"/>
    <w:rsid w:val="008F025D"/>
    <w:rsid w:val="009014DA"/>
    <w:rsid w:val="00903396"/>
    <w:rsid w:val="009103E5"/>
    <w:rsid w:val="009111C4"/>
    <w:rsid w:val="00922A19"/>
    <w:rsid w:val="00932D57"/>
    <w:rsid w:val="00936A8D"/>
    <w:rsid w:val="009370D6"/>
    <w:rsid w:val="0094184A"/>
    <w:rsid w:val="00944705"/>
    <w:rsid w:val="00946F7F"/>
    <w:rsid w:val="00951B90"/>
    <w:rsid w:val="00965516"/>
    <w:rsid w:val="00967844"/>
    <w:rsid w:val="009834CB"/>
    <w:rsid w:val="0099215A"/>
    <w:rsid w:val="009A430D"/>
    <w:rsid w:val="009A5D1A"/>
    <w:rsid w:val="009B0EFF"/>
    <w:rsid w:val="009C2162"/>
    <w:rsid w:val="009E7F67"/>
    <w:rsid w:val="009F5486"/>
    <w:rsid w:val="00A06265"/>
    <w:rsid w:val="00A33A14"/>
    <w:rsid w:val="00A66CE9"/>
    <w:rsid w:val="00A77D78"/>
    <w:rsid w:val="00AD72B3"/>
    <w:rsid w:val="00B074CD"/>
    <w:rsid w:val="00B11F51"/>
    <w:rsid w:val="00B24A23"/>
    <w:rsid w:val="00B367F5"/>
    <w:rsid w:val="00B5702E"/>
    <w:rsid w:val="00B80B13"/>
    <w:rsid w:val="00B869C2"/>
    <w:rsid w:val="00B86C8B"/>
    <w:rsid w:val="00BA24AF"/>
    <w:rsid w:val="00BA3741"/>
    <w:rsid w:val="00BA49C7"/>
    <w:rsid w:val="00BA5C12"/>
    <w:rsid w:val="00BB27DC"/>
    <w:rsid w:val="00BC03BB"/>
    <w:rsid w:val="00BC41F4"/>
    <w:rsid w:val="00BD657F"/>
    <w:rsid w:val="00BE3B62"/>
    <w:rsid w:val="00BF019C"/>
    <w:rsid w:val="00C03AD6"/>
    <w:rsid w:val="00C20B67"/>
    <w:rsid w:val="00C23BFC"/>
    <w:rsid w:val="00C51002"/>
    <w:rsid w:val="00C56A84"/>
    <w:rsid w:val="00C71B1D"/>
    <w:rsid w:val="00C746FB"/>
    <w:rsid w:val="00C95421"/>
    <w:rsid w:val="00CC713A"/>
    <w:rsid w:val="00CD384C"/>
    <w:rsid w:val="00CE0C06"/>
    <w:rsid w:val="00CF04B0"/>
    <w:rsid w:val="00CF1301"/>
    <w:rsid w:val="00CF2B2F"/>
    <w:rsid w:val="00CF7DEC"/>
    <w:rsid w:val="00D16966"/>
    <w:rsid w:val="00D214B6"/>
    <w:rsid w:val="00D22315"/>
    <w:rsid w:val="00D22E6D"/>
    <w:rsid w:val="00D22FEA"/>
    <w:rsid w:val="00D272D3"/>
    <w:rsid w:val="00D41CD4"/>
    <w:rsid w:val="00D42DCF"/>
    <w:rsid w:val="00D53D88"/>
    <w:rsid w:val="00D63DCA"/>
    <w:rsid w:val="00D70D74"/>
    <w:rsid w:val="00D728B2"/>
    <w:rsid w:val="00D95240"/>
    <w:rsid w:val="00D97E0E"/>
    <w:rsid w:val="00DC6518"/>
    <w:rsid w:val="00DD25B6"/>
    <w:rsid w:val="00DF3AC0"/>
    <w:rsid w:val="00DF410F"/>
    <w:rsid w:val="00E02F9A"/>
    <w:rsid w:val="00E11F4B"/>
    <w:rsid w:val="00E1568B"/>
    <w:rsid w:val="00E22A8B"/>
    <w:rsid w:val="00E53559"/>
    <w:rsid w:val="00E650E4"/>
    <w:rsid w:val="00E66A10"/>
    <w:rsid w:val="00E66E81"/>
    <w:rsid w:val="00E759DF"/>
    <w:rsid w:val="00E83D08"/>
    <w:rsid w:val="00E940FD"/>
    <w:rsid w:val="00E97B8F"/>
    <w:rsid w:val="00EA06AC"/>
    <w:rsid w:val="00EA3469"/>
    <w:rsid w:val="00EC7094"/>
    <w:rsid w:val="00ED69F7"/>
    <w:rsid w:val="00EF18C0"/>
    <w:rsid w:val="00EF6F77"/>
    <w:rsid w:val="00EF74C3"/>
    <w:rsid w:val="00F025A0"/>
    <w:rsid w:val="00F17F48"/>
    <w:rsid w:val="00F238C2"/>
    <w:rsid w:val="00F312CA"/>
    <w:rsid w:val="00F524AD"/>
    <w:rsid w:val="00F52821"/>
    <w:rsid w:val="00F61C96"/>
    <w:rsid w:val="00F66BF2"/>
    <w:rsid w:val="00F82759"/>
    <w:rsid w:val="00F8446C"/>
    <w:rsid w:val="00F85576"/>
    <w:rsid w:val="00F86950"/>
    <w:rsid w:val="00FA2C2A"/>
    <w:rsid w:val="00FA3225"/>
    <w:rsid w:val="00FC3A07"/>
    <w:rsid w:val="00FD2D21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qFormat/>
    <w:rsid w:val="004526D7"/>
    <w:rPr>
      <w:i/>
      <w:iCs/>
    </w:rPr>
  </w:style>
  <w:style w:type="character" w:styleId="Strong">
    <w:name w:val="Strong"/>
    <w:basedOn w:val="DefaultParagraphFont"/>
    <w:uiPriority w:val="22"/>
    <w:qFormat/>
    <w:rsid w:val="004526D7"/>
    <w:rPr>
      <w:b/>
      <w:bCs/>
    </w:rPr>
  </w:style>
  <w:style w:type="table" w:styleId="TableGrid">
    <w:name w:val="Table Grid"/>
    <w:basedOn w:val="TableNormal"/>
    <w:rsid w:val="008D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25B"/>
    <w:rPr>
      <w:color w:val="0000FF"/>
      <w:u w:val="single"/>
    </w:rPr>
  </w:style>
  <w:style w:type="character" w:styleId="CommentReference">
    <w:name w:val="annotation reference"/>
    <w:basedOn w:val="DefaultParagraphFont"/>
    <w:rsid w:val="00D272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2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2D3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678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F1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ED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3F1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1ED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8F025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qFormat/>
    <w:rsid w:val="004526D7"/>
    <w:rPr>
      <w:i/>
      <w:iCs/>
    </w:rPr>
  </w:style>
  <w:style w:type="character" w:styleId="Strong">
    <w:name w:val="Strong"/>
    <w:basedOn w:val="DefaultParagraphFont"/>
    <w:uiPriority w:val="22"/>
    <w:qFormat/>
    <w:rsid w:val="004526D7"/>
    <w:rPr>
      <w:b/>
      <w:bCs/>
    </w:rPr>
  </w:style>
  <w:style w:type="table" w:styleId="TableGrid">
    <w:name w:val="Table Grid"/>
    <w:basedOn w:val="TableNormal"/>
    <w:rsid w:val="008D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25B"/>
    <w:rPr>
      <w:color w:val="0000FF"/>
      <w:u w:val="single"/>
    </w:rPr>
  </w:style>
  <w:style w:type="character" w:styleId="CommentReference">
    <w:name w:val="annotation reference"/>
    <w:basedOn w:val="DefaultParagraphFont"/>
    <w:rsid w:val="00D272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2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2D3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678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F1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ED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3F1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1ED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8F02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terboards.ca.gov/about_us/performance_report_1516/plan_assess/12111_swamp_visits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aterboards.ca.gov/lahontan/water_issues/programs/swam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528154568914175"/>
          <c:y val="0"/>
        </c:manualLayout>
      </c:layout>
      <c:overlay val="0"/>
      <c:txPr>
        <a:bodyPr/>
        <a:lstStyle/>
        <a:p>
          <a:pPr>
            <a:defRPr sz="1600" baseline="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854113824007286E-2"/>
          <c:y val="0.11036908768146722"/>
          <c:w val="0.79164192971453784"/>
          <c:h val="0.8856983966113146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Staff Activities</c:v>
                </c:pt>
              </c:strCache>
            </c:strRef>
          </c:tx>
          <c:dPt>
            <c:idx val="1"/>
            <c:bubble3D val="0"/>
            <c:explosion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1-2E53-49B9-8F23-B6682E78C8E9}"/>
              </c:ext>
            </c:extLst>
          </c:dPt>
          <c:dLbls>
            <c:dLbl>
              <c:idx val="0"/>
              <c:layout>
                <c:manualLayout>
                  <c:x val="-0.18212072471853347"/>
                  <c:y val="-0.1131709303270991"/>
                </c:manualLayout>
              </c:layout>
              <c:tx>
                <c:rich>
                  <a:bodyPr/>
                  <a:lstStyle/>
                  <a:p>
                    <a:pPr>
                      <a:defRPr sz="850" baseline="0"/>
                    </a:pPr>
                    <a:r>
                      <a:rPr lang="en-US" sz="850" baseline="0"/>
                      <a:t>Program management 20%</a:t>
                    </a:r>
                  </a:p>
                </c:rich>
              </c:tx>
              <c:spPr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644184156695713"/>
                      <c:h val="0.374606299212598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E53-49B9-8F23-B6682E78C8E9}"/>
                </c:ext>
              </c:extLst>
            </c:dLbl>
            <c:dLbl>
              <c:idx val="1"/>
              <c:layout>
                <c:manualLayout>
                  <c:x val="0.17524775595221415"/>
                  <c:y val="-0.10542979002624685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E53-49B9-8F23-B6682E78C8E9}"/>
                </c:ext>
              </c:extLst>
            </c:dLbl>
            <c:dLbl>
              <c:idx val="2"/>
              <c:layout>
                <c:manualLayout>
                  <c:x val="8.7745549988069674E-2"/>
                  <c:y val="0.11686358576905635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C39-4118-B984-3F94F29051F8}"/>
                </c:ext>
              </c:extLst>
            </c:dLbl>
            <c:dLbl>
              <c:idx val="3"/>
              <c:layout>
                <c:manualLayout>
                  <c:x val="-5.1381922455423041E-3"/>
                  <c:y val="6.2734580052493438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601231209735149"/>
                      <c:h val="0.38324607329842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E53-49B9-8F23-B6682E78C8E9}"/>
                </c:ext>
              </c:extLst>
            </c:dLbl>
            <c:dLbl>
              <c:idx val="4"/>
              <c:layout>
                <c:manualLayout>
                  <c:x val="-0.15297839549415762"/>
                  <c:y val="0.196090879265091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383011214507279"/>
                      <c:h val="0.315113438045375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E53-49B9-8F23-B6682E78C8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Program management 20%</c:v>
                </c:pt>
                <c:pt idx="1">
                  <c:v>Field recon. &amp; sampling 35%</c:v>
                </c:pt>
                <c:pt idx="2">
                  <c:v>Technical assistance to other staff 15% </c:v>
                </c:pt>
                <c:pt idx="3">
                  <c:v>Regional Monitoring Coordination 15%</c:v>
                </c:pt>
                <c:pt idx="4">
                  <c:v>Data management 15%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35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53-49B9-8F23-B6682E78C8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82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571E-60A9-4ADC-9DB4-AD1DF79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782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Shay</dc:creator>
  <cp:lastModifiedBy>Kouyoumdjian, Patty@Waterboards</cp:lastModifiedBy>
  <cp:revision>11</cp:revision>
  <cp:lastPrinted>2016-02-24T23:03:00Z</cp:lastPrinted>
  <dcterms:created xsi:type="dcterms:W3CDTF">2018-03-13T00:21:00Z</dcterms:created>
  <dcterms:modified xsi:type="dcterms:W3CDTF">2018-03-20T20:28:00Z</dcterms:modified>
</cp:coreProperties>
</file>