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1B" w:rsidRPr="001E06A1" w:rsidRDefault="005E631B">
      <w:pPr>
        <w:jc w:val="center"/>
        <w:rPr>
          <w:rStyle w:val="Strong"/>
          <w:rFonts w:eastAsiaTheme="majorEastAsia" w:cs="Arial"/>
          <w:sz w:val="32"/>
          <w:szCs w:val="32"/>
        </w:rPr>
      </w:pPr>
      <w:r>
        <w:rPr>
          <w:noProof/>
        </w:rPr>
        <w:drawing>
          <wp:anchor distT="0" distB="0" distL="114300" distR="114300" simplePos="0" relativeHeight="251662336" behindDoc="1" locked="0" layoutInCell="1" allowOverlap="1" wp14:anchorId="67E17F41" wp14:editId="50DBCFE2">
            <wp:simplePos x="0" y="0"/>
            <wp:positionH relativeFrom="column">
              <wp:posOffset>-80010</wp:posOffset>
            </wp:positionH>
            <wp:positionV relativeFrom="paragraph">
              <wp:posOffset>-68580</wp:posOffset>
            </wp:positionV>
            <wp:extent cx="6269355"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9355" cy="1095375"/>
                    </a:xfrm>
                    <a:prstGeom prst="rect">
                      <a:avLst/>
                    </a:prstGeom>
                    <a:noFill/>
                  </pic:spPr>
                </pic:pic>
              </a:graphicData>
            </a:graphic>
            <wp14:sizeRelH relativeFrom="margin">
              <wp14:pctWidth>0</wp14:pctWidth>
            </wp14:sizeRelH>
            <wp14:sizeRelV relativeFrom="margin">
              <wp14:pctHeight>0</wp14:pctHeight>
            </wp14:sizeRelV>
          </wp:anchor>
        </w:drawing>
      </w:r>
      <w:r w:rsidRPr="001E06A1">
        <w:rPr>
          <w:rStyle w:val="Strong"/>
          <w:rFonts w:eastAsiaTheme="majorEastAsia" w:cs="Arial"/>
          <w:sz w:val="32"/>
          <w:szCs w:val="32"/>
        </w:rPr>
        <w:t xml:space="preserve">Lahontan Water Board Program Fact Sheet </w:t>
      </w:r>
    </w:p>
    <w:p w:rsidR="008D2140" w:rsidRPr="005E631B" w:rsidRDefault="005E631B" w:rsidP="008D2140">
      <w:pPr>
        <w:jc w:val="center"/>
        <w:rPr>
          <w:rStyle w:val="Strong"/>
          <w:rFonts w:cs="Arial"/>
          <w:sz w:val="32"/>
          <w:szCs w:val="32"/>
        </w:rPr>
      </w:pPr>
      <w:r w:rsidRPr="005E631B">
        <w:rPr>
          <w:rStyle w:val="Strong"/>
          <w:rFonts w:cs="Arial"/>
          <w:sz w:val="32"/>
          <w:szCs w:val="32"/>
        </w:rPr>
        <w:t>FY 201</w:t>
      </w:r>
      <w:r w:rsidR="008A43C0">
        <w:rPr>
          <w:rStyle w:val="Strong"/>
          <w:rFonts w:cs="Arial"/>
          <w:sz w:val="32"/>
          <w:szCs w:val="32"/>
        </w:rPr>
        <w:t>7</w:t>
      </w:r>
      <w:r w:rsidRPr="005E631B">
        <w:rPr>
          <w:rStyle w:val="Strong"/>
          <w:rFonts w:cs="Arial"/>
          <w:sz w:val="32"/>
          <w:szCs w:val="32"/>
        </w:rPr>
        <w:t>-1</w:t>
      </w:r>
      <w:r w:rsidR="008A43C0">
        <w:rPr>
          <w:rStyle w:val="Strong"/>
          <w:rFonts w:cs="Arial"/>
          <w:sz w:val="32"/>
          <w:szCs w:val="32"/>
        </w:rPr>
        <w:t>8</w:t>
      </w:r>
    </w:p>
    <w:tbl>
      <w:tblPr>
        <w:tblStyle w:val="TableGrid"/>
        <w:tblW w:w="0" w:type="auto"/>
        <w:jc w:val="center"/>
        <w:tblCellMar>
          <w:top w:w="216" w:type="dxa"/>
          <w:left w:w="115" w:type="dxa"/>
          <w:bottom w:w="216" w:type="dxa"/>
          <w:right w:w="115" w:type="dxa"/>
        </w:tblCellMar>
        <w:tblLook w:val="04A0" w:firstRow="1" w:lastRow="0" w:firstColumn="1" w:lastColumn="0" w:noHBand="0" w:noVBand="1"/>
      </w:tblPr>
      <w:tblGrid>
        <w:gridCol w:w="9768"/>
      </w:tblGrid>
      <w:tr w:rsidR="00D22E6D" w:rsidRPr="000E014E" w:rsidTr="001E06A1">
        <w:trPr>
          <w:trHeight w:val="442"/>
          <w:jc w:val="center"/>
        </w:trPr>
        <w:tc>
          <w:tcPr>
            <w:tcW w:w="9768" w:type="dxa"/>
            <w:tcBorders>
              <w:top w:val="nil"/>
              <w:left w:val="nil"/>
              <w:bottom w:val="nil"/>
              <w:right w:val="nil"/>
            </w:tcBorders>
            <w:shd w:val="clear" w:color="auto" w:fill="auto"/>
          </w:tcPr>
          <w:p w:rsidR="00F524AD" w:rsidRPr="000E014E" w:rsidRDefault="00183814" w:rsidP="000E014E">
            <w:pPr>
              <w:tabs>
                <w:tab w:val="right" w:pos="9630"/>
              </w:tabs>
              <w:jc w:val="center"/>
              <w:rPr>
                <w:rStyle w:val="Strong"/>
                <w:sz w:val="40"/>
                <w:szCs w:val="40"/>
              </w:rPr>
            </w:pPr>
            <w:r w:rsidRPr="001E06A1">
              <w:rPr>
                <w:rStyle w:val="Strong"/>
                <w:i/>
                <w:iCs/>
                <w:sz w:val="40"/>
                <w:szCs w:val="40"/>
              </w:rPr>
              <w:t>Site Cleanup Program (SCP</w:t>
            </w:r>
            <w:r w:rsidR="00A66CE9" w:rsidRPr="001E06A1">
              <w:rPr>
                <w:rStyle w:val="Strong"/>
                <w:i/>
                <w:iCs/>
                <w:sz w:val="40"/>
                <w:szCs w:val="40"/>
              </w:rPr>
              <w:t>)</w:t>
            </w:r>
          </w:p>
        </w:tc>
      </w:tr>
      <w:tr w:rsidR="00D22E6D" w:rsidRPr="005D1C17" w:rsidTr="7AF540DC">
        <w:trPr>
          <w:trHeight w:val="147"/>
          <w:jc w:val="center"/>
        </w:trPr>
        <w:tc>
          <w:tcPr>
            <w:tcW w:w="9768" w:type="dxa"/>
            <w:tcBorders>
              <w:top w:val="nil"/>
              <w:left w:val="nil"/>
              <w:bottom w:val="single" w:sz="4" w:space="0" w:color="auto"/>
              <w:right w:val="nil"/>
            </w:tcBorders>
            <w:tcMar>
              <w:top w:w="0" w:type="dxa"/>
              <w:bottom w:w="0" w:type="dxa"/>
            </w:tcMar>
          </w:tcPr>
          <w:p w:rsidR="00D22E6D" w:rsidRPr="00517880" w:rsidRDefault="00D22E6D" w:rsidP="006E02DD">
            <w:pPr>
              <w:rPr>
                <w:rStyle w:val="Strong"/>
                <w:b w:val="0"/>
                <w:sz w:val="12"/>
                <w:szCs w:val="12"/>
              </w:rPr>
            </w:pPr>
          </w:p>
        </w:tc>
      </w:tr>
      <w:tr w:rsidR="00D22E6D" w:rsidTr="007A5093">
        <w:trPr>
          <w:trHeight w:val="5525"/>
          <w:jc w:val="center"/>
        </w:trPr>
        <w:tc>
          <w:tcPr>
            <w:tcW w:w="9768" w:type="dxa"/>
            <w:tcBorders>
              <w:top w:val="single" w:sz="4" w:space="0" w:color="auto"/>
              <w:bottom w:val="single" w:sz="4" w:space="0" w:color="auto"/>
            </w:tcBorders>
            <w:shd w:val="clear" w:color="auto" w:fill="EAF1DD" w:themeFill="accent3" w:themeFillTint="33"/>
            <w:tcMar>
              <w:top w:w="72" w:type="dxa"/>
              <w:bottom w:w="72" w:type="dxa"/>
            </w:tcMar>
          </w:tcPr>
          <w:p w:rsidR="00685F70" w:rsidRPr="00A47841" w:rsidRDefault="00D22E6D" w:rsidP="00572047">
            <w:pPr>
              <w:tabs>
                <w:tab w:val="left" w:pos="1800"/>
              </w:tabs>
              <w:spacing w:after="120"/>
              <w:rPr>
                <w:rStyle w:val="Strong"/>
                <w:b w:val="0"/>
                <w:bCs w:val="0"/>
                <w:sz w:val="28"/>
                <w:szCs w:val="28"/>
              </w:rPr>
            </w:pPr>
            <w:r w:rsidRPr="00A47841">
              <w:rPr>
                <w:rStyle w:val="Strong"/>
                <w:b w:val="0"/>
                <w:bCs w:val="0"/>
                <w:sz w:val="28"/>
                <w:szCs w:val="28"/>
              </w:rPr>
              <w:t>Overview</w:t>
            </w:r>
          </w:p>
          <w:p w:rsidR="00183814" w:rsidRPr="00DE7421" w:rsidRDefault="00183814" w:rsidP="00183814">
            <w:pPr>
              <w:rPr>
                <w:rStyle w:val="Strong"/>
                <w:b w:val="0"/>
                <w:bCs w:val="0"/>
              </w:rPr>
            </w:pPr>
            <w:r w:rsidRPr="00DE7421">
              <w:rPr>
                <w:rStyle w:val="Strong"/>
                <w:b w:val="0"/>
                <w:bCs w:val="0"/>
              </w:rPr>
              <w:t xml:space="preserve">The Site Cleanup Program (SCP) focuses on </w:t>
            </w:r>
            <w:r w:rsidR="005826AA" w:rsidRPr="00DE7421">
              <w:rPr>
                <w:rStyle w:val="Strong"/>
                <w:b w:val="0"/>
                <w:bCs w:val="0"/>
              </w:rPr>
              <w:t xml:space="preserve">investigation and cleanup of </w:t>
            </w:r>
            <w:r w:rsidRPr="00DE7421">
              <w:rPr>
                <w:rStyle w:val="Strong"/>
                <w:b w:val="0"/>
                <w:bCs w:val="0"/>
              </w:rPr>
              <w:t>pollutants</w:t>
            </w:r>
            <w:r w:rsidR="005826AA" w:rsidRPr="00DE7421">
              <w:rPr>
                <w:rStyle w:val="Strong"/>
                <w:b w:val="0"/>
                <w:bCs w:val="0"/>
              </w:rPr>
              <w:t xml:space="preserve"> (other than petroleum releases associated with underground tanks)</w:t>
            </w:r>
            <w:r w:rsidRPr="00DE7421">
              <w:rPr>
                <w:rStyle w:val="Strong"/>
                <w:b w:val="0"/>
                <w:bCs w:val="0"/>
              </w:rPr>
              <w:t xml:space="preserve"> </w:t>
            </w:r>
            <w:r w:rsidR="00DC4ABF">
              <w:rPr>
                <w:rStyle w:val="Strong"/>
                <w:b w:val="0"/>
                <w:bCs w:val="0"/>
              </w:rPr>
              <w:t>discharged</w:t>
            </w:r>
            <w:r w:rsidR="005826AA" w:rsidRPr="00DE7421">
              <w:rPr>
                <w:rStyle w:val="Strong"/>
                <w:b w:val="0"/>
                <w:bCs w:val="0"/>
              </w:rPr>
              <w:t xml:space="preserve"> </w:t>
            </w:r>
            <w:r w:rsidRPr="00DE7421">
              <w:rPr>
                <w:rStyle w:val="Strong"/>
                <w:b w:val="0"/>
                <w:bCs w:val="0"/>
              </w:rPr>
              <w:t xml:space="preserve">to </w:t>
            </w:r>
            <w:r w:rsidR="001F0906">
              <w:rPr>
                <w:rStyle w:val="Strong"/>
                <w:b w:val="0"/>
                <w:bCs w:val="0"/>
              </w:rPr>
              <w:t xml:space="preserve">soils, </w:t>
            </w:r>
            <w:r w:rsidRPr="00DE7421">
              <w:rPr>
                <w:rStyle w:val="Strong"/>
                <w:b w:val="0"/>
                <w:bCs w:val="0"/>
              </w:rPr>
              <w:t>groundwater, surface water</w:t>
            </w:r>
            <w:r w:rsidR="00993789" w:rsidRPr="00DE7421">
              <w:rPr>
                <w:rStyle w:val="Strong"/>
                <w:b w:val="0"/>
                <w:bCs w:val="0"/>
              </w:rPr>
              <w:t>s</w:t>
            </w:r>
            <w:r w:rsidR="005826AA" w:rsidRPr="00DE7421">
              <w:rPr>
                <w:rStyle w:val="Strong"/>
                <w:b w:val="0"/>
                <w:bCs w:val="0"/>
              </w:rPr>
              <w:t>,</w:t>
            </w:r>
            <w:r w:rsidRPr="00DE7421">
              <w:rPr>
                <w:rStyle w:val="Strong"/>
                <w:b w:val="0"/>
                <w:bCs w:val="0"/>
              </w:rPr>
              <w:t xml:space="preserve"> and sediments.  T</w:t>
            </w:r>
            <w:r w:rsidR="00CE6AE3" w:rsidRPr="00DE7421">
              <w:rPr>
                <w:rStyle w:val="Strong"/>
                <w:b w:val="0"/>
                <w:bCs w:val="0"/>
              </w:rPr>
              <w:t xml:space="preserve">ypical cleanup sites </w:t>
            </w:r>
            <w:r w:rsidRPr="00DE7421">
              <w:rPr>
                <w:rStyle w:val="Strong"/>
                <w:b w:val="0"/>
                <w:bCs w:val="0"/>
              </w:rPr>
              <w:t xml:space="preserve">include </w:t>
            </w:r>
            <w:r w:rsidR="001F0906">
              <w:rPr>
                <w:rStyle w:val="Strong"/>
                <w:b w:val="0"/>
                <w:bCs w:val="0"/>
              </w:rPr>
              <w:t>i</w:t>
            </w:r>
            <w:r w:rsidRPr="00DE7421">
              <w:rPr>
                <w:rStyle w:val="Strong"/>
                <w:b w:val="0"/>
                <w:bCs w:val="0"/>
              </w:rPr>
              <w:t xml:space="preserve">ndustrial facilities such as </w:t>
            </w:r>
            <w:r w:rsidR="00F461D8" w:rsidRPr="00DE7421">
              <w:rPr>
                <w:rStyle w:val="Strong"/>
                <w:b w:val="0"/>
                <w:bCs w:val="0"/>
              </w:rPr>
              <w:t xml:space="preserve">chemical milling plants, power plants, </w:t>
            </w:r>
            <w:r w:rsidR="00803014" w:rsidRPr="00DE7421">
              <w:rPr>
                <w:rStyle w:val="Strong"/>
                <w:b w:val="0"/>
                <w:bCs w:val="0"/>
              </w:rPr>
              <w:t xml:space="preserve">sawmills, </w:t>
            </w:r>
            <w:r w:rsidRPr="00DE7421">
              <w:rPr>
                <w:rStyle w:val="Strong"/>
                <w:b w:val="0"/>
                <w:bCs w:val="0"/>
              </w:rPr>
              <w:t>dry cleaners</w:t>
            </w:r>
            <w:r w:rsidR="001F0906">
              <w:rPr>
                <w:rStyle w:val="Strong"/>
                <w:b w:val="0"/>
                <w:bCs w:val="0"/>
              </w:rPr>
              <w:t>,</w:t>
            </w:r>
            <w:r w:rsidRPr="00DE7421">
              <w:rPr>
                <w:rStyle w:val="Strong"/>
                <w:b w:val="0"/>
                <w:bCs w:val="0"/>
              </w:rPr>
              <w:t xml:space="preserve"> and aboveground storage tank</w:t>
            </w:r>
            <w:r w:rsidR="00CE6AE3" w:rsidRPr="00DE7421">
              <w:rPr>
                <w:rStyle w:val="Strong"/>
                <w:b w:val="0"/>
                <w:bCs w:val="0"/>
              </w:rPr>
              <w:t>s</w:t>
            </w:r>
            <w:r w:rsidRPr="00DE7421">
              <w:rPr>
                <w:rStyle w:val="Strong"/>
                <w:b w:val="0"/>
                <w:bCs w:val="0"/>
              </w:rPr>
              <w:t xml:space="preserve">.  The types of pollutants encountered at SCP sites </w:t>
            </w:r>
            <w:r w:rsidR="001F0906">
              <w:rPr>
                <w:rStyle w:val="Strong"/>
                <w:b w:val="0"/>
                <w:bCs w:val="0"/>
              </w:rPr>
              <w:t xml:space="preserve">can </w:t>
            </w:r>
            <w:r w:rsidRPr="00DE7421">
              <w:rPr>
                <w:rStyle w:val="Strong"/>
                <w:b w:val="0"/>
                <w:bCs w:val="0"/>
              </w:rPr>
              <w:t xml:space="preserve">include </w:t>
            </w:r>
            <w:r w:rsidR="00CE6AE3" w:rsidRPr="00DE7421">
              <w:rPr>
                <w:rStyle w:val="Strong"/>
                <w:b w:val="0"/>
                <w:bCs w:val="0"/>
              </w:rPr>
              <w:t xml:space="preserve">fertilizers, fuels, heavy metals, nutrients, salts such as perchlorate, and </w:t>
            </w:r>
            <w:r w:rsidRPr="00DE7421">
              <w:rPr>
                <w:rStyle w:val="Strong"/>
                <w:b w:val="0"/>
                <w:bCs w:val="0"/>
              </w:rPr>
              <w:t>solvents.</w:t>
            </w:r>
          </w:p>
          <w:p w:rsidR="00183814" w:rsidRPr="00DE7421" w:rsidRDefault="00183814" w:rsidP="00183814">
            <w:pPr>
              <w:rPr>
                <w:rStyle w:val="Strong"/>
                <w:b w:val="0"/>
              </w:rPr>
            </w:pPr>
          </w:p>
          <w:p w:rsidR="00A04EB8" w:rsidRPr="00DA3ABC" w:rsidRDefault="00CE6AE3" w:rsidP="00A04EB8">
            <w:pPr>
              <w:tabs>
                <w:tab w:val="left" w:pos="1800"/>
              </w:tabs>
              <w:rPr>
                <w:rStyle w:val="Strong"/>
                <w:b w:val="0"/>
                <w:bCs w:val="0"/>
              </w:rPr>
            </w:pPr>
            <w:r w:rsidRPr="00DA3ABC">
              <w:rPr>
                <w:rStyle w:val="Strong"/>
                <w:b w:val="0"/>
                <w:bCs w:val="0"/>
              </w:rPr>
              <w:t xml:space="preserve">A total of </w:t>
            </w:r>
            <w:r w:rsidR="00A563E2">
              <w:rPr>
                <w:rStyle w:val="Strong"/>
                <w:b w:val="0"/>
                <w:bCs w:val="0"/>
              </w:rPr>
              <w:t>21</w:t>
            </w:r>
            <w:r w:rsidR="008773A3" w:rsidRPr="00DA3ABC">
              <w:rPr>
                <w:rStyle w:val="Strong"/>
                <w:b w:val="0"/>
                <w:bCs w:val="0"/>
              </w:rPr>
              <w:t xml:space="preserve"> SCP</w:t>
            </w:r>
            <w:r w:rsidR="00DA3ABC" w:rsidRPr="00DA3ABC">
              <w:rPr>
                <w:rStyle w:val="Strong"/>
                <w:b w:val="0"/>
                <w:bCs w:val="0"/>
              </w:rPr>
              <w:t xml:space="preserve"> cases </w:t>
            </w:r>
            <w:r w:rsidR="008773A3" w:rsidRPr="00DA3ABC">
              <w:rPr>
                <w:rStyle w:val="Strong"/>
                <w:b w:val="0"/>
                <w:bCs w:val="0"/>
              </w:rPr>
              <w:t>are in</w:t>
            </w:r>
            <w:r w:rsidR="00183814" w:rsidRPr="00DA3ABC">
              <w:rPr>
                <w:rStyle w:val="Strong"/>
                <w:b w:val="0"/>
                <w:bCs w:val="0"/>
              </w:rPr>
              <w:t xml:space="preserve"> the cost recovery program </w:t>
            </w:r>
            <w:r w:rsidR="00A70B39" w:rsidRPr="00DA3ABC">
              <w:rPr>
                <w:rStyle w:val="Strong"/>
                <w:b w:val="0"/>
                <w:bCs w:val="0"/>
              </w:rPr>
              <w:t>where</w:t>
            </w:r>
            <w:r w:rsidR="00183814" w:rsidRPr="00DA3ABC">
              <w:rPr>
                <w:rStyle w:val="Strong"/>
                <w:b w:val="0"/>
                <w:bCs w:val="0"/>
              </w:rPr>
              <w:t xml:space="preserve"> the responsible party </w:t>
            </w:r>
            <w:r w:rsidR="00993789" w:rsidRPr="00DA3ABC">
              <w:rPr>
                <w:rStyle w:val="Strong"/>
                <w:b w:val="0"/>
                <w:bCs w:val="0"/>
              </w:rPr>
              <w:t xml:space="preserve">(RP) </w:t>
            </w:r>
            <w:r w:rsidR="00DC4ABF">
              <w:rPr>
                <w:rStyle w:val="Strong"/>
                <w:b w:val="0"/>
                <w:bCs w:val="0"/>
              </w:rPr>
              <w:t>reimburses</w:t>
            </w:r>
            <w:r w:rsidR="00183814" w:rsidRPr="00DA3ABC">
              <w:rPr>
                <w:rStyle w:val="Strong"/>
                <w:b w:val="0"/>
                <w:bCs w:val="0"/>
              </w:rPr>
              <w:t xml:space="preserve"> staff </w:t>
            </w:r>
            <w:r w:rsidR="008773A3" w:rsidRPr="00DA3ABC">
              <w:rPr>
                <w:rStyle w:val="Strong"/>
                <w:b w:val="0"/>
                <w:bCs w:val="0"/>
              </w:rPr>
              <w:t xml:space="preserve">costs for </w:t>
            </w:r>
            <w:r w:rsidR="00DC4ABF">
              <w:rPr>
                <w:rStyle w:val="Strong"/>
                <w:b w:val="0"/>
                <w:bCs w:val="0"/>
              </w:rPr>
              <w:t>regulatory</w:t>
            </w:r>
            <w:r w:rsidR="008773A3" w:rsidRPr="00DA3ABC">
              <w:rPr>
                <w:rStyle w:val="Strong"/>
                <w:b w:val="0"/>
                <w:bCs w:val="0"/>
              </w:rPr>
              <w:t xml:space="preserve"> oversight</w:t>
            </w:r>
            <w:r w:rsidR="003419B7">
              <w:rPr>
                <w:rStyle w:val="Strong"/>
                <w:b w:val="0"/>
                <w:bCs w:val="0"/>
              </w:rPr>
              <w:t xml:space="preserve"> (approximately </w:t>
            </w:r>
            <w:r w:rsidR="00D40A3E">
              <w:rPr>
                <w:rStyle w:val="Strong"/>
                <w:b w:val="0"/>
                <w:bCs w:val="0"/>
              </w:rPr>
              <w:t>1</w:t>
            </w:r>
            <w:r w:rsidR="003419B7">
              <w:rPr>
                <w:rStyle w:val="Strong"/>
                <w:b w:val="0"/>
                <w:bCs w:val="0"/>
              </w:rPr>
              <w:t>.</w:t>
            </w:r>
            <w:r w:rsidR="00D40A3E">
              <w:rPr>
                <w:rStyle w:val="Strong"/>
                <w:b w:val="0"/>
                <w:bCs w:val="0"/>
              </w:rPr>
              <w:t>8</w:t>
            </w:r>
            <w:r w:rsidR="00A70B39" w:rsidRPr="00DA3ABC">
              <w:rPr>
                <w:rStyle w:val="Strong"/>
                <w:b w:val="0"/>
                <w:bCs w:val="0"/>
              </w:rPr>
              <w:t xml:space="preserve"> </w:t>
            </w:r>
            <w:r w:rsidR="007A5093">
              <w:rPr>
                <w:rStyle w:val="Strong"/>
                <w:b w:val="0"/>
                <w:bCs w:val="0"/>
              </w:rPr>
              <w:t>PYs</w:t>
            </w:r>
            <w:r w:rsidR="00A70B39" w:rsidRPr="00DA3ABC">
              <w:rPr>
                <w:rStyle w:val="Strong"/>
                <w:b w:val="0"/>
                <w:bCs w:val="0"/>
              </w:rPr>
              <w:t>)</w:t>
            </w:r>
            <w:r w:rsidR="008773A3" w:rsidRPr="00DA3ABC">
              <w:rPr>
                <w:rStyle w:val="Strong"/>
                <w:b w:val="0"/>
                <w:bCs w:val="0"/>
              </w:rPr>
              <w:t>.</w:t>
            </w:r>
            <w:r w:rsidR="00803014" w:rsidRPr="00DA3ABC">
              <w:rPr>
                <w:rStyle w:val="Strong"/>
                <w:b w:val="0"/>
                <w:bCs w:val="0"/>
              </w:rPr>
              <w:t xml:space="preserve"> </w:t>
            </w:r>
            <w:r w:rsidR="00183814" w:rsidRPr="00DA3ABC">
              <w:rPr>
                <w:rStyle w:val="Strong"/>
                <w:b w:val="0"/>
                <w:bCs w:val="0"/>
              </w:rPr>
              <w:t xml:space="preserve">SCP </w:t>
            </w:r>
            <w:r w:rsidR="008773A3" w:rsidRPr="00DA3ABC">
              <w:rPr>
                <w:rStyle w:val="Strong"/>
                <w:b w:val="0"/>
                <w:bCs w:val="0"/>
              </w:rPr>
              <w:t xml:space="preserve">cases </w:t>
            </w:r>
            <w:r w:rsidR="008773A3" w:rsidRPr="001E06A1">
              <w:rPr>
                <w:rStyle w:val="Strong"/>
                <w:b w:val="0"/>
                <w:bCs w:val="0"/>
                <w:i/>
                <w:iCs/>
              </w:rPr>
              <w:t>not</w:t>
            </w:r>
            <w:r w:rsidR="008773A3" w:rsidRPr="00DA3ABC">
              <w:rPr>
                <w:rStyle w:val="Strong"/>
                <w:b w:val="0"/>
                <w:bCs w:val="0"/>
              </w:rPr>
              <w:t xml:space="preserve"> in cost-recovery are</w:t>
            </w:r>
            <w:r w:rsidR="00183814" w:rsidRPr="00DA3ABC">
              <w:rPr>
                <w:rStyle w:val="Strong"/>
                <w:b w:val="0"/>
                <w:bCs w:val="0"/>
              </w:rPr>
              <w:t xml:space="preserve"> funded through the </w:t>
            </w:r>
            <w:r w:rsidR="00781EE9" w:rsidRPr="00DA3ABC">
              <w:rPr>
                <w:rStyle w:val="Strong"/>
                <w:b w:val="0"/>
                <w:bCs w:val="0"/>
              </w:rPr>
              <w:t>state G</w:t>
            </w:r>
            <w:r w:rsidR="00183814" w:rsidRPr="00DA3ABC">
              <w:rPr>
                <w:rStyle w:val="Strong"/>
                <w:b w:val="0"/>
                <w:bCs w:val="0"/>
              </w:rPr>
              <w:t xml:space="preserve">eneral </w:t>
            </w:r>
            <w:r w:rsidR="00781EE9" w:rsidRPr="00DA3ABC">
              <w:rPr>
                <w:rStyle w:val="Strong"/>
                <w:b w:val="0"/>
                <w:bCs w:val="0"/>
              </w:rPr>
              <w:t>F</w:t>
            </w:r>
            <w:r w:rsidR="00183814" w:rsidRPr="00DA3ABC">
              <w:rPr>
                <w:rStyle w:val="Strong"/>
                <w:b w:val="0"/>
                <w:bCs w:val="0"/>
              </w:rPr>
              <w:t>und</w:t>
            </w:r>
            <w:r w:rsidR="007A5093">
              <w:rPr>
                <w:rStyle w:val="Strong"/>
                <w:b w:val="0"/>
                <w:bCs w:val="0"/>
              </w:rPr>
              <w:t xml:space="preserve"> (</w:t>
            </w:r>
            <w:r w:rsidR="00781EE9" w:rsidRPr="00DA3ABC">
              <w:rPr>
                <w:rStyle w:val="Strong"/>
                <w:b w:val="0"/>
                <w:bCs w:val="0"/>
              </w:rPr>
              <w:t>0.</w:t>
            </w:r>
            <w:r w:rsidR="001B7DC9">
              <w:rPr>
                <w:rStyle w:val="Strong"/>
                <w:b w:val="0"/>
                <w:bCs w:val="0"/>
              </w:rPr>
              <w:t>70</w:t>
            </w:r>
            <w:r w:rsidR="001B7DC9" w:rsidRPr="00DA3ABC">
              <w:rPr>
                <w:rStyle w:val="Strong"/>
                <w:b w:val="0"/>
                <w:bCs w:val="0"/>
              </w:rPr>
              <w:t xml:space="preserve"> </w:t>
            </w:r>
            <w:r w:rsidR="00781EE9" w:rsidRPr="00DA3ABC">
              <w:rPr>
                <w:rStyle w:val="Strong"/>
                <w:b w:val="0"/>
                <w:bCs w:val="0"/>
              </w:rPr>
              <w:t>PY</w:t>
            </w:r>
            <w:r w:rsidR="007A5093">
              <w:rPr>
                <w:rStyle w:val="Strong"/>
                <w:b w:val="0"/>
                <w:bCs w:val="0"/>
              </w:rPr>
              <w:t>)</w:t>
            </w:r>
            <w:r w:rsidR="00781EE9" w:rsidRPr="00DA3ABC">
              <w:rPr>
                <w:rStyle w:val="Strong"/>
                <w:b w:val="0"/>
                <w:bCs w:val="0"/>
              </w:rPr>
              <w:t xml:space="preserve"> this fiscal year</w:t>
            </w:r>
            <w:r w:rsidR="00CD384C" w:rsidRPr="00DA3ABC">
              <w:rPr>
                <w:rStyle w:val="Strong"/>
                <w:b w:val="0"/>
                <w:bCs w:val="0"/>
              </w:rPr>
              <w:t>.</w:t>
            </w:r>
            <w:r w:rsidR="00A04EB8" w:rsidRPr="00DA3ABC">
              <w:rPr>
                <w:rStyle w:val="Strong"/>
                <w:b w:val="0"/>
                <w:bCs w:val="0"/>
              </w:rPr>
              <w:t xml:space="preserve"> </w:t>
            </w:r>
          </w:p>
          <w:p w:rsidR="00A04EB8" w:rsidRPr="00DE7421" w:rsidRDefault="00A04EB8" w:rsidP="00A04EB8">
            <w:pPr>
              <w:tabs>
                <w:tab w:val="left" w:pos="1800"/>
              </w:tabs>
              <w:rPr>
                <w:rStyle w:val="Strong"/>
                <w:b w:val="0"/>
                <w:highlight w:val="yellow"/>
              </w:rPr>
            </w:pPr>
          </w:p>
          <w:p w:rsidR="00F524AD" w:rsidRPr="001E06A1" w:rsidRDefault="001659A9" w:rsidP="00F557BD">
            <w:pPr>
              <w:tabs>
                <w:tab w:val="left" w:pos="1800"/>
              </w:tabs>
              <w:rPr>
                <w:rStyle w:val="Strong"/>
                <w:b w:val="0"/>
                <w:bCs w:val="0"/>
                <w:sz w:val="21"/>
                <w:szCs w:val="21"/>
              </w:rPr>
            </w:pPr>
            <w:r w:rsidRPr="00DA3ABC">
              <w:rPr>
                <w:rFonts w:cs="Arial"/>
                <w:lang w:val="en"/>
              </w:rPr>
              <w:t>The Site Cleanup Subaccount Program (SCAP)</w:t>
            </w:r>
            <w:r w:rsidR="00A04EB8" w:rsidRPr="00DA3ABC">
              <w:rPr>
                <w:rFonts w:cs="Arial"/>
                <w:lang w:val="en"/>
              </w:rPr>
              <w:t xml:space="preserve">, </w:t>
            </w:r>
            <w:r w:rsidRPr="00DA3ABC">
              <w:rPr>
                <w:rFonts w:cs="Arial"/>
                <w:lang w:val="en"/>
              </w:rPr>
              <w:t xml:space="preserve">established by </w:t>
            </w:r>
            <w:r w:rsidR="00C64505">
              <w:rPr>
                <w:rFonts w:cs="Arial"/>
                <w:lang w:val="en"/>
              </w:rPr>
              <w:t>Underground Storage Tanks: Hazardous Substances: Petroleum: Groundwater and Surface Water Contamination (SB 445 [</w:t>
            </w:r>
            <w:r w:rsidRPr="00DA3ABC">
              <w:rPr>
                <w:rFonts w:cs="Arial"/>
                <w:lang w:val="en"/>
              </w:rPr>
              <w:t>Hill, 2014</w:t>
            </w:r>
            <w:r w:rsidR="00C64505">
              <w:rPr>
                <w:rFonts w:cs="Arial"/>
                <w:lang w:val="en"/>
              </w:rPr>
              <w:t>]</w:t>
            </w:r>
            <w:r w:rsidRPr="00DA3ABC">
              <w:rPr>
                <w:rFonts w:cs="Arial"/>
                <w:lang w:val="en"/>
              </w:rPr>
              <w:t>)</w:t>
            </w:r>
            <w:r w:rsidR="00A04EB8" w:rsidRPr="00DA3ABC">
              <w:rPr>
                <w:rFonts w:cs="Arial"/>
                <w:lang w:val="en"/>
              </w:rPr>
              <w:t>,</w:t>
            </w:r>
            <w:r w:rsidRPr="00DA3ABC">
              <w:rPr>
                <w:rFonts w:cs="Arial"/>
                <w:lang w:val="en"/>
              </w:rPr>
              <w:t xml:space="preserve"> </w:t>
            </w:r>
            <w:r w:rsidR="00A04EB8" w:rsidRPr="00DA3ABC">
              <w:rPr>
                <w:rFonts w:cs="Arial"/>
                <w:lang w:val="en"/>
              </w:rPr>
              <w:t>provides funds</w:t>
            </w:r>
            <w:r w:rsidR="00697CB4" w:rsidRPr="00DA3ABC">
              <w:rPr>
                <w:rFonts w:cs="Arial"/>
                <w:lang w:val="en"/>
              </w:rPr>
              <w:t xml:space="preserve"> </w:t>
            </w:r>
            <w:r w:rsidR="00A04EB8" w:rsidRPr="00DA3ABC">
              <w:rPr>
                <w:rFonts w:cs="Arial"/>
                <w:lang w:val="en"/>
              </w:rPr>
              <w:t xml:space="preserve">that </w:t>
            </w:r>
            <w:r w:rsidRPr="00DA3ABC">
              <w:rPr>
                <w:rFonts w:cs="Arial"/>
                <w:lang w:val="en"/>
              </w:rPr>
              <w:t>allow</w:t>
            </w:r>
            <w:r w:rsidR="00A04EB8" w:rsidRPr="00DA3ABC">
              <w:rPr>
                <w:rFonts w:cs="Arial"/>
                <w:lang w:val="en"/>
              </w:rPr>
              <w:t>s</w:t>
            </w:r>
            <w:r w:rsidRPr="00DA3ABC">
              <w:rPr>
                <w:rFonts w:cs="Arial"/>
                <w:lang w:val="en"/>
              </w:rPr>
              <w:t xml:space="preserve"> the State Water Board to issue grants</w:t>
            </w:r>
            <w:r w:rsidR="00803014" w:rsidRPr="00DA3ABC">
              <w:rPr>
                <w:rFonts w:cs="Arial"/>
                <w:lang w:val="en"/>
              </w:rPr>
              <w:t xml:space="preserve"> to regional water boards or outside parties</w:t>
            </w:r>
            <w:r w:rsidRPr="00DA3ABC">
              <w:rPr>
                <w:rFonts w:cs="Arial"/>
                <w:lang w:val="en"/>
              </w:rPr>
              <w:t xml:space="preserve"> for projects that remediate the harm or threat of harm to human health, safety, or the environment caused by surface or groundwater </w:t>
            </w:r>
            <w:r w:rsidR="00697CB4" w:rsidRPr="00DA3ABC">
              <w:rPr>
                <w:rFonts w:cs="Arial"/>
                <w:lang w:val="en"/>
              </w:rPr>
              <w:t xml:space="preserve">pollution </w:t>
            </w:r>
            <w:r w:rsidR="005826AA" w:rsidRPr="00DA3ABC">
              <w:rPr>
                <w:rFonts w:cs="Arial"/>
                <w:lang w:val="en"/>
              </w:rPr>
              <w:t xml:space="preserve">where no responsible parties are </w:t>
            </w:r>
            <w:r w:rsidR="00697CB4" w:rsidRPr="00DA3ABC">
              <w:rPr>
                <w:rFonts w:cs="Arial"/>
                <w:lang w:val="en"/>
              </w:rPr>
              <w:t>financially capable to</w:t>
            </w:r>
            <w:r w:rsidR="005826AA" w:rsidRPr="00DA3ABC">
              <w:rPr>
                <w:rFonts w:cs="Arial"/>
                <w:lang w:val="en"/>
              </w:rPr>
              <w:t xml:space="preserve"> clean</w:t>
            </w:r>
            <w:r w:rsidR="00697CB4" w:rsidRPr="00DA3ABC">
              <w:rPr>
                <w:rFonts w:cs="Arial"/>
                <w:lang w:val="en"/>
              </w:rPr>
              <w:t xml:space="preserve"> </w:t>
            </w:r>
            <w:r w:rsidR="005826AA" w:rsidRPr="00DA3ABC">
              <w:rPr>
                <w:rFonts w:cs="Arial"/>
                <w:lang w:val="en"/>
              </w:rPr>
              <w:t xml:space="preserve">up </w:t>
            </w:r>
            <w:r w:rsidR="003419B7">
              <w:rPr>
                <w:rFonts w:cs="Arial"/>
                <w:lang w:val="en"/>
              </w:rPr>
              <w:t xml:space="preserve">a  </w:t>
            </w:r>
            <w:r w:rsidR="00697CB4" w:rsidRPr="00DA3ABC">
              <w:rPr>
                <w:rFonts w:cs="Arial"/>
                <w:lang w:val="en"/>
              </w:rPr>
              <w:t>site</w:t>
            </w:r>
            <w:r w:rsidR="003419B7">
              <w:rPr>
                <w:rFonts w:cs="Arial"/>
                <w:lang w:val="en"/>
              </w:rPr>
              <w:t xml:space="preserve">. We were </w:t>
            </w:r>
            <w:r w:rsidR="00803014" w:rsidRPr="00DA3ABC">
              <w:rPr>
                <w:rFonts w:cs="Arial"/>
                <w:lang w:val="en"/>
              </w:rPr>
              <w:t>allocate</w:t>
            </w:r>
            <w:r w:rsidR="003419B7">
              <w:rPr>
                <w:rFonts w:cs="Arial"/>
                <w:lang w:val="en"/>
              </w:rPr>
              <w:t>d 0.</w:t>
            </w:r>
            <w:r w:rsidR="685B9A91">
              <w:rPr>
                <w:rFonts w:cs="Arial"/>
                <w:lang w:val="en"/>
              </w:rPr>
              <w:t>7</w:t>
            </w:r>
            <w:r w:rsidR="001B7DC9">
              <w:rPr>
                <w:rFonts w:cs="Arial"/>
                <w:lang w:val="en"/>
              </w:rPr>
              <w:t>0</w:t>
            </w:r>
            <w:r w:rsidR="001B7DC9" w:rsidRPr="00DA3ABC">
              <w:rPr>
                <w:rFonts w:cs="Arial"/>
                <w:lang w:val="en"/>
              </w:rPr>
              <w:t xml:space="preserve"> </w:t>
            </w:r>
            <w:r w:rsidR="003419B7" w:rsidRPr="00DA3ABC">
              <w:rPr>
                <w:rFonts w:cs="Arial"/>
                <w:lang w:val="en"/>
              </w:rPr>
              <w:t>PY this fiscal year</w:t>
            </w:r>
            <w:r w:rsidR="003419B7">
              <w:rPr>
                <w:rFonts w:cs="Arial"/>
                <w:lang w:val="en"/>
              </w:rPr>
              <w:t xml:space="preserve"> </w:t>
            </w:r>
            <w:r w:rsidR="007A5093">
              <w:rPr>
                <w:rFonts w:cs="Arial"/>
                <w:lang w:val="en"/>
              </w:rPr>
              <w:t>under SCAP funds.</w:t>
            </w:r>
          </w:p>
        </w:tc>
      </w:tr>
      <w:tr w:rsidR="00D22E6D" w:rsidRPr="005D1C17" w:rsidTr="7AF540DC">
        <w:trPr>
          <w:trHeight w:val="134"/>
          <w:jc w:val="center"/>
        </w:trPr>
        <w:tc>
          <w:tcPr>
            <w:tcW w:w="9768" w:type="dxa"/>
            <w:tcBorders>
              <w:left w:val="nil"/>
              <w:bottom w:val="single" w:sz="4" w:space="0" w:color="auto"/>
              <w:right w:val="nil"/>
            </w:tcBorders>
            <w:tcMar>
              <w:top w:w="0" w:type="dxa"/>
              <w:bottom w:w="0" w:type="dxa"/>
            </w:tcMar>
          </w:tcPr>
          <w:p w:rsidR="00D22E6D" w:rsidRPr="006C3509" w:rsidRDefault="00D22E6D" w:rsidP="006E02DD">
            <w:pPr>
              <w:rPr>
                <w:rStyle w:val="Strong"/>
                <w:b w:val="0"/>
                <w:sz w:val="22"/>
                <w:szCs w:val="22"/>
              </w:rPr>
            </w:pPr>
          </w:p>
        </w:tc>
      </w:tr>
      <w:tr w:rsidR="00D22E6D" w:rsidTr="7AF540DC">
        <w:trPr>
          <w:trHeight w:val="2582"/>
          <w:jc w:val="center"/>
        </w:trPr>
        <w:tc>
          <w:tcPr>
            <w:tcW w:w="9768" w:type="dxa"/>
            <w:shd w:val="clear" w:color="auto" w:fill="EAF1DD" w:themeFill="accent3" w:themeFillTint="33"/>
            <w:tcMar>
              <w:top w:w="72" w:type="dxa"/>
              <w:bottom w:w="72" w:type="dxa"/>
            </w:tcMar>
          </w:tcPr>
          <w:p w:rsidR="00685F70" w:rsidRPr="00DE7421" w:rsidRDefault="00833BB6" w:rsidP="00572047">
            <w:pPr>
              <w:tabs>
                <w:tab w:val="left" w:pos="1815"/>
              </w:tabs>
              <w:spacing w:after="120"/>
              <w:rPr>
                <w:rStyle w:val="Strong"/>
                <w:b w:val="0"/>
                <w:bCs w:val="0"/>
              </w:rPr>
            </w:pPr>
            <w:r w:rsidRPr="00DE7421">
              <w:rPr>
                <w:rStyle w:val="Strong"/>
                <w:b w:val="0"/>
                <w:bCs w:val="0"/>
              </w:rPr>
              <w:t>Key Efforts</w:t>
            </w:r>
          </w:p>
          <w:p w:rsidR="00183814" w:rsidRPr="00154439" w:rsidRDefault="006C3509" w:rsidP="00154439">
            <w:pPr>
              <w:pStyle w:val="ListParagraph"/>
              <w:numPr>
                <w:ilvl w:val="0"/>
                <w:numId w:val="8"/>
              </w:numPr>
              <w:rPr>
                <w:rStyle w:val="Strong"/>
                <w:b w:val="0"/>
                <w:bCs w:val="0"/>
              </w:rPr>
            </w:pPr>
            <w:r w:rsidRPr="00154439">
              <w:rPr>
                <w:rStyle w:val="Strong"/>
                <w:b w:val="0"/>
                <w:bCs w:val="0"/>
              </w:rPr>
              <w:t xml:space="preserve">Ensuring PG&amp;E compliance of 2015 Cleanup Order for </w:t>
            </w:r>
            <w:r w:rsidR="00DE7421" w:rsidRPr="00154439">
              <w:rPr>
                <w:rStyle w:val="Strong"/>
                <w:b w:val="0"/>
                <w:bCs w:val="0"/>
              </w:rPr>
              <w:t>h</w:t>
            </w:r>
            <w:r w:rsidR="00993789" w:rsidRPr="00154439">
              <w:rPr>
                <w:rStyle w:val="Strong"/>
                <w:b w:val="0"/>
                <w:bCs w:val="0"/>
              </w:rPr>
              <w:t>exavalent</w:t>
            </w:r>
            <w:r w:rsidR="00DE7421" w:rsidRPr="00154439">
              <w:rPr>
                <w:rStyle w:val="Strong"/>
                <w:b w:val="0"/>
                <w:bCs w:val="0"/>
              </w:rPr>
              <w:t xml:space="preserve"> c</w:t>
            </w:r>
            <w:r w:rsidR="00993789" w:rsidRPr="00154439">
              <w:rPr>
                <w:rStyle w:val="Strong"/>
                <w:b w:val="0"/>
                <w:bCs w:val="0"/>
              </w:rPr>
              <w:t>hromium</w:t>
            </w:r>
            <w:r w:rsidRPr="00154439">
              <w:rPr>
                <w:rStyle w:val="Strong"/>
                <w:b w:val="0"/>
                <w:bCs w:val="0"/>
              </w:rPr>
              <w:t xml:space="preserve"> remediation in</w:t>
            </w:r>
            <w:r w:rsidR="00993789" w:rsidRPr="00154439">
              <w:rPr>
                <w:rStyle w:val="Strong"/>
                <w:b w:val="0"/>
                <w:bCs w:val="0"/>
              </w:rPr>
              <w:t xml:space="preserve"> </w:t>
            </w:r>
            <w:r w:rsidR="00183814" w:rsidRPr="00154439">
              <w:rPr>
                <w:rStyle w:val="Strong"/>
                <w:b w:val="0"/>
                <w:bCs w:val="0"/>
              </w:rPr>
              <w:t>Hinkley</w:t>
            </w:r>
            <w:r w:rsidRPr="00154439">
              <w:rPr>
                <w:rStyle w:val="Strong"/>
                <w:b w:val="0"/>
                <w:bCs w:val="0"/>
              </w:rPr>
              <w:t xml:space="preserve"> and completion of </w:t>
            </w:r>
            <w:r w:rsidR="00DA3ABC" w:rsidRPr="00154439">
              <w:rPr>
                <w:rStyle w:val="Strong"/>
                <w:b w:val="0"/>
                <w:bCs w:val="0"/>
              </w:rPr>
              <w:t xml:space="preserve">the </w:t>
            </w:r>
            <w:r w:rsidRPr="00154439">
              <w:rPr>
                <w:rStyle w:val="Strong"/>
                <w:b w:val="0"/>
                <w:bCs w:val="0"/>
              </w:rPr>
              <w:t>Chromium Background Study</w:t>
            </w:r>
            <w:r w:rsidR="00993BE3" w:rsidRPr="00154439">
              <w:rPr>
                <w:rStyle w:val="Strong"/>
                <w:b w:val="0"/>
                <w:bCs w:val="0"/>
              </w:rPr>
              <w:t xml:space="preserve">. </w:t>
            </w:r>
          </w:p>
          <w:p w:rsidR="00E74232" w:rsidRPr="00154439" w:rsidRDefault="009939EE" w:rsidP="00154439">
            <w:pPr>
              <w:pStyle w:val="ListParagraph"/>
              <w:numPr>
                <w:ilvl w:val="0"/>
                <w:numId w:val="8"/>
              </w:numPr>
              <w:rPr>
                <w:rStyle w:val="Strong"/>
                <w:b w:val="0"/>
                <w:bCs w:val="0"/>
              </w:rPr>
            </w:pPr>
            <w:r w:rsidRPr="00154439">
              <w:rPr>
                <w:rStyle w:val="Strong"/>
                <w:b w:val="0"/>
                <w:bCs w:val="0"/>
              </w:rPr>
              <w:t>Using $2.67 million in grant funds awarded from State Board’s SCAP account, staff will o</w:t>
            </w:r>
            <w:r w:rsidR="00E74232" w:rsidRPr="00154439">
              <w:rPr>
                <w:rStyle w:val="Strong"/>
                <w:b w:val="0"/>
                <w:bCs w:val="0"/>
              </w:rPr>
              <w:t xml:space="preserve">versee </w:t>
            </w:r>
            <w:r w:rsidR="003419B7" w:rsidRPr="00154439">
              <w:rPr>
                <w:rStyle w:val="Strong"/>
                <w:b w:val="0"/>
                <w:bCs w:val="0"/>
              </w:rPr>
              <w:t xml:space="preserve">a </w:t>
            </w:r>
            <w:r w:rsidR="00DE7421" w:rsidRPr="00154439">
              <w:rPr>
                <w:rStyle w:val="Strong"/>
                <w:b w:val="0"/>
                <w:bCs w:val="0"/>
              </w:rPr>
              <w:t xml:space="preserve">pilot study at </w:t>
            </w:r>
            <w:r w:rsidR="007A5093">
              <w:rPr>
                <w:rStyle w:val="Strong"/>
                <w:b w:val="0"/>
                <w:bCs w:val="0"/>
              </w:rPr>
              <w:t xml:space="preserve">the </w:t>
            </w:r>
            <w:r w:rsidR="00DE7421" w:rsidRPr="00154439">
              <w:rPr>
                <w:rStyle w:val="Strong"/>
                <w:b w:val="0"/>
                <w:bCs w:val="0"/>
              </w:rPr>
              <w:t>source area t</w:t>
            </w:r>
            <w:r w:rsidR="00E74232" w:rsidRPr="00154439">
              <w:rPr>
                <w:rStyle w:val="Strong"/>
                <w:b w:val="0"/>
                <w:bCs w:val="0"/>
              </w:rPr>
              <w:t xml:space="preserve">o </w:t>
            </w:r>
            <w:r w:rsidR="007A5093">
              <w:rPr>
                <w:rStyle w:val="Strong"/>
                <w:b w:val="0"/>
                <w:bCs w:val="0"/>
              </w:rPr>
              <w:t xml:space="preserve">help </w:t>
            </w:r>
            <w:r w:rsidR="00E74232" w:rsidRPr="00154439">
              <w:rPr>
                <w:rStyle w:val="Strong"/>
                <w:b w:val="0"/>
                <w:bCs w:val="0"/>
              </w:rPr>
              <w:t>remediate Barstow perchlorate.</w:t>
            </w:r>
          </w:p>
          <w:p w:rsidR="00F524AD" w:rsidRPr="00154439" w:rsidRDefault="00E74232" w:rsidP="00154439">
            <w:pPr>
              <w:pStyle w:val="ListParagraph"/>
              <w:numPr>
                <w:ilvl w:val="0"/>
                <w:numId w:val="8"/>
              </w:numPr>
              <w:rPr>
                <w:rStyle w:val="Strong"/>
                <w:b w:val="0"/>
                <w:bCs w:val="0"/>
              </w:rPr>
            </w:pPr>
            <w:r w:rsidRPr="00154439">
              <w:rPr>
                <w:rStyle w:val="Strong"/>
                <w:b w:val="0"/>
                <w:bCs w:val="0"/>
              </w:rPr>
              <w:t xml:space="preserve">Developing requests for </w:t>
            </w:r>
            <w:r w:rsidR="7AF540DC" w:rsidRPr="00154439">
              <w:rPr>
                <w:rStyle w:val="Strong"/>
                <w:b w:val="0"/>
                <w:bCs w:val="0"/>
              </w:rPr>
              <w:t>S</w:t>
            </w:r>
            <w:r w:rsidRPr="00154439">
              <w:rPr>
                <w:rStyle w:val="Strong"/>
                <w:b w:val="0"/>
                <w:bCs w:val="0"/>
              </w:rPr>
              <w:t xml:space="preserve">tate </w:t>
            </w:r>
            <w:r w:rsidR="7AF540DC" w:rsidRPr="00154439">
              <w:rPr>
                <w:rStyle w:val="Strong"/>
                <w:b w:val="0"/>
                <w:bCs w:val="0"/>
              </w:rPr>
              <w:t>B</w:t>
            </w:r>
            <w:r w:rsidRPr="00154439">
              <w:rPr>
                <w:rStyle w:val="Strong"/>
                <w:b w:val="0"/>
                <w:bCs w:val="0"/>
              </w:rPr>
              <w:t>oard funding to conduct groundwater investi</w:t>
            </w:r>
            <w:r w:rsidR="00DE7421" w:rsidRPr="00154439">
              <w:rPr>
                <w:rStyle w:val="Strong"/>
                <w:b w:val="0"/>
                <w:bCs w:val="0"/>
              </w:rPr>
              <w:t xml:space="preserve">gations for </w:t>
            </w:r>
            <w:r w:rsidRPr="00154439">
              <w:rPr>
                <w:rStyle w:val="Strong"/>
                <w:b w:val="0"/>
                <w:bCs w:val="0"/>
              </w:rPr>
              <w:t>C</w:t>
            </w:r>
            <w:r w:rsidR="00F557BD">
              <w:rPr>
                <w:rStyle w:val="Strong"/>
                <w:b w:val="0"/>
                <w:bCs w:val="0"/>
              </w:rPr>
              <w:t>ity of Victorville Old Town and Lake Tahoe Laundry Works area</w:t>
            </w:r>
            <w:r w:rsidR="00DE7421" w:rsidRPr="00154439">
              <w:rPr>
                <w:rStyle w:val="Strong"/>
                <w:b w:val="0"/>
                <w:bCs w:val="0"/>
              </w:rPr>
              <w:t xml:space="preserve">.  </w:t>
            </w:r>
            <w:r w:rsidR="00DE7421" w:rsidRPr="00DA3ABC">
              <w:t>Staff will evaluate data to determine status of plume</w:t>
            </w:r>
            <w:r w:rsidR="00A47841" w:rsidRPr="00DA3ABC">
              <w:t>s</w:t>
            </w:r>
            <w:r w:rsidR="00F557BD">
              <w:t>, identify responsible parties</w:t>
            </w:r>
            <w:r w:rsidR="00DE7421" w:rsidRPr="00DA3ABC">
              <w:t xml:space="preserve"> and appropriate remediation.</w:t>
            </w:r>
          </w:p>
        </w:tc>
        <w:bookmarkStart w:id="0" w:name="_GoBack"/>
        <w:bookmarkEnd w:id="0"/>
      </w:tr>
    </w:tbl>
    <w:p w:rsidR="00534C34" w:rsidRDefault="00517880">
      <w:r>
        <w:rPr>
          <w:noProof/>
        </w:rPr>
        <w:drawing>
          <wp:anchor distT="0" distB="0" distL="114300" distR="114300" simplePos="0" relativeHeight="251659264" behindDoc="0" locked="0" layoutInCell="1" allowOverlap="1" wp14:anchorId="1BC2E0D4" wp14:editId="0C5453C4">
            <wp:simplePos x="0" y="0"/>
            <wp:positionH relativeFrom="column">
              <wp:posOffset>3103245</wp:posOffset>
            </wp:positionH>
            <wp:positionV relativeFrom="paragraph">
              <wp:posOffset>25400</wp:posOffset>
            </wp:positionV>
            <wp:extent cx="2982595" cy="264477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0019DB" wp14:editId="5BECCEEF">
            <wp:simplePos x="0" y="0"/>
            <wp:positionH relativeFrom="column">
              <wp:posOffset>-50800</wp:posOffset>
            </wp:positionH>
            <wp:positionV relativeFrom="paragraph">
              <wp:posOffset>25400</wp:posOffset>
            </wp:positionV>
            <wp:extent cx="2787015" cy="242506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34C34" w:rsidRDefault="00534C34">
      <w:r>
        <w:br w:type="page"/>
      </w:r>
    </w:p>
    <w:tbl>
      <w:tblPr>
        <w:tblStyle w:val="TableGrid"/>
        <w:tblpPr w:leftFromText="180" w:rightFromText="180" w:vertAnchor="page" w:horzAnchor="margin" w:tblpXSpec="center" w:tblpY="499"/>
        <w:tblW w:w="10660" w:type="dxa"/>
        <w:tblCellMar>
          <w:top w:w="144" w:type="dxa"/>
          <w:left w:w="115" w:type="dxa"/>
          <w:bottom w:w="144" w:type="dxa"/>
          <w:right w:w="115" w:type="dxa"/>
        </w:tblCellMar>
        <w:tblLook w:val="04A0" w:firstRow="1" w:lastRow="0" w:firstColumn="1" w:lastColumn="0" w:noHBand="0" w:noVBand="1"/>
      </w:tblPr>
      <w:tblGrid>
        <w:gridCol w:w="10660"/>
      </w:tblGrid>
      <w:tr w:rsidR="00594224" w:rsidTr="001E06A1">
        <w:trPr>
          <w:trHeight w:val="9026"/>
        </w:trPr>
        <w:tc>
          <w:tcPr>
            <w:tcW w:w="10660" w:type="dxa"/>
            <w:tcBorders>
              <w:bottom w:val="single" w:sz="4" w:space="0" w:color="auto"/>
            </w:tcBorders>
            <w:shd w:val="clear" w:color="auto" w:fill="DAEEF3" w:themeFill="accent5" w:themeFillTint="33"/>
          </w:tcPr>
          <w:p w:rsidR="00594224" w:rsidRPr="00D061CF" w:rsidRDefault="006C3509" w:rsidP="00594224">
            <w:pPr>
              <w:tabs>
                <w:tab w:val="left" w:pos="1815"/>
              </w:tabs>
              <w:spacing w:after="60"/>
              <w:rPr>
                <w:rStyle w:val="Strong"/>
                <w:b w:val="0"/>
                <w:bCs w:val="0"/>
                <w:sz w:val="28"/>
                <w:szCs w:val="28"/>
              </w:rPr>
            </w:pPr>
            <w:r>
              <w:rPr>
                <w:rStyle w:val="Strong"/>
                <w:b w:val="0"/>
                <w:bCs w:val="0"/>
                <w:sz w:val="28"/>
                <w:szCs w:val="28"/>
              </w:rPr>
              <w:lastRenderedPageBreak/>
              <w:t xml:space="preserve">Accomplishments </w:t>
            </w:r>
            <w:r w:rsidR="003419B7">
              <w:rPr>
                <w:rStyle w:val="Strong"/>
                <w:b w:val="0"/>
                <w:bCs w:val="0"/>
                <w:sz w:val="28"/>
                <w:szCs w:val="28"/>
              </w:rPr>
              <w:t>for Selected Projects</w:t>
            </w:r>
          </w:p>
          <w:p w:rsidR="00594224" w:rsidRPr="00517880" w:rsidRDefault="006C3509" w:rsidP="00594224">
            <w:pPr>
              <w:rPr>
                <w:rStyle w:val="Strong"/>
              </w:rPr>
            </w:pPr>
            <w:r w:rsidRPr="00517880">
              <w:rPr>
                <w:rStyle w:val="Strong"/>
              </w:rPr>
              <w:t>PGE Hexavalent Chromium</w:t>
            </w:r>
            <w:r w:rsidR="00594224" w:rsidRPr="00517880">
              <w:rPr>
                <w:rStyle w:val="Strong"/>
              </w:rPr>
              <w:t>, Hinkley</w:t>
            </w:r>
          </w:p>
          <w:p w:rsidR="008116B7" w:rsidRPr="001E06A1" w:rsidRDefault="008116B7">
            <w:pPr>
              <w:ind w:left="720"/>
              <w:rPr>
                <w:rFonts w:ascii="Calibri" w:hAnsi="Calibri"/>
                <w:color w:val="000000"/>
                <w:sz w:val="22"/>
                <w:szCs w:val="22"/>
              </w:rPr>
            </w:pPr>
            <w:r>
              <w:rPr>
                <w:color w:val="000000"/>
              </w:rPr>
              <w:t xml:space="preserve">The USGS revised chromium background study remains on schedule with strong community support. Board staff manages this 5-year long, $5.5 million study under contract with the State Water Board, funded by PG&amp;E. Agricultural </w:t>
            </w:r>
            <w:r>
              <w:rPr>
                <w:rStyle w:val="Strong"/>
                <w:b w:val="0"/>
                <w:bCs w:val="0"/>
                <w:color w:val="000000"/>
              </w:rPr>
              <w:t>chromium treatment</w:t>
            </w:r>
            <w:r>
              <w:rPr>
                <w:rStyle w:val="Strong"/>
                <w:color w:val="000000"/>
              </w:rPr>
              <w:t xml:space="preserve"> </w:t>
            </w:r>
            <w:r>
              <w:rPr>
                <w:color w:val="000000"/>
              </w:rPr>
              <w:t>fields continue operations. In 2017 and 2018, PG&amp;E has been and will be expanding the in-situ remediation areas to enhance treatment near chromium source area to meet cleanup targets set in 2015 CAO.  Anticipated approval in 2018 of a Habitat Conservation Plan by federal and state agencies will enable further expansion of remedial actions.</w:t>
            </w:r>
          </w:p>
          <w:p w:rsidR="0023496F" w:rsidRPr="00517880" w:rsidRDefault="0023496F" w:rsidP="0023496F">
            <w:pPr>
              <w:rPr>
                <w:rStyle w:val="Strong"/>
              </w:rPr>
            </w:pPr>
            <w:r w:rsidRPr="00517880">
              <w:rPr>
                <w:rStyle w:val="Strong"/>
              </w:rPr>
              <w:t>Lake Tahoe Laundry Works, South Lake Tahoe</w:t>
            </w:r>
          </w:p>
          <w:p w:rsidR="0023496F" w:rsidRDefault="00DC4ABF" w:rsidP="22946009">
            <w:pPr>
              <w:ind w:left="720"/>
            </w:pPr>
            <w:r>
              <w:t>Issued Cleanup and Abatement Order (</w:t>
            </w:r>
            <w:r w:rsidR="008116B7" w:rsidRPr="008116B7">
              <w:t>CAO</w:t>
            </w:r>
            <w:r>
              <w:t>)</w:t>
            </w:r>
            <w:r w:rsidR="008116B7" w:rsidRPr="008116B7">
              <w:t xml:space="preserve"> on May 12, 2017</w:t>
            </w:r>
            <w:r w:rsidR="007A5093">
              <w:t>, r</w:t>
            </w:r>
            <w:r w:rsidR="008116B7" w:rsidRPr="008116B7">
              <w:t>equir</w:t>
            </w:r>
            <w:r w:rsidR="007A5093">
              <w:t>ing</w:t>
            </w:r>
            <w:r w:rsidR="008116B7" w:rsidRPr="008116B7">
              <w:t xml:space="preserve"> a work plan to delineate the lateral and vertical extent of contamination originating from the site and an evaluation</w:t>
            </w:r>
            <w:r w:rsidR="007A5093">
              <w:t xml:space="preserve"> of the site’s contribution to groundwater contamination. Board staff held a public </w:t>
            </w:r>
            <w:r w:rsidR="008116B7" w:rsidRPr="008116B7">
              <w:t>meeting in August 2017 to d</w:t>
            </w:r>
            <w:r w:rsidR="007A5093">
              <w:t xml:space="preserve">iscuss the CAO and next steps. </w:t>
            </w:r>
            <w:r w:rsidR="008116B7" w:rsidRPr="008116B7">
              <w:t>On-site remediation is on-going.</w:t>
            </w:r>
            <w:r w:rsidR="00E74232" w:rsidRPr="22946009">
              <w:t xml:space="preserve"> </w:t>
            </w:r>
          </w:p>
          <w:p w:rsidR="00594224" w:rsidRPr="00517880" w:rsidRDefault="00594224" w:rsidP="00594224">
            <w:pPr>
              <w:rPr>
                <w:rStyle w:val="Strong"/>
              </w:rPr>
            </w:pPr>
            <w:r w:rsidRPr="00517880">
              <w:rPr>
                <w:rStyle w:val="Strong"/>
              </w:rPr>
              <w:t>Mountain Pass Mine and Mill</w:t>
            </w:r>
          </w:p>
          <w:p w:rsidR="6350CB56" w:rsidRDefault="00DC4ABF" w:rsidP="007A5093">
            <w:pPr>
              <w:spacing w:line="259" w:lineRule="auto"/>
              <w:ind w:left="720"/>
            </w:pPr>
            <w:r>
              <w:t xml:space="preserve">MP Mine Operations (MPMO) purchased </w:t>
            </w:r>
            <w:r w:rsidR="5AF7219D">
              <w:t xml:space="preserve">Mountain Pass </w:t>
            </w:r>
            <w:r w:rsidR="6350CB56">
              <w:t xml:space="preserve">Mine and Mill </w:t>
            </w:r>
            <w:r w:rsidR="446064D2">
              <w:t>on July 12, 2017</w:t>
            </w:r>
            <w:r w:rsidR="5AF7219D" w:rsidRPr="5F1CCD73">
              <w:t>.</w:t>
            </w:r>
            <w:r w:rsidR="3334C115">
              <w:t xml:space="preserve"> </w:t>
            </w:r>
            <w:r w:rsidR="5F1CCD73">
              <w:t>MPMO</w:t>
            </w:r>
            <w:r w:rsidR="007A5093">
              <w:t xml:space="preserve"> </w:t>
            </w:r>
            <w:r>
              <w:t>restarted</w:t>
            </w:r>
            <w:r w:rsidR="007A5093">
              <w:t xml:space="preserve"> </w:t>
            </w:r>
            <w:r w:rsidR="52BC3CB1">
              <w:t>mining</w:t>
            </w:r>
            <w:r w:rsidR="3886839A" w:rsidRPr="5F1CCD73">
              <w:t xml:space="preserve"> </w:t>
            </w:r>
            <w:r w:rsidR="3802E603">
              <w:t>in</w:t>
            </w:r>
            <w:r w:rsidR="3802E603" w:rsidRPr="5F1CCD73">
              <w:t xml:space="preserve"> </w:t>
            </w:r>
            <w:r w:rsidR="3802E603">
              <w:t>December 2017</w:t>
            </w:r>
            <w:r>
              <w:t xml:space="preserve">. </w:t>
            </w:r>
            <w:r w:rsidR="0144EAE5">
              <w:t>A new Feasibil</w:t>
            </w:r>
            <w:r w:rsidR="20100E9C">
              <w:t>i</w:t>
            </w:r>
            <w:r w:rsidR="0144EAE5">
              <w:t>ty</w:t>
            </w:r>
            <w:r w:rsidR="20100E9C">
              <w:t xml:space="preserve"> Study </w:t>
            </w:r>
            <w:r w:rsidR="3802E603">
              <w:t>to evaluate cleanup at the site is expected in 20</w:t>
            </w:r>
            <w:r w:rsidR="5EE20DF1">
              <w:t xml:space="preserve">18. </w:t>
            </w:r>
            <w:r w:rsidR="5F1CCD73" w:rsidRPr="001E06A1">
              <w:rPr>
                <w:rFonts w:eastAsia="Arial" w:cs="Arial"/>
              </w:rPr>
              <w:t xml:space="preserve">The former owner </w:t>
            </w:r>
            <w:proofErr w:type="spellStart"/>
            <w:r w:rsidR="5F1CCD73" w:rsidRPr="001E06A1">
              <w:rPr>
                <w:rFonts w:eastAsia="Arial" w:cs="Arial"/>
              </w:rPr>
              <w:t>Molycorp</w:t>
            </w:r>
            <w:proofErr w:type="spellEnd"/>
            <w:r w:rsidR="5F1CCD73" w:rsidRPr="001E06A1">
              <w:rPr>
                <w:rFonts w:eastAsia="Arial" w:cs="Arial"/>
              </w:rPr>
              <w:t xml:space="preserve"> Minerals</w:t>
            </w:r>
            <w:r w:rsidR="007A5093">
              <w:rPr>
                <w:rFonts w:eastAsia="Arial" w:cs="Arial"/>
              </w:rPr>
              <w:t>,</w:t>
            </w:r>
            <w:r w:rsidR="5F1CCD73" w:rsidRPr="001E06A1">
              <w:rPr>
                <w:rFonts w:eastAsia="Arial" w:cs="Arial"/>
              </w:rPr>
              <w:t xml:space="preserve"> LLC</w:t>
            </w:r>
            <w:r w:rsidR="007A5093">
              <w:rPr>
                <w:rFonts w:eastAsia="Arial" w:cs="Arial"/>
              </w:rPr>
              <w:t>,</w:t>
            </w:r>
            <w:r w:rsidR="5F1CCD73" w:rsidRPr="001E06A1">
              <w:rPr>
                <w:rFonts w:eastAsia="Arial" w:cs="Arial"/>
              </w:rPr>
              <w:t xml:space="preserve"> declared Chap</w:t>
            </w:r>
            <w:r w:rsidR="007A5093">
              <w:rPr>
                <w:rFonts w:eastAsia="Arial" w:cs="Arial"/>
              </w:rPr>
              <w:t>ter 11 Bankruptcy in June 2015.</w:t>
            </w:r>
          </w:p>
          <w:p w:rsidR="00594224" w:rsidRPr="00517880" w:rsidRDefault="00594224" w:rsidP="00594224">
            <w:pPr>
              <w:rPr>
                <w:rStyle w:val="Strong"/>
              </w:rPr>
            </w:pPr>
            <w:r w:rsidRPr="00517880">
              <w:rPr>
                <w:rStyle w:val="Strong"/>
              </w:rPr>
              <w:t xml:space="preserve">Nitrate Plume, Barstow </w:t>
            </w:r>
          </w:p>
          <w:p w:rsidR="00481449" w:rsidRPr="00E51F1D" w:rsidRDefault="00481449" w:rsidP="00481449">
            <w:pPr>
              <w:ind w:left="720"/>
            </w:pPr>
            <w:r w:rsidRPr="00E51F1D">
              <w:t xml:space="preserve">The City of Barstow </w:t>
            </w:r>
            <w:r w:rsidR="007A5093">
              <w:t xml:space="preserve">continues quarterly monitoring of groundwater in residential and monitoring wells and currently </w:t>
            </w:r>
            <w:r w:rsidR="008E4672">
              <w:t>provides bottled water</w:t>
            </w:r>
            <w:r w:rsidR="007A5093">
              <w:t xml:space="preserve"> to eight residences.</w:t>
            </w:r>
          </w:p>
          <w:p w:rsidR="00594224" w:rsidRPr="00517880" w:rsidRDefault="00594224" w:rsidP="00594224">
            <w:pPr>
              <w:rPr>
                <w:rStyle w:val="Strong"/>
              </w:rPr>
            </w:pPr>
            <w:r w:rsidRPr="00517880">
              <w:rPr>
                <w:rStyle w:val="Strong"/>
              </w:rPr>
              <w:t>Perchlorate Plume, Barstow</w:t>
            </w:r>
          </w:p>
          <w:p w:rsidR="00594224" w:rsidRPr="001E06A1" w:rsidRDefault="007A5093">
            <w:pPr>
              <w:ind w:left="720"/>
              <w:rPr>
                <w:rFonts w:eastAsiaTheme="minorEastAsia" w:cs="Arial"/>
                <w:highlight w:val="yellow"/>
              </w:rPr>
            </w:pPr>
            <w:r>
              <w:t>Board s</w:t>
            </w:r>
            <w:r w:rsidR="009939EE" w:rsidRPr="003419B7">
              <w:t>taff continue quarterly monitoring of we</w:t>
            </w:r>
            <w:r>
              <w:t xml:space="preserve">lls; replacement bottled water </w:t>
            </w:r>
            <w:r w:rsidR="009939EE" w:rsidRPr="003419B7">
              <w:t xml:space="preserve">provided to </w:t>
            </w:r>
            <w:r>
              <w:t>eight</w:t>
            </w:r>
            <w:r w:rsidR="00D40A3E" w:rsidRPr="382BE7E9">
              <w:t xml:space="preserve"> </w:t>
            </w:r>
            <w:r w:rsidR="003A5BBD" w:rsidRPr="003419B7">
              <w:t>affected homes</w:t>
            </w:r>
            <w:r w:rsidR="009939EE" w:rsidRPr="382BE7E9">
              <w:t xml:space="preserve">. </w:t>
            </w:r>
            <w:proofErr w:type="spellStart"/>
            <w:r w:rsidR="00A47841" w:rsidRPr="009939EE">
              <w:t>A</w:t>
            </w:r>
            <w:r w:rsidR="009611BF">
              <w:t>ptim</w:t>
            </w:r>
            <w:proofErr w:type="spellEnd"/>
            <w:r w:rsidR="009611BF">
              <w:t xml:space="preserve"> was the contractor selected to conduct the source area treatability study, under Board staff guidance, with the $2.67 grant </w:t>
            </w:r>
            <w:r w:rsidR="00D40A3E">
              <w:t>award</w:t>
            </w:r>
            <w:r w:rsidR="009611BF">
              <w:t>; cost estimates and planning documents will be prepared</w:t>
            </w:r>
            <w:r w:rsidR="00B64948">
              <w:t>,</w:t>
            </w:r>
            <w:r w:rsidR="009611BF">
              <w:t xml:space="preserve"> and work may begin late </w:t>
            </w:r>
            <w:r w:rsidR="00DC4ABF">
              <w:t>2018</w:t>
            </w:r>
            <w:r w:rsidR="00A47841" w:rsidRPr="382BE7E9">
              <w:t>.</w:t>
            </w:r>
          </w:p>
          <w:p w:rsidR="00594224" w:rsidRPr="00517880" w:rsidRDefault="00A563E2" w:rsidP="00594224">
            <w:pPr>
              <w:rPr>
                <w:rStyle w:val="Strong"/>
              </w:rPr>
            </w:pPr>
            <w:r>
              <w:rPr>
                <w:rStyle w:val="Strong"/>
              </w:rPr>
              <w:t>7</w:t>
            </w:r>
            <w:r w:rsidRPr="00A563E2">
              <w:rPr>
                <w:rStyle w:val="Strong"/>
                <w:vertAlign w:val="superscript"/>
              </w:rPr>
              <w:t>th</w:t>
            </w:r>
            <w:r>
              <w:rPr>
                <w:rStyle w:val="Strong"/>
              </w:rPr>
              <w:t xml:space="preserve"> Street Dry Cleaner, </w:t>
            </w:r>
            <w:r w:rsidR="004527F5">
              <w:rPr>
                <w:rStyle w:val="Strong"/>
              </w:rPr>
              <w:t xml:space="preserve">Cadence Capitol Investments, LLC, </w:t>
            </w:r>
            <w:r>
              <w:rPr>
                <w:rStyle w:val="Strong"/>
              </w:rPr>
              <w:t xml:space="preserve">Victorville </w:t>
            </w:r>
          </w:p>
          <w:p w:rsidR="00C83A5A" w:rsidRPr="00247A12" w:rsidRDefault="004527F5" w:rsidP="009611BF">
            <w:pPr>
              <w:ind w:left="720"/>
              <w:rPr>
                <w:rStyle w:val="Strong"/>
                <w:b w:val="0"/>
                <w:bCs w:val="0"/>
                <w:sz w:val="18"/>
                <w:szCs w:val="18"/>
              </w:rPr>
            </w:pPr>
            <w:r>
              <w:t xml:space="preserve">In October 2017, began active soil vapor extraction </w:t>
            </w:r>
            <w:r w:rsidR="009611BF">
              <w:t xml:space="preserve">to remove solvents from </w:t>
            </w:r>
            <w:r>
              <w:t>soil and mitigate potential vapor intrusion risk</w:t>
            </w:r>
            <w:r w:rsidR="009611BF">
              <w:t>; and</w:t>
            </w:r>
            <w:r>
              <w:t xml:space="preserve"> </w:t>
            </w:r>
            <w:r w:rsidR="00A563E2">
              <w:t>has implemented a groundwater monitoring program</w:t>
            </w:r>
            <w:r>
              <w:t xml:space="preserve"> to track contaminant trends in groundwater. </w:t>
            </w:r>
            <w:r w:rsidR="00A563E2">
              <w:t xml:space="preserve"> </w:t>
            </w:r>
          </w:p>
        </w:tc>
      </w:tr>
    </w:tbl>
    <w:p w:rsidR="004C49E7" w:rsidRPr="00AB08CE" w:rsidRDefault="004C49E7">
      <w:pPr>
        <w:rPr>
          <w:sz w:val="10"/>
          <w:szCs w:val="10"/>
        </w:rPr>
      </w:pPr>
    </w:p>
    <w:tbl>
      <w:tblPr>
        <w:tblStyle w:val="TableGrid"/>
        <w:tblW w:w="10620" w:type="dxa"/>
        <w:tblInd w:w="-455" w:type="dxa"/>
        <w:tblCellMar>
          <w:top w:w="144" w:type="dxa"/>
          <w:left w:w="115" w:type="dxa"/>
          <w:bottom w:w="144" w:type="dxa"/>
          <w:right w:w="115" w:type="dxa"/>
        </w:tblCellMar>
        <w:tblLook w:val="04A0" w:firstRow="1" w:lastRow="0" w:firstColumn="1" w:lastColumn="0" w:noHBand="0" w:noVBand="1"/>
      </w:tblPr>
      <w:tblGrid>
        <w:gridCol w:w="10620"/>
      </w:tblGrid>
      <w:tr w:rsidR="00D22E6D" w:rsidTr="007A5093">
        <w:tc>
          <w:tcPr>
            <w:tcW w:w="10620" w:type="dxa"/>
            <w:tcBorders>
              <w:bottom w:val="single" w:sz="4" w:space="0" w:color="auto"/>
            </w:tcBorders>
            <w:shd w:val="clear" w:color="auto" w:fill="DAEEF3" w:themeFill="accent5" w:themeFillTint="33"/>
          </w:tcPr>
          <w:p w:rsidR="00655B8F" w:rsidRPr="009611BF" w:rsidRDefault="00655B8F" w:rsidP="00655B8F">
            <w:pPr>
              <w:tabs>
                <w:tab w:val="left" w:pos="1815"/>
              </w:tabs>
              <w:rPr>
                <w:rStyle w:val="Strong"/>
                <w:b w:val="0"/>
                <w:bCs w:val="0"/>
              </w:rPr>
            </w:pPr>
            <w:r w:rsidRPr="009611BF">
              <w:rPr>
                <w:rStyle w:val="Strong"/>
                <w:b w:val="0"/>
                <w:bCs w:val="0"/>
              </w:rPr>
              <w:t>Performance targets for fiscal year 2017/2018 – Progress to date</w:t>
            </w:r>
          </w:p>
          <w:p w:rsidR="00655B8F" w:rsidRPr="009611BF" w:rsidRDefault="00655B8F" w:rsidP="00655B8F">
            <w:pPr>
              <w:tabs>
                <w:tab w:val="left" w:pos="1815"/>
              </w:tabs>
              <w:rPr>
                <w:rStyle w:val="Strong"/>
                <w:b w:val="0"/>
                <w:bCs w:val="0"/>
              </w:rPr>
            </w:pPr>
            <w:r w:rsidRPr="009611BF">
              <w:rPr>
                <w:rStyle w:val="Strong"/>
                <w:b w:val="0"/>
                <w:bCs w:val="0"/>
              </w:rPr>
              <w:t xml:space="preserve">                                                                                          </w:t>
            </w:r>
            <w:r w:rsidRPr="009611BF">
              <w:rPr>
                <w:rStyle w:val="Strong"/>
                <w:u w:val="single"/>
              </w:rPr>
              <w:t>Target</w:t>
            </w:r>
            <w:r w:rsidRPr="009611BF">
              <w:rPr>
                <w:rStyle w:val="Strong"/>
                <w:b w:val="0"/>
                <w:bCs w:val="0"/>
              </w:rPr>
              <w:t xml:space="preserve">                                    </w:t>
            </w:r>
            <w:r w:rsidRPr="009611BF">
              <w:rPr>
                <w:rStyle w:val="Strong"/>
                <w:u w:val="single"/>
              </w:rPr>
              <w:t>Completed</w:t>
            </w:r>
          </w:p>
          <w:p w:rsidR="00655B8F" w:rsidRPr="009611BF" w:rsidRDefault="00655B8F" w:rsidP="00655B8F">
            <w:pPr>
              <w:pStyle w:val="ListParagraph"/>
              <w:numPr>
                <w:ilvl w:val="0"/>
                <w:numId w:val="3"/>
              </w:numPr>
              <w:spacing w:line="259" w:lineRule="auto"/>
              <w:rPr>
                <w:rStyle w:val="Strong"/>
              </w:rPr>
            </w:pPr>
            <w:r w:rsidRPr="009611BF">
              <w:rPr>
                <w:rStyle w:val="Strong"/>
                <w:b w:val="0"/>
                <w:bCs w:val="0"/>
              </w:rPr>
              <w:t>Number of Cases Closed                                               6                                                4</w:t>
            </w:r>
          </w:p>
          <w:p w:rsidR="000917AA" w:rsidRPr="009611BF" w:rsidRDefault="00655B8F" w:rsidP="00655B8F">
            <w:pPr>
              <w:pStyle w:val="ListParagraph"/>
              <w:numPr>
                <w:ilvl w:val="0"/>
                <w:numId w:val="3"/>
              </w:numPr>
              <w:rPr>
                <w:rStyle w:val="Strong"/>
                <w:b w:val="0"/>
                <w:bCs w:val="0"/>
              </w:rPr>
            </w:pPr>
            <w:r w:rsidRPr="009611BF">
              <w:rPr>
                <w:rStyle w:val="Strong"/>
                <w:b w:val="0"/>
                <w:bCs w:val="0"/>
              </w:rPr>
              <w:t>Number of Cases into Active Remediation                     0                                                1</w:t>
            </w:r>
          </w:p>
        </w:tc>
      </w:tr>
      <w:tr w:rsidR="00D22E6D" w:rsidRPr="00B30FB3" w:rsidTr="007A5093">
        <w:tc>
          <w:tcPr>
            <w:tcW w:w="10620" w:type="dxa"/>
            <w:tcBorders>
              <w:left w:val="nil"/>
              <w:bottom w:val="single" w:sz="4" w:space="0" w:color="auto"/>
              <w:right w:val="nil"/>
            </w:tcBorders>
            <w:tcMar>
              <w:top w:w="0" w:type="dxa"/>
              <w:bottom w:w="0" w:type="dxa"/>
            </w:tcMar>
          </w:tcPr>
          <w:p w:rsidR="00D22E6D" w:rsidRPr="00247A12" w:rsidRDefault="00D22E6D" w:rsidP="006E02DD">
            <w:pPr>
              <w:rPr>
                <w:rStyle w:val="Strong"/>
                <w:b w:val="0"/>
                <w:sz w:val="16"/>
                <w:szCs w:val="16"/>
              </w:rPr>
            </w:pPr>
          </w:p>
        </w:tc>
      </w:tr>
      <w:tr w:rsidR="00D22E6D" w:rsidRPr="009611BF" w:rsidTr="007A5093">
        <w:tc>
          <w:tcPr>
            <w:tcW w:w="10620" w:type="dxa"/>
            <w:tcBorders>
              <w:bottom w:val="single" w:sz="4" w:space="0" w:color="auto"/>
            </w:tcBorders>
            <w:shd w:val="clear" w:color="auto" w:fill="DAEEF3" w:themeFill="accent5" w:themeFillTint="33"/>
          </w:tcPr>
          <w:p w:rsidR="00D22E6D" w:rsidRPr="009611BF" w:rsidRDefault="00D22E6D" w:rsidP="00D061CF">
            <w:pPr>
              <w:tabs>
                <w:tab w:val="left" w:pos="1815"/>
              </w:tabs>
              <w:rPr>
                <w:rStyle w:val="Strong"/>
                <w:b w:val="0"/>
                <w:bCs w:val="0"/>
              </w:rPr>
            </w:pPr>
            <w:r w:rsidRPr="009611BF">
              <w:rPr>
                <w:rStyle w:val="Strong"/>
                <w:b w:val="0"/>
                <w:bCs w:val="0"/>
              </w:rPr>
              <w:t>P</w:t>
            </w:r>
            <w:r w:rsidR="00655B8F">
              <w:rPr>
                <w:rStyle w:val="Strong"/>
                <w:b w:val="0"/>
                <w:bCs w:val="0"/>
              </w:rPr>
              <w:t>rojected p</w:t>
            </w:r>
            <w:r w:rsidRPr="009611BF">
              <w:rPr>
                <w:rStyle w:val="Strong"/>
                <w:b w:val="0"/>
                <w:bCs w:val="0"/>
              </w:rPr>
              <w:t>e</w:t>
            </w:r>
            <w:r w:rsidR="004D2DE2" w:rsidRPr="009611BF">
              <w:rPr>
                <w:rStyle w:val="Strong"/>
                <w:b w:val="0"/>
                <w:bCs w:val="0"/>
              </w:rPr>
              <w:t xml:space="preserve">rformance targets for </w:t>
            </w:r>
            <w:r w:rsidR="000917AA" w:rsidRPr="009611BF">
              <w:rPr>
                <w:rStyle w:val="Strong"/>
                <w:b w:val="0"/>
                <w:bCs w:val="0"/>
              </w:rPr>
              <w:t>fiscal</w:t>
            </w:r>
            <w:r w:rsidR="004D2DE2" w:rsidRPr="009611BF">
              <w:rPr>
                <w:rStyle w:val="Strong"/>
                <w:b w:val="0"/>
                <w:bCs w:val="0"/>
              </w:rPr>
              <w:t xml:space="preserve"> year</w:t>
            </w:r>
            <w:r w:rsidR="000917AA" w:rsidRPr="009611BF">
              <w:rPr>
                <w:rStyle w:val="Strong"/>
                <w:b w:val="0"/>
                <w:bCs w:val="0"/>
              </w:rPr>
              <w:t xml:space="preserve"> 201</w:t>
            </w:r>
            <w:r w:rsidR="00655B8F">
              <w:rPr>
                <w:rStyle w:val="Strong"/>
                <w:b w:val="0"/>
                <w:bCs w:val="0"/>
              </w:rPr>
              <w:t>8</w:t>
            </w:r>
            <w:r w:rsidR="00A17133" w:rsidRPr="009611BF">
              <w:rPr>
                <w:rStyle w:val="Strong"/>
                <w:b w:val="0"/>
                <w:bCs w:val="0"/>
              </w:rPr>
              <w:t>/</w:t>
            </w:r>
            <w:r w:rsidR="000917AA" w:rsidRPr="009611BF">
              <w:rPr>
                <w:rStyle w:val="Strong"/>
                <w:b w:val="0"/>
                <w:bCs w:val="0"/>
              </w:rPr>
              <w:t>201</w:t>
            </w:r>
            <w:r w:rsidR="00655B8F">
              <w:rPr>
                <w:rStyle w:val="Strong"/>
                <w:b w:val="0"/>
                <w:bCs w:val="0"/>
              </w:rPr>
              <w:t>9</w:t>
            </w:r>
            <w:r w:rsidR="001863DA" w:rsidRPr="009611BF">
              <w:rPr>
                <w:rStyle w:val="Strong"/>
                <w:b w:val="0"/>
                <w:bCs w:val="0"/>
              </w:rPr>
              <w:t xml:space="preserve"> </w:t>
            </w:r>
          </w:p>
          <w:p w:rsidR="007D5DA6" w:rsidRPr="009611BF" w:rsidRDefault="007D5DA6" w:rsidP="00D061CF">
            <w:pPr>
              <w:tabs>
                <w:tab w:val="left" w:pos="1815"/>
              </w:tabs>
              <w:rPr>
                <w:rStyle w:val="Strong"/>
                <w:b w:val="0"/>
                <w:bCs w:val="0"/>
              </w:rPr>
            </w:pPr>
            <w:r w:rsidRPr="009611BF">
              <w:rPr>
                <w:rStyle w:val="Strong"/>
                <w:b w:val="0"/>
                <w:bCs w:val="0"/>
              </w:rPr>
              <w:t xml:space="preserve">                                                                                          </w:t>
            </w:r>
            <w:r w:rsidR="00655B8F">
              <w:rPr>
                <w:rStyle w:val="Strong"/>
                <w:b w:val="0"/>
                <w:bCs w:val="0"/>
              </w:rPr>
              <w:t xml:space="preserve">        </w:t>
            </w:r>
            <w:r w:rsidRPr="009611BF">
              <w:rPr>
                <w:rStyle w:val="Strong"/>
                <w:u w:val="single"/>
              </w:rPr>
              <w:t>Target</w:t>
            </w:r>
            <w:r w:rsidRPr="009611BF">
              <w:rPr>
                <w:rStyle w:val="Strong"/>
                <w:b w:val="0"/>
                <w:bCs w:val="0"/>
              </w:rPr>
              <w:t xml:space="preserve">                                 </w:t>
            </w:r>
            <w:r w:rsidR="008E4672" w:rsidRPr="009611BF">
              <w:rPr>
                <w:rStyle w:val="Strong"/>
                <w:b w:val="0"/>
                <w:bCs w:val="0"/>
              </w:rPr>
              <w:t xml:space="preserve"> </w:t>
            </w:r>
            <w:r w:rsidRPr="009611BF">
              <w:rPr>
                <w:rStyle w:val="Strong"/>
                <w:b w:val="0"/>
                <w:bCs w:val="0"/>
              </w:rPr>
              <w:t xml:space="preserve"> </w:t>
            </w:r>
            <w:r w:rsidR="008E4672" w:rsidRPr="009611BF">
              <w:rPr>
                <w:rStyle w:val="Strong"/>
                <w:b w:val="0"/>
                <w:bCs w:val="0"/>
              </w:rPr>
              <w:t xml:space="preserve"> </w:t>
            </w:r>
          </w:p>
          <w:p w:rsidR="49A082C1" w:rsidRPr="009611BF" w:rsidRDefault="00655B8F" w:rsidP="001E06A1">
            <w:pPr>
              <w:pStyle w:val="ListParagraph"/>
              <w:numPr>
                <w:ilvl w:val="0"/>
                <w:numId w:val="4"/>
              </w:numPr>
              <w:spacing w:line="259" w:lineRule="auto"/>
              <w:ind w:left="360"/>
              <w:rPr>
                <w:rStyle w:val="Strong"/>
              </w:rPr>
            </w:pPr>
            <w:r>
              <w:rPr>
                <w:rStyle w:val="Strong"/>
                <w:b w:val="0"/>
                <w:bCs w:val="0"/>
              </w:rPr>
              <w:t>Case Closures</w:t>
            </w:r>
            <w:r w:rsidR="007D5DA6" w:rsidRPr="009611BF">
              <w:rPr>
                <w:rStyle w:val="Strong"/>
                <w:b w:val="0"/>
                <w:bCs w:val="0"/>
              </w:rPr>
              <w:t xml:space="preserve">        </w:t>
            </w:r>
            <w:r>
              <w:rPr>
                <w:rStyle w:val="Strong"/>
                <w:b w:val="0"/>
                <w:bCs w:val="0"/>
              </w:rPr>
              <w:t xml:space="preserve">                   </w:t>
            </w:r>
            <w:r w:rsidR="007D5DA6" w:rsidRPr="009611BF">
              <w:rPr>
                <w:rStyle w:val="Strong"/>
                <w:b w:val="0"/>
                <w:bCs w:val="0"/>
              </w:rPr>
              <w:t xml:space="preserve">                                  </w:t>
            </w:r>
            <w:r>
              <w:rPr>
                <w:rStyle w:val="Strong"/>
                <w:b w:val="0"/>
                <w:bCs w:val="0"/>
              </w:rPr>
              <w:t xml:space="preserve">        </w:t>
            </w:r>
            <w:r w:rsidR="007D5DA6" w:rsidRPr="009611BF">
              <w:rPr>
                <w:rStyle w:val="Strong"/>
                <w:b w:val="0"/>
                <w:bCs w:val="0"/>
              </w:rPr>
              <w:t xml:space="preserve">   </w:t>
            </w:r>
            <w:r>
              <w:rPr>
                <w:rStyle w:val="Strong"/>
                <w:b w:val="0"/>
                <w:bCs w:val="0"/>
              </w:rPr>
              <w:t>3</w:t>
            </w:r>
            <w:r w:rsidR="007D5DA6" w:rsidRPr="009611BF">
              <w:rPr>
                <w:rStyle w:val="Strong"/>
                <w:b w:val="0"/>
                <w:bCs w:val="0"/>
              </w:rPr>
              <w:t xml:space="preserve">                                              </w:t>
            </w:r>
            <w:r w:rsidR="005B1752" w:rsidRPr="009611BF">
              <w:rPr>
                <w:rStyle w:val="Strong"/>
                <w:b w:val="0"/>
                <w:bCs w:val="0"/>
              </w:rPr>
              <w:t xml:space="preserve"> </w:t>
            </w:r>
          </w:p>
          <w:p w:rsidR="00534C34" w:rsidRPr="009611BF" w:rsidRDefault="00183814" w:rsidP="49A082C1">
            <w:pPr>
              <w:pStyle w:val="ListParagraph"/>
              <w:numPr>
                <w:ilvl w:val="0"/>
                <w:numId w:val="4"/>
              </w:numPr>
              <w:tabs>
                <w:tab w:val="right" w:pos="5220"/>
              </w:tabs>
              <w:ind w:left="360"/>
              <w:rPr>
                <w:rStyle w:val="Strong"/>
                <w:b w:val="0"/>
                <w:bCs w:val="0"/>
              </w:rPr>
            </w:pPr>
            <w:r w:rsidRPr="009611BF">
              <w:rPr>
                <w:rStyle w:val="Strong"/>
                <w:b w:val="0"/>
                <w:bCs w:val="0"/>
              </w:rPr>
              <w:t>Cases into Active Remediation</w:t>
            </w:r>
            <w:r w:rsidR="00655B8F">
              <w:rPr>
                <w:rStyle w:val="Strong"/>
                <w:b w:val="0"/>
                <w:bCs w:val="0"/>
              </w:rPr>
              <w:t xml:space="preserve">                  </w:t>
            </w:r>
            <w:r w:rsidR="00BB716E" w:rsidRPr="009611BF">
              <w:rPr>
                <w:rStyle w:val="Strong"/>
                <w:b w:val="0"/>
                <w:bCs w:val="0"/>
              </w:rPr>
              <w:t xml:space="preserve">               </w:t>
            </w:r>
            <w:r w:rsidR="00655B8F">
              <w:rPr>
                <w:rStyle w:val="Strong"/>
                <w:b w:val="0"/>
                <w:bCs w:val="0"/>
              </w:rPr>
              <w:t xml:space="preserve">        </w:t>
            </w:r>
            <w:r w:rsidR="00BB716E" w:rsidRPr="009611BF">
              <w:rPr>
                <w:rStyle w:val="Strong"/>
                <w:b w:val="0"/>
                <w:bCs w:val="0"/>
              </w:rPr>
              <w:t xml:space="preserve">      </w:t>
            </w:r>
            <w:r w:rsidR="0023496F" w:rsidRPr="009611BF">
              <w:rPr>
                <w:rStyle w:val="Strong"/>
                <w:b w:val="0"/>
                <w:bCs w:val="0"/>
              </w:rPr>
              <w:t>0</w:t>
            </w:r>
            <w:r w:rsidR="00B30FB3" w:rsidRPr="009611BF">
              <w:rPr>
                <w:rStyle w:val="Strong"/>
                <w:b w:val="0"/>
                <w:bCs w:val="0"/>
              </w:rPr>
              <w:t xml:space="preserve">    </w:t>
            </w:r>
            <w:r w:rsidR="007D5DA6" w:rsidRPr="009611BF">
              <w:rPr>
                <w:rStyle w:val="Strong"/>
                <w:b w:val="0"/>
                <w:bCs w:val="0"/>
              </w:rPr>
              <w:t xml:space="preserve">                                           </w:t>
            </w:r>
          </w:p>
        </w:tc>
      </w:tr>
      <w:tr w:rsidR="001902E2" w:rsidRPr="00397597" w:rsidTr="007A5093">
        <w:tblPrEx>
          <w:tblCellMar>
            <w:top w:w="0" w:type="dxa"/>
            <w:left w:w="108" w:type="dxa"/>
            <w:bottom w:w="0" w:type="dxa"/>
            <w:right w:w="108" w:type="dxa"/>
          </w:tblCellMar>
        </w:tblPrEx>
        <w:tc>
          <w:tcPr>
            <w:tcW w:w="10620" w:type="dxa"/>
            <w:tcBorders>
              <w:top w:val="single" w:sz="4" w:space="0" w:color="auto"/>
              <w:left w:val="nil"/>
              <w:bottom w:val="single" w:sz="4" w:space="0" w:color="auto"/>
              <w:right w:val="nil"/>
            </w:tcBorders>
            <w:shd w:val="clear" w:color="auto" w:fill="auto"/>
          </w:tcPr>
          <w:p w:rsidR="001902E2" w:rsidRPr="001902E2" w:rsidRDefault="001902E2" w:rsidP="00E01198">
            <w:pPr>
              <w:pStyle w:val="ListParagraph"/>
              <w:ind w:left="0"/>
              <w:rPr>
                <w:sz w:val="18"/>
                <w:szCs w:val="18"/>
              </w:rPr>
            </w:pPr>
          </w:p>
        </w:tc>
      </w:tr>
      <w:tr w:rsidR="004F1144" w:rsidRPr="00A47841" w:rsidTr="007607C9">
        <w:tblPrEx>
          <w:tblCellMar>
            <w:top w:w="0" w:type="dxa"/>
            <w:left w:w="108" w:type="dxa"/>
            <w:bottom w:w="0" w:type="dxa"/>
            <w:right w:w="108" w:type="dxa"/>
          </w:tblCellMar>
        </w:tblPrEx>
        <w:trPr>
          <w:trHeight w:val="6020"/>
        </w:trPr>
        <w:tc>
          <w:tcPr>
            <w:tcW w:w="106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1144" w:rsidRPr="00A47841" w:rsidRDefault="00AB08CE" w:rsidP="00E01198">
            <w:pPr>
              <w:pStyle w:val="ListParagraph"/>
              <w:ind w:left="0"/>
            </w:pPr>
            <w:r w:rsidRPr="00A47841">
              <w:t>U</w:t>
            </w:r>
            <w:r w:rsidR="004F1144" w:rsidRPr="00A47841">
              <w:t>naddressed Work</w:t>
            </w:r>
          </w:p>
          <w:p w:rsidR="00517880" w:rsidRDefault="00AB08CE" w:rsidP="00154439">
            <w:pPr>
              <w:pStyle w:val="ListParagraph"/>
              <w:numPr>
                <w:ilvl w:val="0"/>
                <w:numId w:val="6"/>
              </w:numPr>
              <w:ind w:left="342" w:hanging="342"/>
              <w:rPr>
                <w:rStyle w:val="Strong"/>
                <w:b w:val="0"/>
                <w:bCs w:val="0"/>
              </w:rPr>
            </w:pPr>
            <w:r w:rsidRPr="00A47841">
              <w:rPr>
                <w:rStyle w:val="Strong"/>
                <w:b w:val="0"/>
                <w:bCs w:val="0"/>
              </w:rPr>
              <w:t>Staff has identified one position annually of unaddressed work at several sites that have limited water board oversight but require additional time to hasten cleanup efforts to restore drinking water supplies.</w:t>
            </w:r>
          </w:p>
          <w:p w:rsidR="007607C9" w:rsidRPr="00517880" w:rsidRDefault="007607C9" w:rsidP="00154439">
            <w:pPr>
              <w:pStyle w:val="ListParagraph"/>
              <w:numPr>
                <w:ilvl w:val="0"/>
                <w:numId w:val="6"/>
              </w:numPr>
              <w:ind w:left="342" w:hanging="342"/>
              <w:rPr>
                <w:rStyle w:val="Strong"/>
                <w:b w:val="0"/>
                <w:bCs w:val="0"/>
              </w:rPr>
            </w:pPr>
            <w:r>
              <w:rPr>
                <w:noProof/>
              </w:rPr>
              <w:drawing>
                <wp:anchor distT="0" distB="0" distL="114300" distR="114300" simplePos="0" relativeHeight="251664384" behindDoc="0" locked="0" layoutInCell="1" allowOverlap="1" wp14:anchorId="13C2CB45" wp14:editId="32FCD42F">
                  <wp:simplePos x="0" y="0"/>
                  <wp:positionH relativeFrom="column">
                    <wp:posOffset>492125</wp:posOffset>
                  </wp:positionH>
                  <wp:positionV relativeFrom="page">
                    <wp:posOffset>899795</wp:posOffset>
                  </wp:positionV>
                  <wp:extent cx="5631180" cy="2377440"/>
                  <wp:effectExtent l="0" t="0" r="7620" b="381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c>
      </w:tr>
    </w:tbl>
    <w:p w:rsidR="004F1144" w:rsidRPr="00A47841" w:rsidRDefault="004F1144" w:rsidP="00B27ADF">
      <w:pPr>
        <w:rPr>
          <w:rStyle w:val="Strong"/>
          <w:b w:val="0"/>
        </w:rPr>
      </w:pPr>
    </w:p>
    <w:sectPr w:rsidR="004F1144" w:rsidRPr="00A47841" w:rsidSect="001E06A1">
      <w:pgSz w:w="12240" w:h="15840"/>
      <w:pgMar w:top="45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4954"/>
    <w:multiLevelType w:val="hybridMultilevel"/>
    <w:tmpl w:val="C9A0B1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647E7"/>
    <w:multiLevelType w:val="hybridMultilevel"/>
    <w:tmpl w:val="F72AD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EA50BB"/>
    <w:multiLevelType w:val="hybridMultilevel"/>
    <w:tmpl w:val="CD06F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7569"/>
    <w:multiLevelType w:val="hybridMultilevel"/>
    <w:tmpl w:val="3D929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758AE"/>
    <w:multiLevelType w:val="hybridMultilevel"/>
    <w:tmpl w:val="B8C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CE2"/>
    <w:multiLevelType w:val="hybridMultilevel"/>
    <w:tmpl w:val="73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0"/>
    <w:rsid w:val="0001018C"/>
    <w:rsid w:val="000148C7"/>
    <w:rsid w:val="000762AF"/>
    <w:rsid w:val="000917AA"/>
    <w:rsid w:val="00096E7C"/>
    <w:rsid w:val="000A2D34"/>
    <w:rsid w:val="000A5077"/>
    <w:rsid w:val="000A5F9D"/>
    <w:rsid w:val="000D71D5"/>
    <w:rsid w:val="000E014E"/>
    <w:rsid w:val="000E1447"/>
    <w:rsid w:val="000E2D13"/>
    <w:rsid w:val="00111D71"/>
    <w:rsid w:val="001234B5"/>
    <w:rsid w:val="00150981"/>
    <w:rsid w:val="00154439"/>
    <w:rsid w:val="001659A9"/>
    <w:rsid w:val="00182604"/>
    <w:rsid w:val="00183814"/>
    <w:rsid w:val="001863DA"/>
    <w:rsid w:val="00186F5B"/>
    <w:rsid w:val="001879A4"/>
    <w:rsid w:val="001902E2"/>
    <w:rsid w:val="00194526"/>
    <w:rsid w:val="001B4830"/>
    <w:rsid w:val="001B7DC9"/>
    <w:rsid w:val="001C2039"/>
    <w:rsid w:val="001D10DE"/>
    <w:rsid w:val="001E06A1"/>
    <w:rsid w:val="001F0906"/>
    <w:rsid w:val="001F2DFF"/>
    <w:rsid w:val="0023496F"/>
    <w:rsid w:val="00241FCB"/>
    <w:rsid w:val="00247A12"/>
    <w:rsid w:val="00275CDA"/>
    <w:rsid w:val="00283629"/>
    <w:rsid w:val="00283FC4"/>
    <w:rsid w:val="00285EA9"/>
    <w:rsid w:val="002B4A80"/>
    <w:rsid w:val="002C35DA"/>
    <w:rsid w:val="002E0A12"/>
    <w:rsid w:val="002F2244"/>
    <w:rsid w:val="002F69E6"/>
    <w:rsid w:val="00311105"/>
    <w:rsid w:val="003356C8"/>
    <w:rsid w:val="003419B7"/>
    <w:rsid w:val="00397597"/>
    <w:rsid w:val="003A5BBD"/>
    <w:rsid w:val="003A6A10"/>
    <w:rsid w:val="003B1BB0"/>
    <w:rsid w:val="003E788E"/>
    <w:rsid w:val="003F307D"/>
    <w:rsid w:val="003F4BF5"/>
    <w:rsid w:val="00424776"/>
    <w:rsid w:val="004526D7"/>
    <w:rsid w:val="004527F5"/>
    <w:rsid w:val="00481449"/>
    <w:rsid w:val="0048182E"/>
    <w:rsid w:val="00481C98"/>
    <w:rsid w:val="00486F72"/>
    <w:rsid w:val="0049336F"/>
    <w:rsid w:val="004B316E"/>
    <w:rsid w:val="004B349C"/>
    <w:rsid w:val="004C0815"/>
    <w:rsid w:val="004C1AD8"/>
    <w:rsid w:val="004C49E7"/>
    <w:rsid w:val="004D171C"/>
    <w:rsid w:val="004D2DE2"/>
    <w:rsid w:val="004F1144"/>
    <w:rsid w:val="005013DA"/>
    <w:rsid w:val="00503353"/>
    <w:rsid w:val="00517880"/>
    <w:rsid w:val="00526AEC"/>
    <w:rsid w:val="00534C34"/>
    <w:rsid w:val="00542F59"/>
    <w:rsid w:val="00547777"/>
    <w:rsid w:val="00547A4B"/>
    <w:rsid w:val="00572047"/>
    <w:rsid w:val="0057268C"/>
    <w:rsid w:val="005826AA"/>
    <w:rsid w:val="00582C45"/>
    <w:rsid w:val="00584AEE"/>
    <w:rsid w:val="00590AE1"/>
    <w:rsid w:val="0059312B"/>
    <w:rsid w:val="00594224"/>
    <w:rsid w:val="005A2F37"/>
    <w:rsid w:val="005B0632"/>
    <w:rsid w:val="005B1752"/>
    <w:rsid w:val="005C55E9"/>
    <w:rsid w:val="005D1C17"/>
    <w:rsid w:val="005D7BC5"/>
    <w:rsid w:val="005E3FE6"/>
    <w:rsid w:val="005E631B"/>
    <w:rsid w:val="006202FC"/>
    <w:rsid w:val="006443C5"/>
    <w:rsid w:val="00655B8F"/>
    <w:rsid w:val="00655F2A"/>
    <w:rsid w:val="00677B9B"/>
    <w:rsid w:val="00682F07"/>
    <w:rsid w:val="00685F70"/>
    <w:rsid w:val="00694C2E"/>
    <w:rsid w:val="00697CB4"/>
    <w:rsid w:val="006A22C8"/>
    <w:rsid w:val="006A775C"/>
    <w:rsid w:val="006B0891"/>
    <w:rsid w:val="006B1468"/>
    <w:rsid w:val="006B4BD1"/>
    <w:rsid w:val="006C29DB"/>
    <w:rsid w:val="006C3509"/>
    <w:rsid w:val="006C751A"/>
    <w:rsid w:val="006E02DD"/>
    <w:rsid w:val="006E50B8"/>
    <w:rsid w:val="006F30E6"/>
    <w:rsid w:val="00704521"/>
    <w:rsid w:val="00737C79"/>
    <w:rsid w:val="007400EC"/>
    <w:rsid w:val="00750835"/>
    <w:rsid w:val="00757181"/>
    <w:rsid w:val="007607C9"/>
    <w:rsid w:val="0077301A"/>
    <w:rsid w:val="00781EE9"/>
    <w:rsid w:val="00785AC3"/>
    <w:rsid w:val="007A5093"/>
    <w:rsid w:val="007A7083"/>
    <w:rsid w:val="007B07F3"/>
    <w:rsid w:val="007D5DA6"/>
    <w:rsid w:val="007E5AB5"/>
    <w:rsid w:val="007F414E"/>
    <w:rsid w:val="007F5DD0"/>
    <w:rsid w:val="00802548"/>
    <w:rsid w:val="00803014"/>
    <w:rsid w:val="008101C1"/>
    <w:rsid w:val="00810D68"/>
    <w:rsid w:val="008116B7"/>
    <w:rsid w:val="0082107B"/>
    <w:rsid w:val="008233A0"/>
    <w:rsid w:val="00833BB6"/>
    <w:rsid w:val="00835EA4"/>
    <w:rsid w:val="0083783E"/>
    <w:rsid w:val="008773A3"/>
    <w:rsid w:val="008A21A1"/>
    <w:rsid w:val="008A43C0"/>
    <w:rsid w:val="008B21AA"/>
    <w:rsid w:val="008B53CE"/>
    <w:rsid w:val="008C4A10"/>
    <w:rsid w:val="008D2140"/>
    <w:rsid w:val="008D66B7"/>
    <w:rsid w:val="008E4672"/>
    <w:rsid w:val="008F3677"/>
    <w:rsid w:val="009370D6"/>
    <w:rsid w:val="00951B90"/>
    <w:rsid w:val="009611BF"/>
    <w:rsid w:val="00980E06"/>
    <w:rsid w:val="0099215A"/>
    <w:rsid w:val="00993789"/>
    <w:rsid w:val="009939EE"/>
    <w:rsid w:val="00993BE3"/>
    <w:rsid w:val="009A4C4E"/>
    <w:rsid w:val="009B56E9"/>
    <w:rsid w:val="009C1413"/>
    <w:rsid w:val="009E2E16"/>
    <w:rsid w:val="009E7F67"/>
    <w:rsid w:val="009F36FE"/>
    <w:rsid w:val="009F4FF8"/>
    <w:rsid w:val="009F5094"/>
    <w:rsid w:val="009F5486"/>
    <w:rsid w:val="00A04EB8"/>
    <w:rsid w:val="00A06265"/>
    <w:rsid w:val="00A10E69"/>
    <w:rsid w:val="00A17133"/>
    <w:rsid w:val="00A17A7D"/>
    <w:rsid w:val="00A47841"/>
    <w:rsid w:val="00A563E2"/>
    <w:rsid w:val="00A66CE9"/>
    <w:rsid w:val="00A70B39"/>
    <w:rsid w:val="00AA1B81"/>
    <w:rsid w:val="00AA71D6"/>
    <w:rsid w:val="00AB08CE"/>
    <w:rsid w:val="00AB7FE9"/>
    <w:rsid w:val="00AC0577"/>
    <w:rsid w:val="00B074CD"/>
    <w:rsid w:val="00B11F51"/>
    <w:rsid w:val="00B215BA"/>
    <w:rsid w:val="00B27ADF"/>
    <w:rsid w:val="00B30FB3"/>
    <w:rsid w:val="00B64948"/>
    <w:rsid w:val="00B80B13"/>
    <w:rsid w:val="00B86C8B"/>
    <w:rsid w:val="00BA3741"/>
    <w:rsid w:val="00BA49C7"/>
    <w:rsid w:val="00BB716E"/>
    <w:rsid w:val="00BC03BB"/>
    <w:rsid w:val="00BE3B62"/>
    <w:rsid w:val="00BF019C"/>
    <w:rsid w:val="00C425F2"/>
    <w:rsid w:val="00C64505"/>
    <w:rsid w:val="00C83655"/>
    <w:rsid w:val="00C83A5A"/>
    <w:rsid w:val="00C868B7"/>
    <w:rsid w:val="00C95421"/>
    <w:rsid w:val="00CD384C"/>
    <w:rsid w:val="00CE6AE3"/>
    <w:rsid w:val="00CF2B2F"/>
    <w:rsid w:val="00CF4D70"/>
    <w:rsid w:val="00D061CF"/>
    <w:rsid w:val="00D22E6D"/>
    <w:rsid w:val="00D40A3E"/>
    <w:rsid w:val="00D41CD4"/>
    <w:rsid w:val="00D55430"/>
    <w:rsid w:val="00D80E66"/>
    <w:rsid w:val="00D95240"/>
    <w:rsid w:val="00DA3ABC"/>
    <w:rsid w:val="00DC4ABF"/>
    <w:rsid w:val="00DD0AE8"/>
    <w:rsid w:val="00DE7421"/>
    <w:rsid w:val="00DF3AC0"/>
    <w:rsid w:val="00E1568B"/>
    <w:rsid w:val="00E22597"/>
    <w:rsid w:val="00E22A8B"/>
    <w:rsid w:val="00E45AA8"/>
    <w:rsid w:val="00E47A68"/>
    <w:rsid w:val="00E51744"/>
    <w:rsid w:val="00E51F1D"/>
    <w:rsid w:val="00E65FA9"/>
    <w:rsid w:val="00E74232"/>
    <w:rsid w:val="00E865F7"/>
    <w:rsid w:val="00E94773"/>
    <w:rsid w:val="00E97B8F"/>
    <w:rsid w:val="00ED69F7"/>
    <w:rsid w:val="00F025A0"/>
    <w:rsid w:val="00F461D8"/>
    <w:rsid w:val="00F524AD"/>
    <w:rsid w:val="00F52821"/>
    <w:rsid w:val="00F557BD"/>
    <w:rsid w:val="00F7239A"/>
    <w:rsid w:val="00F80897"/>
    <w:rsid w:val="00F86950"/>
    <w:rsid w:val="00FA2C2A"/>
    <w:rsid w:val="00FA3778"/>
    <w:rsid w:val="00FA3A63"/>
    <w:rsid w:val="00FE0146"/>
    <w:rsid w:val="0144EAE5"/>
    <w:rsid w:val="0191B757"/>
    <w:rsid w:val="0CE783B3"/>
    <w:rsid w:val="13C6348A"/>
    <w:rsid w:val="186D31B2"/>
    <w:rsid w:val="1AEF863E"/>
    <w:rsid w:val="1CE36C63"/>
    <w:rsid w:val="1F64CFDB"/>
    <w:rsid w:val="20100E9C"/>
    <w:rsid w:val="21D2838B"/>
    <w:rsid w:val="22946009"/>
    <w:rsid w:val="267D0371"/>
    <w:rsid w:val="2E252C0A"/>
    <w:rsid w:val="3334C115"/>
    <w:rsid w:val="3802E603"/>
    <w:rsid w:val="382BE7E9"/>
    <w:rsid w:val="3886839A"/>
    <w:rsid w:val="3EFC4CD9"/>
    <w:rsid w:val="446064D2"/>
    <w:rsid w:val="49A082C1"/>
    <w:rsid w:val="4AA30DEE"/>
    <w:rsid w:val="4E2BF2E0"/>
    <w:rsid w:val="4F8EC00C"/>
    <w:rsid w:val="503CEA73"/>
    <w:rsid w:val="52BC3CB1"/>
    <w:rsid w:val="57E83E6A"/>
    <w:rsid w:val="5AF7219D"/>
    <w:rsid w:val="5B8682EE"/>
    <w:rsid w:val="5EE20DF1"/>
    <w:rsid w:val="5F1CCD73"/>
    <w:rsid w:val="61C6D6EC"/>
    <w:rsid w:val="6350CB56"/>
    <w:rsid w:val="6604342E"/>
    <w:rsid w:val="67594738"/>
    <w:rsid w:val="68125DA7"/>
    <w:rsid w:val="685B9A91"/>
    <w:rsid w:val="699D636B"/>
    <w:rsid w:val="6AC1724C"/>
    <w:rsid w:val="71A1960A"/>
    <w:rsid w:val="7AF540DC"/>
    <w:rsid w:val="7B84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7401C"/>
  <w15:docId w15:val="{846A51ED-25AF-443E-8EA0-C32654B4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uiPriority w:val="22"/>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PlainText">
    <w:name w:val="Plain Text"/>
    <w:basedOn w:val="Normal"/>
    <w:link w:val="PlainTextChar"/>
    <w:uiPriority w:val="99"/>
    <w:unhideWhenUsed/>
    <w:rsid w:val="005C55E9"/>
    <w:rPr>
      <w:rFonts w:ascii="Calibri" w:hAnsi="Calibri"/>
      <w:sz w:val="22"/>
      <w:szCs w:val="21"/>
    </w:rPr>
  </w:style>
  <w:style w:type="character" w:customStyle="1" w:styleId="PlainTextChar">
    <w:name w:val="Plain Text Char"/>
    <w:basedOn w:val="DefaultParagraphFont"/>
    <w:link w:val="PlainText"/>
    <w:uiPriority w:val="99"/>
    <w:rsid w:val="005C55E9"/>
    <w:rPr>
      <w:rFonts w:ascii="Calibri" w:hAnsi="Calibri"/>
      <w:sz w:val="22"/>
      <w:szCs w:val="21"/>
    </w:rPr>
  </w:style>
  <w:style w:type="character" w:styleId="CommentReference">
    <w:name w:val="annotation reference"/>
    <w:basedOn w:val="DefaultParagraphFont"/>
    <w:rsid w:val="00E74232"/>
    <w:rPr>
      <w:sz w:val="16"/>
      <w:szCs w:val="16"/>
    </w:rPr>
  </w:style>
  <w:style w:type="paragraph" w:styleId="CommentText">
    <w:name w:val="annotation text"/>
    <w:basedOn w:val="Normal"/>
    <w:link w:val="CommentTextChar"/>
    <w:rsid w:val="00E74232"/>
    <w:rPr>
      <w:sz w:val="20"/>
      <w:szCs w:val="20"/>
    </w:rPr>
  </w:style>
  <w:style w:type="character" w:customStyle="1" w:styleId="CommentTextChar">
    <w:name w:val="Comment Text Char"/>
    <w:basedOn w:val="DefaultParagraphFont"/>
    <w:link w:val="CommentText"/>
    <w:rsid w:val="00E74232"/>
    <w:rPr>
      <w:rFonts w:ascii="Arial" w:hAnsi="Arial"/>
    </w:rPr>
  </w:style>
  <w:style w:type="paragraph" w:styleId="CommentSubject">
    <w:name w:val="annotation subject"/>
    <w:basedOn w:val="CommentText"/>
    <w:next w:val="CommentText"/>
    <w:link w:val="CommentSubjectChar"/>
    <w:rsid w:val="00E74232"/>
    <w:rPr>
      <w:b/>
      <w:bCs/>
    </w:rPr>
  </w:style>
  <w:style w:type="character" w:customStyle="1" w:styleId="CommentSubjectChar">
    <w:name w:val="Comment Subject Char"/>
    <w:basedOn w:val="CommentTextChar"/>
    <w:link w:val="CommentSubject"/>
    <w:rsid w:val="00E742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98">
      <w:bodyDiv w:val="1"/>
      <w:marLeft w:val="0"/>
      <w:marRight w:val="0"/>
      <w:marTop w:val="0"/>
      <w:marBottom w:val="0"/>
      <w:divBdr>
        <w:top w:val="none" w:sz="0" w:space="0" w:color="auto"/>
        <w:left w:val="none" w:sz="0" w:space="0" w:color="auto"/>
        <w:bottom w:val="none" w:sz="0" w:space="0" w:color="auto"/>
        <w:right w:val="none" w:sz="0" w:space="0" w:color="auto"/>
      </w:divBdr>
    </w:div>
    <w:div w:id="73210877">
      <w:bodyDiv w:val="1"/>
      <w:marLeft w:val="0"/>
      <w:marRight w:val="0"/>
      <w:marTop w:val="0"/>
      <w:marBottom w:val="0"/>
      <w:divBdr>
        <w:top w:val="none" w:sz="0" w:space="0" w:color="auto"/>
        <w:left w:val="none" w:sz="0" w:space="0" w:color="auto"/>
        <w:bottom w:val="none" w:sz="0" w:space="0" w:color="auto"/>
        <w:right w:val="none" w:sz="0" w:space="0" w:color="auto"/>
      </w:divBdr>
    </w:div>
    <w:div w:id="368074376">
      <w:bodyDiv w:val="1"/>
      <w:marLeft w:val="0"/>
      <w:marRight w:val="0"/>
      <w:marTop w:val="0"/>
      <w:marBottom w:val="0"/>
      <w:divBdr>
        <w:top w:val="none" w:sz="0" w:space="0" w:color="auto"/>
        <w:left w:val="none" w:sz="0" w:space="0" w:color="auto"/>
        <w:bottom w:val="none" w:sz="0" w:space="0" w:color="auto"/>
        <w:right w:val="none" w:sz="0" w:space="0" w:color="auto"/>
      </w:divBdr>
    </w:div>
    <w:div w:id="435252832">
      <w:bodyDiv w:val="1"/>
      <w:marLeft w:val="0"/>
      <w:marRight w:val="0"/>
      <w:marTop w:val="0"/>
      <w:marBottom w:val="0"/>
      <w:divBdr>
        <w:top w:val="none" w:sz="0" w:space="0" w:color="auto"/>
        <w:left w:val="none" w:sz="0" w:space="0" w:color="auto"/>
        <w:bottom w:val="none" w:sz="0" w:space="0" w:color="auto"/>
        <w:right w:val="none" w:sz="0" w:space="0" w:color="auto"/>
      </w:divBdr>
    </w:div>
    <w:div w:id="493642069">
      <w:bodyDiv w:val="1"/>
      <w:marLeft w:val="0"/>
      <w:marRight w:val="0"/>
      <w:marTop w:val="0"/>
      <w:marBottom w:val="0"/>
      <w:divBdr>
        <w:top w:val="none" w:sz="0" w:space="0" w:color="auto"/>
        <w:left w:val="none" w:sz="0" w:space="0" w:color="auto"/>
        <w:bottom w:val="none" w:sz="0" w:space="0" w:color="auto"/>
        <w:right w:val="none" w:sz="0" w:space="0" w:color="auto"/>
      </w:divBdr>
    </w:div>
    <w:div w:id="554778415">
      <w:bodyDiv w:val="1"/>
      <w:marLeft w:val="0"/>
      <w:marRight w:val="0"/>
      <w:marTop w:val="0"/>
      <w:marBottom w:val="0"/>
      <w:divBdr>
        <w:top w:val="none" w:sz="0" w:space="0" w:color="auto"/>
        <w:left w:val="none" w:sz="0" w:space="0" w:color="auto"/>
        <w:bottom w:val="none" w:sz="0" w:space="0" w:color="auto"/>
        <w:right w:val="none" w:sz="0" w:space="0" w:color="auto"/>
      </w:divBdr>
    </w:div>
    <w:div w:id="712927902">
      <w:bodyDiv w:val="1"/>
      <w:marLeft w:val="0"/>
      <w:marRight w:val="0"/>
      <w:marTop w:val="0"/>
      <w:marBottom w:val="0"/>
      <w:divBdr>
        <w:top w:val="none" w:sz="0" w:space="0" w:color="auto"/>
        <w:left w:val="none" w:sz="0" w:space="0" w:color="auto"/>
        <w:bottom w:val="none" w:sz="0" w:space="0" w:color="auto"/>
        <w:right w:val="none" w:sz="0" w:space="0" w:color="auto"/>
      </w:divBdr>
    </w:div>
    <w:div w:id="773669854">
      <w:bodyDiv w:val="1"/>
      <w:marLeft w:val="0"/>
      <w:marRight w:val="0"/>
      <w:marTop w:val="0"/>
      <w:marBottom w:val="0"/>
      <w:divBdr>
        <w:top w:val="none" w:sz="0" w:space="0" w:color="auto"/>
        <w:left w:val="none" w:sz="0" w:space="0" w:color="auto"/>
        <w:bottom w:val="none" w:sz="0" w:space="0" w:color="auto"/>
        <w:right w:val="none" w:sz="0" w:space="0" w:color="auto"/>
      </w:divBdr>
    </w:div>
    <w:div w:id="783691937">
      <w:bodyDiv w:val="1"/>
      <w:marLeft w:val="0"/>
      <w:marRight w:val="0"/>
      <w:marTop w:val="0"/>
      <w:marBottom w:val="0"/>
      <w:divBdr>
        <w:top w:val="none" w:sz="0" w:space="0" w:color="auto"/>
        <w:left w:val="none" w:sz="0" w:space="0" w:color="auto"/>
        <w:bottom w:val="none" w:sz="0" w:space="0" w:color="auto"/>
        <w:right w:val="none" w:sz="0" w:space="0" w:color="auto"/>
      </w:divBdr>
    </w:div>
    <w:div w:id="945425508">
      <w:bodyDiv w:val="1"/>
      <w:marLeft w:val="0"/>
      <w:marRight w:val="0"/>
      <w:marTop w:val="0"/>
      <w:marBottom w:val="0"/>
      <w:divBdr>
        <w:top w:val="none" w:sz="0" w:space="0" w:color="auto"/>
        <w:left w:val="none" w:sz="0" w:space="0" w:color="auto"/>
        <w:bottom w:val="none" w:sz="0" w:space="0" w:color="auto"/>
        <w:right w:val="none" w:sz="0" w:space="0" w:color="auto"/>
      </w:divBdr>
    </w:div>
    <w:div w:id="1051345240">
      <w:bodyDiv w:val="1"/>
      <w:marLeft w:val="0"/>
      <w:marRight w:val="0"/>
      <w:marTop w:val="0"/>
      <w:marBottom w:val="0"/>
      <w:divBdr>
        <w:top w:val="none" w:sz="0" w:space="0" w:color="auto"/>
        <w:left w:val="none" w:sz="0" w:space="0" w:color="auto"/>
        <w:bottom w:val="none" w:sz="0" w:space="0" w:color="auto"/>
        <w:right w:val="none" w:sz="0" w:space="0" w:color="auto"/>
      </w:divBdr>
    </w:div>
    <w:div w:id="1077704477">
      <w:bodyDiv w:val="1"/>
      <w:marLeft w:val="0"/>
      <w:marRight w:val="0"/>
      <w:marTop w:val="0"/>
      <w:marBottom w:val="0"/>
      <w:divBdr>
        <w:top w:val="none" w:sz="0" w:space="0" w:color="auto"/>
        <w:left w:val="none" w:sz="0" w:space="0" w:color="auto"/>
        <w:bottom w:val="none" w:sz="0" w:space="0" w:color="auto"/>
        <w:right w:val="none" w:sz="0" w:space="0" w:color="auto"/>
      </w:divBdr>
    </w:div>
    <w:div w:id="1172377222">
      <w:bodyDiv w:val="1"/>
      <w:marLeft w:val="0"/>
      <w:marRight w:val="0"/>
      <w:marTop w:val="0"/>
      <w:marBottom w:val="0"/>
      <w:divBdr>
        <w:top w:val="none" w:sz="0" w:space="0" w:color="auto"/>
        <w:left w:val="none" w:sz="0" w:space="0" w:color="auto"/>
        <w:bottom w:val="none" w:sz="0" w:space="0" w:color="auto"/>
        <w:right w:val="none" w:sz="0" w:space="0" w:color="auto"/>
      </w:divBdr>
    </w:div>
    <w:div w:id="1321231878">
      <w:bodyDiv w:val="1"/>
      <w:marLeft w:val="0"/>
      <w:marRight w:val="0"/>
      <w:marTop w:val="0"/>
      <w:marBottom w:val="0"/>
      <w:divBdr>
        <w:top w:val="none" w:sz="0" w:space="0" w:color="auto"/>
        <w:left w:val="none" w:sz="0" w:space="0" w:color="auto"/>
        <w:bottom w:val="none" w:sz="0" w:space="0" w:color="auto"/>
        <w:right w:val="none" w:sz="0" w:space="0" w:color="auto"/>
      </w:divBdr>
    </w:div>
    <w:div w:id="1358041340">
      <w:bodyDiv w:val="1"/>
      <w:marLeft w:val="0"/>
      <w:marRight w:val="0"/>
      <w:marTop w:val="0"/>
      <w:marBottom w:val="0"/>
      <w:divBdr>
        <w:top w:val="none" w:sz="0" w:space="0" w:color="auto"/>
        <w:left w:val="none" w:sz="0" w:space="0" w:color="auto"/>
        <w:bottom w:val="none" w:sz="0" w:space="0" w:color="auto"/>
        <w:right w:val="none" w:sz="0" w:space="0" w:color="auto"/>
      </w:divBdr>
    </w:div>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61460161">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 w:id="1706368359">
      <w:bodyDiv w:val="1"/>
      <w:marLeft w:val="0"/>
      <w:marRight w:val="0"/>
      <w:marTop w:val="0"/>
      <w:marBottom w:val="0"/>
      <w:divBdr>
        <w:top w:val="none" w:sz="0" w:space="0" w:color="auto"/>
        <w:left w:val="none" w:sz="0" w:space="0" w:color="auto"/>
        <w:bottom w:val="none" w:sz="0" w:space="0" w:color="auto"/>
        <w:right w:val="none" w:sz="0" w:space="0" w:color="auto"/>
      </w:divBdr>
    </w:div>
    <w:div w:id="1951742582">
      <w:bodyDiv w:val="1"/>
      <w:marLeft w:val="0"/>
      <w:marRight w:val="0"/>
      <w:marTop w:val="0"/>
      <w:marBottom w:val="0"/>
      <w:divBdr>
        <w:top w:val="none" w:sz="0" w:space="0" w:color="auto"/>
        <w:left w:val="none" w:sz="0" w:space="0" w:color="auto"/>
        <w:bottom w:val="none" w:sz="0" w:space="0" w:color="auto"/>
        <w:right w:val="none" w:sz="0" w:space="0" w:color="auto"/>
      </w:divBdr>
    </w:div>
    <w:div w:id="1952013852">
      <w:bodyDiv w:val="1"/>
      <w:marLeft w:val="0"/>
      <w:marRight w:val="0"/>
      <w:marTop w:val="0"/>
      <w:marBottom w:val="0"/>
      <w:divBdr>
        <w:top w:val="none" w:sz="0" w:space="0" w:color="auto"/>
        <w:left w:val="none" w:sz="0" w:space="0" w:color="auto"/>
        <w:bottom w:val="none" w:sz="0" w:space="0" w:color="auto"/>
        <w:right w:val="none" w:sz="0" w:space="0" w:color="auto"/>
      </w:divBdr>
    </w:div>
    <w:div w:id="2123957947">
      <w:bodyDiv w:val="1"/>
      <w:marLeft w:val="0"/>
      <w:marRight w:val="0"/>
      <w:marTop w:val="0"/>
      <w:marBottom w:val="0"/>
      <w:divBdr>
        <w:top w:val="none" w:sz="0" w:space="0" w:color="auto"/>
        <w:left w:val="none" w:sz="0" w:space="0" w:color="auto"/>
        <w:bottom w:val="none" w:sz="0" w:space="0" w:color="auto"/>
        <w:right w:val="none" w:sz="0" w:space="0" w:color="auto"/>
      </w:divBdr>
    </w:div>
    <w:div w:id="21448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layout>
        <c:manualLayout>
          <c:xMode val="edge"/>
          <c:yMode val="edge"/>
          <c:x val="0.31438099822033899"/>
          <c:y val="0"/>
        </c:manualLayout>
      </c:layout>
      <c:overlay val="0"/>
    </c:title>
    <c:autoTitleDeleted val="0"/>
    <c:plotArea>
      <c:layout>
        <c:manualLayout>
          <c:layoutTarget val="inner"/>
          <c:xMode val="edge"/>
          <c:yMode val="edge"/>
          <c:x val="0.22836491141732301"/>
          <c:y val="0.12992264437178999"/>
          <c:w val="0.72876639302352497"/>
          <c:h val="0.82185252053577296"/>
        </c:manualLayout>
      </c:layout>
      <c:pieChart>
        <c:varyColors val="1"/>
        <c:ser>
          <c:idx val="0"/>
          <c:order val="0"/>
          <c:tx>
            <c:strRef>
              <c:f>Sheet1!$B$1</c:f>
              <c:strCache>
                <c:ptCount val="1"/>
                <c:pt idx="0">
                  <c:v>Cases by County</c:v>
                </c:pt>
              </c:strCache>
            </c:strRef>
          </c:tx>
          <c:dLbls>
            <c:dLbl>
              <c:idx val="0"/>
              <c:layout>
                <c:manualLayout>
                  <c:x val="-0.14875771352666201"/>
                  <c:y val="0.22071880994034901"/>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AE8-458F-8EA9-E167BD5F9935}"/>
                </c:ext>
              </c:extLst>
            </c:dLbl>
            <c:dLbl>
              <c:idx val="2"/>
              <c:layout/>
              <c:tx>
                <c:rich>
                  <a:bodyPr/>
                  <a:lstStyle/>
                  <a:p>
                    <a:r>
                      <a:rPr lang="en-US" sz="800"/>
                      <a:t>El Dorado</a:t>
                    </a:r>
                    <a:endParaRPr lang="en-US" sz="700"/>
                  </a:p>
                </c:rich>
              </c:tx>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E8-458F-8EA9-E167BD5F9935}"/>
                </c:ext>
              </c:extLst>
            </c:dLbl>
            <c:dLbl>
              <c:idx val="6"/>
              <c:layout>
                <c:manualLayout>
                  <c:x val="-1.03262726924759E-2"/>
                  <c:y val="1.40492235376519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E8-458F-8EA9-E167BD5F9935}"/>
                </c:ext>
              </c:extLst>
            </c:dLbl>
            <c:dLbl>
              <c:idx val="7"/>
              <c:layout>
                <c:manualLayout>
                  <c:x val="2.16867524880517E-2"/>
                  <c:y val="-8.45831771028621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E8-458F-8EA9-E167BD5F9935}"/>
                </c:ext>
              </c:extLst>
            </c:dLbl>
            <c:spPr>
              <a:noFill/>
              <a:ln>
                <a:noFill/>
              </a:ln>
              <a:effectLst/>
            </c:spPr>
            <c:txPr>
              <a:bodyPr/>
              <a:lstStyle/>
              <a:p>
                <a:pPr>
                  <a:defRPr sz="800"/>
                </a:pPr>
                <a:endParaRPr lang="en-US"/>
              </a:p>
            </c:txPr>
            <c:showLegendKey val="0"/>
            <c:showVal val="0"/>
            <c:showCatName val="1"/>
            <c:showSerName val="0"/>
            <c:showPercent val="0"/>
            <c:showBubbleSize val="0"/>
            <c:showLeaderLines val="1"/>
            <c:extLst>
              <c:ext xmlns:c15="http://schemas.microsoft.com/office/drawing/2012/chart" uri="{CE6537A1-D6FC-4f65-9D91-7224C49458BB}">
                <c15:layout/>
              </c:ext>
            </c:extLst>
          </c:dLbls>
          <c:cat>
            <c:strRef>
              <c:f>Sheet1!$A$2:$A$10</c:f>
              <c:strCache>
                <c:ptCount val="9"/>
                <c:pt idx="0">
                  <c:v>San Bernardino</c:v>
                </c:pt>
                <c:pt idx="1">
                  <c:v>Lassen</c:v>
                </c:pt>
                <c:pt idx="2">
                  <c:v>El Dorado</c:v>
                </c:pt>
                <c:pt idx="3">
                  <c:v>Kern</c:v>
                </c:pt>
                <c:pt idx="4">
                  <c:v>Nevada</c:v>
                </c:pt>
                <c:pt idx="5">
                  <c:v>Placer </c:v>
                </c:pt>
                <c:pt idx="6">
                  <c:v>Los Angeles</c:v>
                </c:pt>
                <c:pt idx="7">
                  <c:v>Inyo</c:v>
                </c:pt>
                <c:pt idx="8">
                  <c:v>Mono</c:v>
                </c:pt>
              </c:strCache>
            </c:strRef>
          </c:cat>
          <c:val>
            <c:numRef>
              <c:f>Sheet1!$B$2:$B$10</c:f>
              <c:numCache>
                <c:formatCode>General</c:formatCode>
                <c:ptCount val="9"/>
                <c:pt idx="0">
                  <c:v>43</c:v>
                </c:pt>
                <c:pt idx="1">
                  <c:v>6</c:v>
                </c:pt>
                <c:pt idx="2">
                  <c:v>6</c:v>
                </c:pt>
                <c:pt idx="3">
                  <c:v>4</c:v>
                </c:pt>
                <c:pt idx="4">
                  <c:v>3</c:v>
                </c:pt>
                <c:pt idx="5">
                  <c:v>2</c:v>
                </c:pt>
                <c:pt idx="6">
                  <c:v>2</c:v>
                </c:pt>
                <c:pt idx="7">
                  <c:v>1</c:v>
                </c:pt>
                <c:pt idx="8">
                  <c:v>1</c:v>
                </c:pt>
              </c:numCache>
            </c:numRef>
          </c:val>
          <c:extLst>
            <c:ext xmlns:c16="http://schemas.microsoft.com/office/drawing/2014/chart" uri="{C3380CC4-5D6E-409C-BE32-E72D297353CC}">
              <c16:uniqueId val="{00000004-6AE8-458F-8EA9-E167BD5F9935}"/>
            </c:ext>
          </c:extLst>
        </c:ser>
        <c:dLbls>
          <c:showLegendKey val="0"/>
          <c:showVal val="1"/>
          <c:showCatName val="0"/>
          <c:showSerName val="0"/>
          <c:showPercent val="0"/>
          <c:showBubbleSize val="0"/>
          <c:showLeaderLines val="1"/>
        </c:dLbls>
        <c:firstSliceAng val="299"/>
      </c:pieChart>
    </c:plotArea>
    <c:plotVisOnly val="1"/>
    <c:dispBlanksAs val="gap"/>
    <c:showDLblsOverMax val="0"/>
  </c:chart>
  <c:spPr>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5.19433784633224E-2"/>
          <c:y val="0"/>
        </c:manualLayout>
      </c:layout>
      <c:overlay val="0"/>
      <c:txPr>
        <a:bodyPr/>
        <a:lstStyle/>
        <a:p>
          <a:pPr algn="ctr">
            <a:defRPr/>
          </a:pPr>
          <a:endParaRPr lang="en-US"/>
        </a:p>
      </c:txPr>
    </c:title>
    <c:autoTitleDeleted val="0"/>
    <c:plotArea>
      <c:layout>
        <c:manualLayout>
          <c:layoutTarget val="inner"/>
          <c:xMode val="edge"/>
          <c:yMode val="edge"/>
          <c:x val="3.8838950440929498E-3"/>
          <c:y val="0.146433105175579"/>
          <c:w val="0.799834135316419"/>
          <c:h val="0.85356689482442105"/>
        </c:manualLayout>
      </c:layout>
      <c:pieChart>
        <c:varyColors val="1"/>
        <c:ser>
          <c:idx val="0"/>
          <c:order val="0"/>
          <c:tx>
            <c:strRef>
              <c:f>Sheet1!$B$1</c:f>
              <c:strCache>
                <c:ptCount val="1"/>
                <c:pt idx="0">
                  <c:v>Contamination Types</c:v>
                </c:pt>
              </c:strCache>
            </c:strRef>
          </c:tx>
          <c:dLbls>
            <c:dLbl>
              <c:idx val="5"/>
              <c:layout>
                <c:manualLayout>
                  <c:x val="5.9671186934966503E-3"/>
                  <c:y val="-1.08932461873638E-2"/>
                </c:manualLayout>
              </c:layout>
              <c:tx>
                <c:rich>
                  <a:bodyPr/>
                  <a:lstStyle/>
                  <a:p>
                    <a:r>
                      <a:rPr lang="en-US" sz="700"/>
                      <a:t>Perchlorate</a:t>
                    </a:r>
                  </a:p>
                </c:rich>
              </c:tx>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97-435C-9CBB-73B7151C1DFA}"/>
                </c:ext>
              </c:extLst>
            </c:dLbl>
            <c:spPr>
              <a:noFill/>
              <a:ln>
                <a:noFill/>
              </a:ln>
              <a:effectLst/>
            </c:spPr>
            <c:txPr>
              <a:bodyPr/>
              <a:lstStyle/>
              <a:p>
                <a:pPr>
                  <a:defRPr sz="800"/>
                </a:pPr>
                <a:endParaRPr lang="en-US"/>
              </a:p>
            </c:txPr>
            <c:showLegendKey val="0"/>
            <c:showVal val="0"/>
            <c:showCatName val="1"/>
            <c:showSerName val="0"/>
            <c:showPercent val="0"/>
            <c:showBubbleSize val="0"/>
            <c:showLeaderLines val="1"/>
            <c:extLst>
              <c:ext xmlns:c15="http://schemas.microsoft.com/office/drawing/2012/chart" uri="{CE6537A1-D6FC-4f65-9D91-7224C49458BB}">
                <c15:layout/>
              </c:ext>
            </c:extLst>
          </c:dLbls>
          <c:cat>
            <c:strRef>
              <c:f>Sheet1!$A$2:$A$7</c:f>
              <c:strCache>
                <c:ptCount val="6"/>
                <c:pt idx="0">
                  <c:v>Petroleum</c:v>
                </c:pt>
                <c:pt idx="1">
                  <c:v>VOCs</c:v>
                </c:pt>
                <c:pt idx="2">
                  <c:v>Chromium</c:v>
                </c:pt>
                <c:pt idx="3">
                  <c:v>Heavy Metals</c:v>
                </c:pt>
                <c:pt idx="4">
                  <c:v>Nitrates</c:v>
                </c:pt>
                <c:pt idx="5">
                  <c:v>Perchlorate</c:v>
                </c:pt>
              </c:strCache>
            </c:strRef>
          </c:cat>
          <c:val>
            <c:numRef>
              <c:f>Sheet1!$B$2:$B$7</c:f>
              <c:numCache>
                <c:formatCode>General</c:formatCode>
                <c:ptCount val="6"/>
                <c:pt idx="0">
                  <c:v>25</c:v>
                </c:pt>
                <c:pt idx="1">
                  <c:v>17</c:v>
                </c:pt>
                <c:pt idx="2">
                  <c:v>7</c:v>
                </c:pt>
                <c:pt idx="3">
                  <c:v>5</c:v>
                </c:pt>
                <c:pt idx="4">
                  <c:v>5</c:v>
                </c:pt>
                <c:pt idx="5">
                  <c:v>1</c:v>
                </c:pt>
              </c:numCache>
            </c:numRef>
          </c:val>
          <c:extLst>
            <c:ext xmlns:c16="http://schemas.microsoft.com/office/drawing/2014/chart" uri="{C3380CC4-5D6E-409C-BE32-E72D297353CC}">
              <c16:uniqueId val="{00000001-1297-435C-9CBB-73B7151C1DFA}"/>
            </c:ext>
          </c:extLst>
        </c:ser>
        <c:dLbls>
          <c:showLegendKey val="0"/>
          <c:showVal val="1"/>
          <c:showCatName val="0"/>
          <c:showSerName val="0"/>
          <c:showPercent val="0"/>
          <c:showBubbleSize val="0"/>
          <c:showLeaderLines val="1"/>
        </c:dLbls>
        <c:firstSliceAng val="141"/>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Percent of Staff Time by Facility</a:t>
            </a:r>
          </a:p>
        </c:rich>
      </c:tx>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90D-4388-803F-E0ABB718C2B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90D-4388-803F-E0ABB718C2B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90D-4388-803F-E0ABB718C2B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290D-4388-803F-E0ABB718C2B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290D-4388-803F-E0ABB718C2B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290D-4388-803F-E0ABB718C2B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290D-4388-803F-E0ABB718C2B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290D-4388-803F-E0ABB718C2B3}"/>
              </c:ext>
            </c:extLst>
          </c:dPt>
          <c:cat>
            <c:strRef>
              <c:f>Sheet1!$B$1:$B$8</c:f>
              <c:strCache>
                <c:ptCount val="8"/>
                <c:pt idx="0">
                  <c:v>AFP 42</c:v>
                </c:pt>
                <c:pt idx="1">
                  <c:v>China Lake NWS</c:v>
                </c:pt>
                <c:pt idx="2">
                  <c:v>Edwards AFB</c:v>
                </c:pt>
                <c:pt idx="3">
                  <c:v>Ft Irwin NTC</c:v>
                </c:pt>
                <c:pt idx="4">
                  <c:v>George AFB</c:v>
                </c:pt>
                <c:pt idx="5">
                  <c:v>MCLB Barstow</c:v>
                </c:pt>
                <c:pt idx="6">
                  <c:v>Mtn Warfare Training Center</c:v>
                </c:pt>
                <c:pt idx="7">
                  <c:v>Sierra Army Depot</c:v>
                </c:pt>
              </c:strCache>
            </c:strRef>
          </c:cat>
          <c:val>
            <c:numRef>
              <c:f>Sheet1!$C$1:$C$8</c:f>
              <c:numCache>
                <c:formatCode>General</c:formatCode>
                <c:ptCount val="8"/>
                <c:pt idx="0">
                  <c:v>4</c:v>
                </c:pt>
                <c:pt idx="1">
                  <c:v>34</c:v>
                </c:pt>
                <c:pt idx="2">
                  <c:v>19</c:v>
                </c:pt>
                <c:pt idx="3">
                  <c:v>6</c:v>
                </c:pt>
                <c:pt idx="4">
                  <c:v>16</c:v>
                </c:pt>
                <c:pt idx="5">
                  <c:v>5</c:v>
                </c:pt>
                <c:pt idx="6">
                  <c:v>2</c:v>
                </c:pt>
                <c:pt idx="7">
                  <c:v>14</c:v>
                </c:pt>
              </c:numCache>
            </c:numRef>
          </c:val>
          <c:extLst>
            <c:ext xmlns:c16="http://schemas.microsoft.com/office/drawing/2014/chart" uri="{C3380CC4-5D6E-409C-BE32-E72D297353CC}">
              <c16:uniqueId val="{00000010-290D-4388-803F-E0ABB718C2B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63E4-C784-4453-95B4-5FD19F64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Otermat, Kathleen@Waterboards</cp:lastModifiedBy>
  <cp:revision>4</cp:revision>
  <cp:lastPrinted>2018-01-24T23:59:00Z</cp:lastPrinted>
  <dcterms:created xsi:type="dcterms:W3CDTF">2018-03-20T17:22:00Z</dcterms:created>
  <dcterms:modified xsi:type="dcterms:W3CDTF">2018-03-21T15:57:00Z</dcterms:modified>
</cp:coreProperties>
</file>