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040C4" w14:textId="77777777" w:rsidR="00A91C90" w:rsidRDefault="00A91C90" w:rsidP="00F14CF4">
      <w:pPr>
        <w:jc w:val="center"/>
        <w:rPr>
          <w:rFonts w:cs="Arial"/>
          <w:b/>
          <w:bCs/>
          <w:noProof/>
          <w:sz w:val="18"/>
        </w:rPr>
      </w:pPr>
    </w:p>
    <w:p w14:paraId="20017393" w14:textId="77777777" w:rsidR="00A91C90" w:rsidRDefault="00A91C90" w:rsidP="00F14CF4">
      <w:pPr>
        <w:jc w:val="center"/>
        <w:rPr>
          <w:rFonts w:cs="Arial"/>
          <w:b/>
          <w:bCs/>
          <w:noProof/>
          <w:sz w:val="18"/>
        </w:rPr>
      </w:pPr>
    </w:p>
    <w:p w14:paraId="72BB961B" w14:textId="77777777" w:rsidR="004526D7" w:rsidRPr="009F0D34" w:rsidRDefault="003356C8" w:rsidP="00F14CF4">
      <w:pPr>
        <w:jc w:val="center"/>
        <w:rPr>
          <w:rStyle w:val="Strong"/>
          <w:rFonts w:cs="Arial"/>
          <w:sz w:val="36"/>
        </w:rPr>
      </w:pPr>
      <w:r w:rsidRPr="009F0D34">
        <w:rPr>
          <w:rFonts w:cs="Arial"/>
          <w:b/>
          <w:bCs/>
          <w:noProof/>
          <w:sz w:val="18"/>
        </w:rPr>
        <w:drawing>
          <wp:anchor distT="0" distB="0" distL="114300" distR="114300" simplePos="0" relativeHeight="251658240" behindDoc="1" locked="0" layoutInCell="1" allowOverlap="1" wp14:anchorId="495E1ECC" wp14:editId="3AD0582B">
            <wp:simplePos x="0" y="0"/>
            <wp:positionH relativeFrom="column">
              <wp:posOffset>-80010</wp:posOffset>
            </wp:positionH>
            <wp:positionV relativeFrom="paragraph">
              <wp:posOffset>-87630</wp:posOffset>
            </wp:positionV>
            <wp:extent cx="6269355" cy="10953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69355" cy="1095369"/>
                    </a:xfrm>
                    <a:prstGeom prst="rect">
                      <a:avLst/>
                    </a:prstGeom>
                  </pic:spPr>
                </pic:pic>
              </a:graphicData>
            </a:graphic>
            <wp14:sizeRelH relativeFrom="margin">
              <wp14:pctWidth>0</wp14:pctWidth>
            </wp14:sizeRelH>
            <wp14:sizeRelV relativeFrom="margin">
              <wp14:pctHeight>0</wp14:pctHeight>
            </wp14:sizeRelV>
          </wp:anchor>
        </w:drawing>
      </w:r>
      <w:r w:rsidR="00A07817" w:rsidRPr="009F0D34">
        <w:rPr>
          <w:rStyle w:val="Strong"/>
          <w:rFonts w:cs="Arial"/>
          <w:sz w:val="32"/>
        </w:rPr>
        <w:t xml:space="preserve">Lahontan Water Board </w:t>
      </w:r>
      <w:r w:rsidR="008D2140" w:rsidRPr="009F0D34">
        <w:rPr>
          <w:rStyle w:val="Strong"/>
          <w:rFonts w:cs="Arial"/>
          <w:sz w:val="32"/>
        </w:rPr>
        <w:t>Program Fact Sheet</w:t>
      </w:r>
    </w:p>
    <w:p w14:paraId="217A837F" w14:textId="77777777" w:rsidR="008D2140" w:rsidRPr="009F0D34" w:rsidRDefault="00251DD6" w:rsidP="00D0564A">
      <w:pPr>
        <w:ind w:left="2880" w:firstLine="720"/>
        <w:rPr>
          <w:rStyle w:val="Strong"/>
          <w:rFonts w:cs="Arial"/>
          <w:sz w:val="28"/>
          <w:szCs w:val="28"/>
        </w:rPr>
      </w:pPr>
      <w:r w:rsidRPr="009F0D34">
        <w:rPr>
          <w:rStyle w:val="Strong"/>
          <w:rFonts w:cs="Arial"/>
          <w:sz w:val="28"/>
          <w:szCs w:val="28"/>
        </w:rPr>
        <w:t>FY 201</w:t>
      </w:r>
      <w:r w:rsidR="00002C55">
        <w:rPr>
          <w:rStyle w:val="Strong"/>
          <w:rFonts w:cs="Arial"/>
          <w:sz w:val="28"/>
          <w:szCs w:val="28"/>
        </w:rPr>
        <w:t>7- 2018</w:t>
      </w:r>
    </w:p>
    <w:tbl>
      <w:tblPr>
        <w:tblStyle w:val="TableGrid"/>
        <w:tblW w:w="0" w:type="auto"/>
        <w:tblCellMar>
          <w:top w:w="216" w:type="dxa"/>
          <w:left w:w="115" w:type="dxa"/>
          <w:bottom w:w="216" w:type="dxa"/>
          <w:right w:w="115" w:type="dxa"/>
        </w:tblCellMar>
        <w:tblLook w:val="04A0" w:firstRow="1" w:lastRow="0" w:firstColumn="1" w:lastColumn="0" w:noHBand="0" w:noVBand="1"/>
      </w:tblPr>
      <w:tblGrid>
        <w:gridCol w:w="9878"/>
      </w:tblGrid>
      <w:tr w:rsidR="00D22E6D" w:rsidRPr="009F0D34" w14:paraId="7EEE042A" w14:textId="77777777" w:rsidTr="000F584B">
        <w:tc>
          <w:tcPr>
            <w:tcW w:w="9878" w:type="dxa"/>
            <w:tcBorders>
              <w:top w:val="nil"/>
              <w:left w:val="nil"/>
              <w:bottom w:val="nil"/>
              <w:right w:val="nil"/>
            </w:tcBorders>
            <w:shd w:val="clear" w:color="auto" w:fill="auto"/>
            <w:tcMar>
              <w:top w:w="115" w:type="dxa"/>
              <w:bottom w:w="0" w:type="dxa"/>
            </w:tcMar>
          </w:tcPr>
          <w:p w14:paraId="74135203" w14:textId="77777777" w:rsidR="00F524AD" w:rsidRPr="009F0D34" w:rsidRDefault="00B6260C" w:rsidP="00F14CF4">
            <w:pPr>
              <w:tabs>
                <w:tab w:val="right" w:pos="9630"/>
              </w:tabs>
              <w:jc w:val="center"/>
              <w:rPr>
                <w:rStyle w:val="Strong"/>
                <w:i/>
                <w:sz w:val="40"/>
                <w:szCs w:val="32"/>
              </w:rPr>
            </w:pPr>
            <w:r w:rsidRPr="009F0D34">
              <w:rPr>
                <w:rStyle w:val="Strong"/>
                <w:i/>
                <w:sz w:val="40"/>
                <w:szCs w:val="32"/>
              </w:rPr>
              <w:t>Waste Discharge to Land</w:t>
            </w:r>
          </w:p>
          <w:p w14:paraId="243E23BE" w14:textId="77777777" w:rsidR="00B6260C" w:rsidRPr="009F0D34" w:rsidRDefault="00B6260C" w:rsidP="00F14CF4">
            <w:pPr>
              <w:tabs>
                <w:tab w:val="right" w:pos="9630"/>
              </w:tabs>
              <w:jc w:val="center"/>
              <w:rPr>
                <w:rStyle w:val="Strong"/>
                <w:sz w:val="40"/>
                <w:szCs w:val="32"/>
              </w:rPr>
            </w:pPr>
            <w:r w:rsidRPr="009F0D34">
              <w:rPr>
                <w:rStyle w:val="Strong"/>
                <w:i/>
                <w:sz w:val="28"/>
                <w:szCs w:val="32"/>
              </w:rPr>
              <w:t>(not under Title 27 regulations)</w:t>
            </w:r>
          </w:p>
        </w:tc>
      </w:tr>
      <w:tr w:rsidR="00D22E6D" w14:paraId="2BFE04DB" w14:textId="77777777" w:rsidTr="000F584B">
        <w:trPr>
          <w:trHeight w:val="278"/>
        </w:trPr>
        <w:tc>
          <w:tcPr>
            <w:tcW w:w="9878" w:type="dxa"/>
            <w:tcBorders>
              <w:top w:val="nil"/>
              <w:left w:val="nil"/>
              <w:bottom w:val="single" w:sz="4" w:space="0" w:color="auto"/>
              <w:right w:val="nil"/>
            </w:tcBorders>
            <w:tcMar>
              <w:top w:w="0" w:type="dxa"/>
              <w:bottom w:w="0" w:type="dxa"/>
            </w:tcMar>
          </w:tcPr>
          <w:p w14:paraId="0C22BECA" w14:textId="77777777" w:rsidR="00D22E6D" w:rsidRPr="00A91C90" w:rsidRDefault="00D22E6D" w:rsidP="00A91C90">
            <w:pPr>
              <w:rPr>
                <w:rStyle w:val="Strong"/>
                <w:b w:val="0"/>
                <w:sz w:val="12"/>
                <w:szCs w:val="12"/>
              </w:rPr>
            </w:pPr>
          </w:p>
        </w:tc>
      </w:tr>
      <w:tr w:rsidR="00D22E6D" w14:paraId="37FF31D4" w14:textId="77777777" w:rsidTr="000F584B">
        <w:trPr>
          <w:trHeight w:val="3932"/>
        </w:trPr>
        <w:tc>
          <w:tcPr>
            <w:tcW w:w="9878" w:type="dxa"/>
            <w:tcBorders>
              <w:top w:val="single" w:sz="4" w:space="0" w:color="auto"/>
              <w:bottom w:val="single" w:sz="4" w:space="0" w:color="auto"/>
            </w:tcBorders>
            <w:shd w:val="clear" w:color="auto" w:fill="EAF1DD" w:themeFill="accent3" w:themeFillTint="33"/>
          </w:tcPr>
          <w:p w14:paraId="4B0D053F" w14:textId="77777777" w:rsidR="00685F70" w:rsidRDefault="00D22E6D" w:rsidP="009F0D34">
            <w:pPr>
              <w:tabs>
                <w:tab w:val="left" w:pos="1800"/>
              </w:tabs>
              <w:spacing w:after="60"/>
              <w:rPr>
                <w:rStyle w:val="Strong"/>
                <w:b w:val="0"/>
                <w:sz w:val="32"/>
              </w:rPr>
            </w:pPr>
            <w:r w:rsidRPr="000F584B">
              <w:rPr>
                <w:rStyle w:val="Strong"/>
                <w:b w:val="0"/>
                <w:sz w:val="32"/>
              </w:rPr>
              <w:t>Overview</w:t>
            </w:r>
          </w:p>
          <w:p w14:paraId="642CE62F" w14:textId="77777777" w:rsidR="00973221" w:rsidRPr="000F584B" w:rsidRDefault="00973221" w:rsidP="009F0D34">
            <w:pPr>
              <w:tabs>
                <w:tab w:val="left" w:pos="1800"/>
              </w:tabs>
              <w:spacing w:after="60"/>
              <w:rPr>
                <w:rStyle w:val="Strong"/>
                <w:b w:val="0"/>
                <w:sz w:val="32"/>
              </w:rPr>
            </w:pPr>
          </w:p>
          <w:p w14:paraId="4D8F2ADC" w14:textId="062E6D70" w:rsidR="00A03C57" w:rsidRDefault="00A03C57" w:rsidP="00350872">
            <w:pPr>
              <w:spacing w:after="240"/>
              <w:rPr>
                <w:rStyle w:val="Strong"/>
                <w:rFonts w:cs="Arial"/>
                <w:b w:val="0"/>
              </w:rPr>
            </w:pPr>
            <w:r w:rsidRPr="005C30CD">
              <w:rPr>
                <w:rStyle w:val="Strong"/>
                <w:rFonts w:cs="Arial"/>
                <w:b w:val="0"/>
              </w:rPr>
              <w:t xml:space="preserve">The </w:t>
            </w:r>
            <w:r>
              <w:rPr>
                <w:rStyle w:val="Strong"/>
                <w:rFonts w:cs="Arial"/>
                <w:b w:val="0"/>
              </w:rPr>
              <w:t>Waste Discharge to Land</w:t>
            </w:r>
            <w:r w:rsidRPr="005C30CD">
              <w:rPr>
                <w:rStyle w:val="Strong"/>
                <w:rFonts w:cs="Arial"/>
                <w:b w:val="0"/>
              </w:rPr>
              <w:t xml:space="preserve"> </w:t>
            </w:r>
            <w:r>
              <w:rPr>
                <w:rStyle w:val="Strong"/>
                <w:rFonts w:cs="Arial"/>
                <w:b w:val="0"/>
              </w:rPr>
              <w:t>P</w:t>
            </w:r>
            <w:r w:rsidRPr="005C30CD">
              <w:rPr>
                <w:rStyle w:val="Strong"/>
                <w:rFonts w:cs="Arial"/>
                <w:b w:val="0"/>
              </w:rPr>
              <w:t xml:space="preserve">rogram authorizes </w:t>
            </w:r>
            <w:r>
              <w:rPr>
                <w:rStyle w:val="Strong"/>
                <w:rFonts w:cs="Arial"/>
                <w:b w:val="0"/>
              </w:rPr>
              <w:t xml:space="preserve">and regulates actions </w:t>
            </w:r>
            <w:r w:rsidRPr="00781441">
              <w:rPr>
                <w:rStyle w:val="Strong"/>
                <w:rFonts w:cs="Arial"/>
                <w:b w:val="0"/>
              </w:rPr>
              <w:t>or discharges</w:t>
            </w:r>
            <w:r>
              <w:rPr>
                <w:rStyle w:val="Strong"/>
                <w:rFonts w:cs="Arial"/>
                <w:b w:val="0"/>
              </w:rPr>
              <w:t xml:space="preserve"> of waste</w:t>
            </w:r>
            <w:r w:rsidRPr="00781441">
              <w:rPr>
                <w:rStyle w:val="Strong"/>
                <w:rFonts w:cs="Arial"/>
                <w:b w:val="0"/>
              </w:rPr>
              <w:t xml:space="preserve"> that pose a threat to</w:t>
            </w:r>
            <w:r>
              <w:rPr>
                <w:rStyle w:val="Strong"/>
                <w:rFonts w:cs="Arial"/>
                <w:b w:val="0"/>
              </w:rPr>
              <w:t xml:space="preserve"> waters of the state (both </w:t>
            </w:r>
            <w:r w:rsidRPr="00781441">
              <w:rPr>
                <w:rStyle w:val="Strong"/>
                <w:rFonts w:cs="Arial"/>
                <w:b w:val="0"/>
              </w:rPr>
              <w:t>surface water</w:t>
            </w:r>
            <w:r w:rsidR="003028F1">
              <w:rPr>
                <w:rStyle w:val="Strong"/>
                <w:rFonts w:cs="Arial"/>
                <w:b w:val="0"/>
              </w:rPr>
              <w:t>s and groundwater</w:t>
            </w:r>
            <w:r>
              <w:rPr>
                <w:rStyle w:val="Strong"/>
                <w:rFonts w:cs="Arial"/>
                <w:b w:val="0"/>
              </w:rPr>
              <w:t xml:space="preserve">). This </w:t>
            </w:r>
            <w:r w:rsidRPr="005C30CD">
              <w:rPr>
                <w:rStyle w:val="Strong"/>
                <w:rFonts w:cs="Arial"/>
                <w:b w:val="0"/>
              </w:rPr>
              <w:t>performance</w:t>
            </w:r>
            <w:r>
              <w:rPr>
                <w:rStyle w:val="Strong"/>
                <w:rFonts w:cs="Arial"/>
                <w:b w:val="0"/>
              </w:rPr>
              <w:t>-</w:t>
            </w:r>
            <w:r w:rsidRPr="005C30CD">
              <w:rPr>
                <w:rStyle w:val="Strong"/>
                <w:rFonts w:cs="Arial"/>
                <w:b w:val="0"/>
              </w:rPr>
              <w:t>based</w:t>
            </w:r>
            <w:r>
              <w:rPr>
                <w:rStyle w:val="Strong"/>
                <w:rFonts w:cs="Arial"/>
                <w:b w:val="0"/>
              </w:rPr>
              <w:t xml:space="preserve"> program primarily covers regulation of </w:t>
            </w:r>
            <w:r w:rsidR="004E22A7">
              <w:rPr>
                <w:rStyle w:val="Strong"/>
                <w:rFonts w:cs="Arial"/>
                <w:b w:val="0"/>
              </w:rPr>
              <w:t xml:space="preserve">domestic </w:t>
            </w:r>
            <w:r>
              <w:rPr>
                <w:rStyle w:val="Strong"/>
                <w:rFonts w:cs="Arial"/>
                <w:b w:val="0"/>
              </w:rPr>
              <w:t>wastewater (sewage) treatment facilities</w:t>
            </w:r>
            <w:r w:rsidR="004E22A7">
              <w:rPr>
                <w:rStyle w:val="Strong"/>
                <w:rFonts w:cs="Arial"/>
                <w:b w:val="0"/>
              </w:rPr>
              <w:t>. I</w:t>
            </w:r>
            <w:r>
              <w:rPr>
                <w:rStyle w:val="Strong"/>
                <w:rFonts w:cs="Arial"/>
                <w:b w:val="0"/>
              </w:rPr>
              <w:t>n th</w:t>
            </w:r>
            <w:r w:rsidR="004E22A7">
              <w:rPr>
                <w:rStyle w:val="Strong"/>
                <w:rFonts w:cs="Arial"/>
                <w:b w:val="0"/>
              </w:rPr>
              <w:t>e</w:t>
            </w:r>
            <w:r>
              <w:rPr>
                <w:rStyle w:val="Strong"/>
                <w:rFonts w:cs="Arial"/>
                <w:b w:val="0"/>
              </w:rPr>
              <w:t xml:space="preserve"> </w:t>
            </w:r>
            <w:r w:rsidR="004E22A7">
              <w:rPr>
                <w:rStyle w:val="Strong"/>
                <w:rFonts w:cs="Arial"/>
                <w:b w:val="0"/>
              </w:rPr>
              <w:t xml:space="preserve">Lahontan </w:t>
            </w:r>
            <w:r>
              <w:rPr>
                <w:rStyle w:val="Strong"/>
                <w:rFonts w:cs="Arial"/>
                <w:b w:val="0"/>
              </w:rPr>
              <w:t>region</w:t>
            </w:r>
            <w:r w:rsidR="003028F1">
              <w:rPr>
                <w:rStyle w:val="Strong"/>
                <w:rFonts w:cs="Arial"/>
                <w:b w:val="0"/>
              </w:rPr>
              <w:t>,</w:t>
            </w:r>
            <w:r>
              <w:rPr>
                <w:rStyle w:val="Strong"/>
                <w:rFonts w:cs="Arial"/>
                <w:b w:val="0"/>
              </w:rPr>
              <w:t xml:space="preserve"> wastewater flows </w:t>
            </w:r>
            <w:r w:rsidR="002D6CB1">
              <w:rPr>
                <w:rStyle w:val="Strong"/>
                <w:rFonts w:cs="Arial"/>
                <w:b w:val="0"/>
              </w:rPr>
              <w:t xml:space="preserve">at regulated facilities </w:t>
            </w:r>
            <w:r>
              <w:rPr>
                <w:rStyle w:val="Strong"/>
                <w:rFonts w:cs="Arial"/>
                <w:b w:val="0"/>
              </w:rPr>
              <w:t>range from 1</w:t>
            </w:r>
            <w:r w:rsidR="003028F1">
              <w:rPr>
                <w:rStyle w:val="Strong"/>
                <w:rFonts w:cs="Arial"/>
                <w:b w:val="0"/>
              </w:rPr>
              <w:t>,</w:t>
            </w:r>
            <w:r>
              <w:rPr>
                <w:rStyle w:val="Strong"/>
                <w:rFonts w:cs="Arial"/>
                <w:b w:val="0"/>
              </w:rPr>
              <w:t>500</w:t>
            </w:r>
            <w:r w:rsidR="003028F1">
              <w:rPr>
                <w:rStyle w:val="Strong"/>
                <w:rFonts w:cs="Arial"/>
                <w:b w:val="0"/>
              </w:rPr>
              <w:t>-</w:t>
            </w:r>
            <w:r>
              <w:rPr>
                <w:rStyle w:val="Strong"/>
                <w:rFonts w:cs="Arial"/>
                <w:b w:val="0"/>
              </w:rPr>
              <w:t xml:space="preserve"> to 15</w:t>
            </w:r>
            <w:r w:rsidR="003028F1">
              <w:rPr>
                <w:rStyle w:val="Strong"/>
                <w:rFonts w:cs="Arial"/>
                <w:b w:val="0"/>
              </w:rPr>
              <w:t>-</w:t>
            </w:r>
            <w:r>
              <w:rPr>
                <w:rStyle w:val="Strong"/>
                <w:rFonts w:cs="Arial"/>
                <w:b w:val="0"/>
              </w:rPr>
              <w:t xml:space="preserve">million gallons per day. The program also </w:t>
            </w:r>
            <w:r w:rsidR="008D371B">
              <w:rPr>
                <w:rStyle w:val="Strong"/>
                <w:rFonts w:cs="Arial"/>
                <w:b w:val="0"/>
              </w:rPr>
              <w:t>provide</w:t>
            </w:r>
            <w:r w:rsidR="008668F8">
              <w:rPr>
                <w:rStyle w:val="Strong"/>
                <w:rFonts w:cs="Arial"/>
                <w:b w:val="0"/>
              </w:rPr>
              <w:t>s</w:t>
            </w:r>
            <w:r w:rsidR="008D371B">
              <w:rPr>
                <w:rStyle w:val="Strong"/>
                <w:rFonts w:cs="Arial"/>
                <w:b w:val="0"/>
              </w:rPr>
              <w:t xml:space="preserve"> regulatory oversight for s</w:t>
            </w:r>
            <w:r w:rsidRPr="00B434D0">
              <w:rPr>
                <w:rStyle w:val="Strong"/>
                <w:rFonts w:cs="Arial"/>
                <w:b w:val="0"/>
              </w:rPr>
              <w:t xml:space="preserve">ki resorts and golf courses, confined animal feeding operations, onsite septic </w:t>
            </w:r>
            <w:r w:rsidR="003028F1">
              <w:rPr>
                <w:rStyle w:val="Strong"/>
                <w:rFonts w:cs="Arial"/>
                <w:b w:val="0"/>
              </w:rPr>
              <w:t>system</w:t>
            </w:r>
            <w:r w:rsidRPr="00B434D0">
              <w:rPr>
                <w:rStyle w:val="Strong"/>
                <w:rFonts w:cs="Arial"/>
                <w:b w:val="0"/>
              </w:rPr>
              <w:t>s managed by local agencies, dredge/fill projects affecting wat</w:t>
            </w:r>
            <w:r>
              <w:rPr>
                <w:rStyle w:val="Strong"/>
                <w:rFonts w:cs="Arial"/>
                <w:b w:val="0"/>
              </w:rPr>
              <w:t>ers of the state, recycled water production</w:t>
            </w:r>
            <w:r w:rsidR="000F2F6A">
              <w:rPr>
                <w:rStyle w:val="Strong"/>
                <w:rFonts w:cs="Arial"/>
                <w:b w:val="0"/>
              </w:rPr>
              <w:t xml:space="preserve"> and use</w:t>
            </w:r>
            <w:r w:rsidR="008D371B">
              <w:rPr>
                <w:rStyle w:val="Strong"/>
                <w:rFonts w:cs="Arial"/>
                <w:b w:val="0"/>
              </w:rPr>
              <w:t xml:space="preserve">, </w:t>
            </w:r>
            <w:r>
              <w:rPr>
                <w:rStyle w:val="Strong"/>
                <w:rFonts w:cs="Arial"/>
                <w:b w:val="0"/>
              </w:rPr>
              <w:t>reclamation and mitigation projects</w:t>
            </w:r>
            <w:r w:rsidR="008D371B">
              <w:rPr>
                <w:rStyle w:val="Strong"/>
                <w:rFonts w:cs="Arial"/>
                <w:b w:val="0"/>
              </w:rPr>
              <w:t>, sanitary sewer overflows, discharges from water systems, and other discharges</w:t>
            </w:r>
            <w:r>
              <w:rPr>
                <w:rStyle w:val="Strong"/>
                <w:rFonts w:cs="Arial"/>
                <w:b w:val="0"/>
              </w:rPr>
              <w:t xml:space="preserve">.  </w:t>
            </w:r>
          </w:p>
          <w:p w14:paraId="086C261F" w14:textId="3045E171" w:rsidR="00F524AD" w:rsidRPr="00350872" w:rsidRDefault="008668F8" w:rsidP="003028F1">
            <w:pPr>
              <w:spacing w:after="240"/>
              <w:rPr>
                <w:rStyle w:val="Strong"/>
                <w:rFonts w:cs="Arial"/>
                <w:b w:val="0"/>
              </w:rPr>
            </w:pPr>
            <w:r>
              <w:rPr>
                <w:rStyle w:val="Strong"/>
                <w:rFonts w:cs="Arial"/>
                <w:b w:val="0"/>
              </w:rPr>
              <w:t>B</w:t>
            </w:r>
            <w:r w:rsidR="0000561D">
              <w:rPr>
                <w:rStyle w:val="Strong"/>
                <w:rFonts w:cs="Arial"/>
                <w:b w:val="0"/>
              </w:rPr>
              <w:t>oth last year and this year</w:t>
            </w:r>
            <w:r w:rsidR="003028F1">
              <w:rPr>
                <w:rStyle w:val="Strong"/>
                <w:rFonts w:cs="Arial"/>
                <w:b w:val="0"/>
              </w:rPr>
              <w:t>,</w:t>
            </w:r>
            <w:r w:rsidR="0000561D">
              <w:rPr>
                <w:rStyle w:val="Strong"/>
                <w:rFonts w:cs="Arial"/>
                <w:b w:val="0"/>
              </w:rPr>
              <w:t xml:space="preserve"> program </w:t>
            </w:r>
            <w:r>
              <w:rPr>
                <w:rStyle w:val="Strong"/>
                <w:rFonts w:cs="Arial"/>
                <w:b w:val="0"/>
              </w:rPr>
              <w:t xml:space="preserve">staff </w:t>
            </w:r>
            <w:r w:rsidR="0000561D">
              <w:rPr>
                <w:rStyle w:val="Strong"/>
                <w:rFonts w:cs="Arial"/>
                <w:b w:val="0"/>
              </w:rPr>
              <w:t xml:space="preserve">will be dedicating a significant amount of </w:t>
            </w:r>
            <w:r w:rsidR="00006EEC">
              <w:rPr>
                <w:rStyle w:val="Strong"/>
                <w:rFonts w:cs="Arial"/>
                <w:b w:val="0"/>
              </w:rPr>
              <w:t xml:space="preserve"> time</w:t>
            </w:r>
            <w:r w:rsidR="0000561D">
              <w:rPr>
                <w:rStyle w:val="Strong"/>
                <w:rFonts w:cs="Arial"/>
                <w:b w:val="0"/>
              </w:rPr>
              <w:t xml:space="preserve"> </w:t>
            </w:r>
            <w:r w:rsidR="00E760E3">
              <w:rPr>
                <w:rStyle w:val="Strong"/>
                <w:rFonts w:cs="Arial"/>
                <w:b w:val="0"/>
              </w:rPr>
              <w:t xml:space="preserve">to </w:t>
            </w:r>
            <w:r w:rsidR="0000561D">
              <w:rPr>
                <w:rStyle w:val="Strong"/>
                <w:rFonts w:cs="Arial"/>
                <w:b w:val="0"/>
              </w:rPr>
              <w:t xml:space="preserve">finalizing Local Area Management Programs </w:t>
            </w:r>
            <w:r w:rsidR="00516EB4">
              <w:rPr>
                <w:rStyle w:val="Strong"/>
                <w:rFonts w:cs="Arial"/>
                <w:b w:val="0"/>
              </w:rPr>
              <w:t>(LAMP</w:t>
            </w:r>
            <w:r>
              <w:rPr>
                <w:rStyle w:val="Strong"/>
                <w:rFonts w:cs="Arial"/>
                <w:b w:val="0"/>
              </w:rPr>
              <w:t>s</w:t>
            </w:r>
            <w:r w:rsidR="00516EB4">
              <w:rPr>
                <w:rStyle w:val="Strong"/>
                <w:rFonts w:cs="Arial"/>
                <w:b w:val="0"/>
              </w:rPr>
              <w:t xml:space="preserve">) </w:t>
            </w:r>
            <w:r w:rsidR="00D13E4C">
              <w:rPr>
                <w:rStyle w:val="Strong"/>
                <w:rFonts w:cs="Arial"/>
                <w:b w:val="0"/>
              </w:rPr>
              <w:t xml:space="preserve">for the Counties and </w:t>
            </w:r>
            <w:r w:rsidR="00D0564A">
              <w:rPr>
                <w:rStyle w:val="Strong"/>
                <w:rFonts w:cs="Arial"/>
                <w:b w:val="0"/>
              </w:rPr>
              <w:t>C</w:t>
            </w:r>
            <w:r w:rsidR="00D13E4C">
              <w:rPr>
                <w:rStyle w:val="Strong"/>
                <w:rFonts w:cs="Arial"/>
                <w:b w:val="0"/>
              </w:rPr>
              <w:t>ities to permit onsite septic systems</w:t>
            </w:r>
            <w:r w:rsidR="00E760E3">
              <w:rPr>
                <w:rStyle w:val="Strong"/>
                <w:rFonts w:cs="Arial"/>
                <w:b w:val="0"/>
              </w:rPr>
              <w:t xml:space="preserve"> </w:t>
            </w:r>
            <w:r w:rsidR="0000561D">
              <w:rPr>
                <w:rStyle w:val="Strong"/>
                <w:rFonts w:cs="Arial"/>
                <w:b w:val="0"/>
              </w:rPr>
              <w:t xml:space="preserve">within our Region. </w:t>
            </w:r>
            <w:r w:rsidR="00516EB4">
              <w:rPr>
                <w:rStyle w:val="Strong"/>
                <w:rFonts w:cs="Arial"/>
                <w:b w:val="0"/>
              </w:rPr>
              <w:t xml:space="preserve">The </w:t>
            </w:r>
            <w:r w:rsidR="00D13E4C">
              <w:rPr>
                <w:rStyle w:val="Strong"/>
                <w:rFonts w:cs="Arial"/>
                <w:b w:val="0"/>
              </w:rPr>
              <w:t xml:space="preserve">due date </w:t>
            </w:r>
            <w:r w:rsidR="00516EB4">
              <w:rPr>
                <w:rStyle w:val="Strong"/>
                <w:rFonts w:cs="Arial"/>
                <w:b w:val="0"/>
              </w:rPr>
              <w:t xml:space="preserve">is May </w:t>
            </w:r>
            <w:r w:rsidR="003028F1">
              <w:rPr>
                <w:rStyle w:val="Strong"/>
                <w:rFonts w:cs="Arial"/>
                <w:b w:val="0"/>
              </w:rPr>
              <w:t xml:space="preserve">13, </w:t>
            </w:r>
            <w:r w:rsidR="00516EB4">
              <w:rPr>
                <w:rStyle w:val="Strong"/>
                <w:rFonts w:cs="Arial"/>
                <w:b w:val="0"/>
              </w:rPr>
              <w:t>2018</w:t>
            </w:r>
            <w:r w:rsidR="003028F1">
              <w:rPr>
                <w:rStyle w:val="Strong"/>
                <w:rFonts w:cs="Arial"/>
                <w:b w:val="0"/>
              </w:rPr>
              <w:t>,</w:t>
            </w:r>
            <w:r w:rsidR="00516EB4">
              <w:rPr>
                <w:rStyle w:val="Strong"/>
                <w:rFonts w:cs="Arial"/>
                <w:b w:val="0"/>
              </w:rPr>
              <w:t xml:space="preserve"> to have all LAMP</w:t>
            </w:r>
            <w:r w:rsidR="00D13E4C">
              <w:rPr>
                <w:rStyle w:val="Strong"/>
                <w:rFonts w:cs="Arial"/>
                <w:b w:val="0"/>
              </w:rPr>
              <w:t>s</w:t>
            </w:r>
            <w:r w:rsidR="00E760E3">
              <w:rPr>
                <w:rStyle w:val="Strong"/>
                <w:rFonts w:cs="Arial"/>
                <w:b w:val="0"/>
              </w:rPr>
              <w:t xml:space="preserve"> </w:t>
            </w:r>
            <w:r w:rsidR="00D13E4C">
              <w:rPr>
                <w:rStyle w:val="Strong"/>
                <w:rFonts w:cs="Arial"/>
                <w:b w:val="0"/>
              </w:rPr>
              <w:t>adopted by the Water Board. Some are already adopted</w:t>
            </w:r>
            <w:r w:rsidR="003028F1">
              <w:rPr>
                <w:rStyle w:val="Strong"/>
                <w:rFonts w:cs="Arial"/>
                <w:b w:val="0"/>
              </w:rPr>
              <w:t>,</w:t>
            </w:r>
            <w:r w:rsidR="00516EB4">
              <w:rPr>
                <w:rStyle w:val="Strong"/>
                <w:rFonts w:cs="Arial"/>
                <w:b w:val="0"/>
              </w:rPr>
              <w:t xml:space="preserve"> and we hope </w:t>
            </w:r>
            <w:r w:rsidR="003028F1">
              <w:rPr>
                <w:rStyle w:val="Strong"/>
                <w:rFonts w:cs="Arial"/>
                <w:b w:val="0"/>
              </w:rPr>
              <w:t xml:space="preserve">to </w:t>
            </w:r>
            <w:r w:rsidR="00516EB4">
              <w:rPr>
                <w:rStyle w:val="Strong"/>
                <w:rFonts w:cs="Arial"/>
                <w:b w:val="0"/>
              </w:rPr>
              <w:t>have all of the</w:t>
            </w:r>
            <w:r w:rsidR="003028F1">
              <w:rPr>
                <w:rStyle w:val="Strong"/>
                <w:rFonts w:cs="Arial"/>
                <w:b w:val="0"/>
              </w:rPr>
              <w:t xml:space="preserve"> submitted LAMPs</w:t>
            </w:r>
            <w:r w:rsidR="00516EB4">
              <w:rPr>
                <w:rStyle w:val="Strong"/>
                <w:rFonts w:cs="Arial"/>
                <w:b w:val="0"/>
              </w:rPr>
              <w:t xml:space="preserve"> in</w:t>
            </w:r>
            <w:r w:rsidR="00D13E4C">
              <w:rPr>
                <w:rStyle w:val="Strong"/>
                <w:rFonts w:cs="Arial"/>
                <w:b w:val="0"/>
              </w:rPr>
              <w:t xml:space="preserve"> </w:t>
            </w:r>
            <w:r w:rsidR="00516EB4">
              <w:rPr>
                <w:rStyle w:val="Strong"/>
                <w:rFonts w:cs="Arial"/>
                <w:b w:val="0"/>
              </w:rPr>
              <w:t>place before Fall 2018.</w:t>
            </w:r>
            <w:r w:rsidR="0000561D">
              <w:rPr>
                <w:rStyle w:val="Strong"/>
                <w:rFonts w:cs="Arial"/>
                <w:b w:val="0"/>
              </w:rPr>
              <w:t xml:space="preserve"> </w:t>
            </w:r>
          </w:p>
        </w:tc>
      </w:tr>
      <w:tr w:rsidR="00D22E6D" w14:paraId="057BB817" w14:textId="77777777" w:rsidTr="000F584B">
        <w:tc>
          <w:tcPr>
            <w:tcW w:w="9878" w:type="dxa"/>
            <w:tcBorders>
              <w:left w:val="nil"/>
              <w:bottom w:val="single" w:sz="4" w:space="0" w:color="auto"/>
              <w:right w:val="nil"/>
            </w:tcBorders>
            <w:tcMar>
              <w:top w:w="0" w:type="dxa"/>
              <w:bottom w:w="0" w:type="dxa"/>
            </w:tcMar>
          </w:tcPr>
          <w:p w14:paraId="54275F31" w14:textId="77777777" w:rsidR="00D22E6D" w:rsidRPr="00A91C90" w:rsidRDefault="00D22E6D" w:rsidP="00A91C90">
            <w:pPr>
              <w:rPr>
                <w:rStyle w:val="Strong"/>
                <w:b w:val="0"/>
                <w:sz w:val="12"/>
                <w:szCs w:val="12"/>
              </w:rPr>
            </w:pPr>
          </w:p>
        </w:tc>
      </w:tr>
      <w:tr w:rsidR="00D22E6D" w14:paraId="7D6666C6" w14:textId="77777777" w:rsidTr="000F584B">
        <w:trPr>
          <w:trHeight w:val="503"/>
        </w:trPr>
        <w:tc>
          <w:tcPr>
            <w:tcW w:w="9878" w:type="dxa"/>
            <w:shd w:val="clear" w:color="auto" w:fill="EAF1DD" w:themeFill="accent3" w:themeFillTint="33"/>
          </w:tcPr>
          <w:p w14:paraId="7652034C" w14:textId="77777777" w:rsidR="00464709" w:rsidRDefault="00B434D0" w:rsidP="00F14CF4">
            <w:pPr>
              <w:rPr>
                <w:rStyle w:val="Strong"/>
                <w:rFonts w:cs="Arial"/>
                <w:b w:val="0"/>
                <w:sz w:val="32"/>
                <w:szCs w:val="32"/>
              </w:rPr>
            </w:pPr>
            <w:r w:rsidRPr="000F584B">
              <w:rPr>
                <w:rStyle w:val="Strong"/>
                <w:rFonts w:cs="Arial"/>
                <w:b w:val="0"/>
                <w:sz w:val="32"/>
                <w:szCs w:val="32"/>
              </w:rPr>
              <w:t>Key Efforts</w:t>
            </w:r>
          </w:p>
          <w:p w14:paraId="50B5A94E" w14:textId="77777777" w:rsidR="00973221" w:rsidRPr="000F584B" w:rsidRDefault="00973221" w:rsidP="00F14CF4">
            <w:pPr>
              <w:rPr>
                <w:rStyle w:val="Strong"/>
                <w:rFonts w:cs="Arial"/>
                <w:b w:val="0"/>
                <w:sz w:val="32"/>
                <w:szCs w:val="32"/>
              </w:rPr>
            </w:pPr>
          </w:p>
          <w:p w14:paraId="43557C9C" w14:textId="5095496F" w:rsidR="00E11E3C" w:rsidRPr="00B434D0" w:rsidRDefault="00E11E3C" w:rsidP="00E11E3C">
            <w:pPr>
              <w:pStyle w:val="ListParagraph"/>
              <w:numPr>
                <w:ilvl w:val="0"/>
                <w:numId w:val="21"/>
              </w:numPr>
              <w:rPr>
                <w:rStyle w:val="Strong"/>
                <w:b w:val="0"/>
              </w:rPr>
            </w:pPr>
            <w:r>
              <w:rPr>
                <w:rStyle w:val="Strong"/>
                <w:rFonts w:cs="Arial"/>
                <w:b w:val="0"/>
              </w:rPr>
              <w:t>LAMP</w:t>
            </w:r>
            <w:r w:rsidR="00E760E3">
              <w:rPr>
                <w:rStyle w:val="Strong"/>
                <w:rFonts w:cs="Arial"/>
                <w:b w:val="0"/>
              </w:rPr>
              <w:t xml:space="preserve"> adoptions</w:t>
            </w:r>
            <w:r w:rsidR="00973221">
              <w:rPr>
                <w:rStyle w:val="Strong"/>
                <w:rFonts w:cs="Arial"/>
                <w:b w:val="0"/>
              </w:rPr>
              <w:t xml:space="preserve"> for Town of Apple Valley, Hesperia, and others planned for 2018.</w:t>
            </w:r>
          </w:p>
          <w:p w14:paraId="419A4C35" w14:textId="2950C783" w:rsidR="00E11E3C" w:rsidRDefault="00973221" w:rsidP="002D6CB1">
            <w:pPr>
              <w:pStyle w:val="ListParagraph"/>
              <w:numPr>
                <w:ilvl w:val="0"/>
                <w:numId w:val="21"/>
              </w:numPr>
              <w:rPr>
                <w:rStyle w:val="Strong"/>
                <w:b w:val="0"/>
              </w:rPr>
            </w:pPr>
            <w:r>
              <w:rPr>
                <w:rStyle w:val="Strong"/>
                <w:b w:val="0"/>
              </w:rPr>
              <w:t>R</w:t>
            </w:r>
            <w:r w:rsidR="00E11E3C">
              <w:rPr>
                <w:rStyle w:val="Strong"/>
                <w:b w:val="0"/>
              </w:rPr>
              <w:t xml:space="preserve">equiring dischargers to </w:t>
            </w:r>
            <w:r>
              <w:rPr>
                <w:rStyle w:val="Strong"/>
                <w:b w:val="0"/>
              </w:rPr>
              <w:t>upload</w:t>
            </w:r>
            <w:r w:rsidR="00E760E3">
              <w:rPr>
                <w:rStyle w:val="Strong"/>
                <w:b w:val="0"/>
              </w:rPr>
              <w:t xml:space="preserve"> </w:t>
            </w:r>
            <w:r w:rsidR="00E11E3C">
              <w:rPr>
                <w:rStyle w:val="Strong"/>
                <w:b w:val="0"/>
              </w:rPr>
              <w:t>collected groundwater data into Geotracker</w:t>
            </w:r>
            <w:r w:rsidR="00E11E3C" w:rsidRPr="00B434D0">
              <w:rPr>
                <w:rStyle w:val="Strong"/>
                <w:b w:val="0"/>
              </w:rPr>
              <w:t xml:space="preserve">. </w:t>
            </w:r>
            <w:r w:rsidR="00E11E3C">
              <w:rPr>
                <w:rStyle w:val="Strong"/>
                <w:b w:val="0"/>
              </w:rPr>
              <w:t xml:space="preserve"> One workshop </w:t>
            </w:r>
            <w:r w:rsidR="00E760E3">
              <w:rPr>
                <w:rStyle w:val="Strong"/>
                <w:b w:val="0"/>
              </w:rPr>
              <w:t>h</w:t>
            </w:r>
            <w:r w:rsidR="003028F1">
              <w:rPr>
                <w:rStyle w:val="Strong"/>
                <w:b w:val="0"/>
              </w:rPr>
              <w:t>a</w:t>
            </w:r>
            <w:r w:rsidR="00E760E3">
              <w:rPr>
                <w:rStyle w:val="Strong"/>
                <w:b w:val="0"/>
              </w:rPr>
              <w:t xml:space="preserve">s been </w:t>
            </w:r>
            <w:r w:rsidR="003028F1">
              <w:rPr>
                <w:rStyle w:val="Strong"/>
                <w:b w:val="0"/>
              </w:rPr>
              <w:t>conducted</w:t>
            </w:r>
            <w:r w:rsidR="00E11E3C">
              <w:rPr>
                <w:rStyle w:val="Strong"/>
                <w:b w:val="0"/>
              </w:rPr>
              <w:t xml:space="preserve"> and one </w:t>
            </w:r>
            <w:r w:rsidR="00E760E3">
              <w:rPr>
                <w:rStyle w:val="Strong"/>
                <w:b w:val="0"/>
              </w:rPr>
              <w:t xml:space="preserve">is </w:t>
            </w:r>
            <w:r w:rsidR="00E11E3C">
              <w:rPr>
                <w:rStyle w:val="Strong"/>
                <w:b w:val="0"/>
              </w:rPr>
              <w:t>being planned</w:t>
            </w:r>
            <w:r w:rsidR="00516EB4">
              <w:rPr>
                <w:rStyle w:val="Strong"/>
                <w:b w:val="0"/>
              </w:rPr>
              <w:t xml:space="preserve"> for the 2018</w:t>
            </w:r>
            <w:r w:rsidR="00E11E3C">
              <w:rPr>
                <w:rStyle w:val="Strong"/>
                <w:b w:val="0"/>
              </w:rPr>
              <w:t>.</w:t>
            </w:r>
          </w:p>
          <w:p w14:paraId="427DF505" w14:textId="77777777" w:rsidR="00973221" w:rsidRPr="00973221" w:rsidRDefault="00973221" w:rsidP="00973221">
            <w:pPr>
              <w:pStyle w:val="ListParagraph"/>
              <w:numPr>
                <w:ilvl w:val="0"/>
                <w:numId w:val="21"/>
              </w:numPr>
              <w:rPr>
                <w:rStyle w:val="Strong"/>
                <w:b w:val="0"/>
              </w:rPr>
            </w:pPr>
            <w:r w:rsidRPr="00973221">
              <w:rPr>
                <w:rStyle w:val="Strong"/>
                <w:b w:val="0"/>
              </w:rPr>
              <w:t>Planned General WDRs development for small domestic wastewater treatment systems for up to 50,000 gallons per day of wastewater.  This General Order will propose total nitrogen limits on certain small wastewater systems.</w:t>
            </w:r>
          </w:p>
          <w:p w14:paraId="576A576F" w14:textId="1B02B0C7" w:rsidR="00B434D0" w:rsidRPr="002D6CB1" w:rsidRDefault="00B434D0" w:rsidP="002D6CB1">
            <w:pPr>
              <w:pStyle w:val="ListParagraph"/>
              <w:numPr>
                <w:ilvl w:val="0"/>
                <w:numId w:val="21"/>
              </w:numPr>
              <w:rPr>
                <w:rStyle w:val="Strong"/>
                <w:b w:val="0"/>
              </w:rPr>
            </w:pPr>
            <w:r w:rsidRPr="002D6CB1">
              <w:rPr>
                <w:rStyle w:val="Strong"/>
                <w:rFonts w:cs="Arial"/>
                <w:b w:val="0"/>
              </w:rPr>
              <w:t>F</w:t>
            </w:r>
            <w:r w:rsidR="00A03C57" w:rsidRPr="002D6CB1">
              <w:rPr>
                <w:rStyle w:val="Strong"/>
                <w:rFonts w:cs="Arial"/>
                <w:b w:val="0"/>
              </w:rPr>
              <w:t>ocus</w:t>
            </w:r>
            <w:r w:rsidR="00B6260C" w:rsidRPr="002D6CB1">
              <w:rPr>
                <w:rStyle w:val="Strong"/>
                <w:rFonts w:cs="Arial"/>
                <w:b w:val="0"/>
              </w:rPr>
              <w:t xml:space="preserve"> on </w:t>
            </w:r>
            <w:r w:rsidR="00973221">
              <w:rPr>
                <w:rStyle w:val="Strong"/>
                <w:rFonts w:cs="Arial"/>
                <w:b w:val="0"/>
              </w:rPr>
              <w:t xml:space="preserve">preventing </w:t>
            </w:r>
            <w:r w:rsidR="00B6260C" w:rsidRPr="002D6CB1">
              <w:rPr>
                <w:rStyle w:val="Strong"/>
                <w:rFonts w:cs="Arial"/>
                <w:b w:val="0"/>
              </w:rPr>
              <w:t>discharges polluting or threatening to pollute groundwater</w:t>
            </w:r>
            <w:r w:rsidR="003028F1">
              <w:rPr>
                <w:rStyle w:val="Strong"/>
                <w:rFonts w:cs="Arial"/>
                <w:b w:val="0"/>
              </w:rPr>
              <w:t>:</w:t>
            </w:r>
          </w:p>
          <w:p w14:paraId="25A9106C" w14:textId="77777777" w:rsidR="00365FFE" w:rsidRDefault="0076271B" w:rsidP="00365FFE">
            <w:pPr>
              <w:pStyle w:val="ListParagraph"/>
              <w:numPr>
                <w:ilvl w:val="1"/>
                <w:numId w:val="21"/>
              </w:numPr>
              <w:rPr>
                <w:rStyle w:val="Strong"/>
                <w:b w:val="0"/>
              </w:rPr>
            </w:pPr>
            <w:r>
              <w:rPr>
                <w:rStyle w:val="Strong"/>
                <w:b w:val="0"/>
              </w:rPr>
              <w:t>Requiring waste discharge reports for new facilities</w:t>
            </w:r>
            <w:r w:rsidR="003028F1">
              <w:rPr>
                <w:rStyle w:val="Strong"/>
                <w:b w:val="0"/>
              </w:rPr>
              <w:t>;</w:t>
            </w:r>
          </w:p>
          <w:p w14:paraId="61E7C391" w14:textId="77777777" w:rsidR="00365FFE" w:rsidRDefault="00A03C57" w:rsidP="00365FFE">
            <w:pPr>
              <w:pStyle w:val="ListParagraph"/>
              <w:numPr>
                <w:ilvl w:val="1"/>
                <w:numId w:val="21"/>
              </w:numPr>
              <w:rPr>
                <w:rStyle w:val="Strong"/>
                <w:b w:val="0"/>
              </w:rPr>
            </w:pPr>
            <w:r>
              <w:rPr>
                <w:rStyle w:val="Strong"/>
                <w:b w:val="0"/>
              </w:rPr>
              <w:t>Revis</w:t>
            </w:r>
            <w:r w:rsidR="0076271B">
              <w:rPr>
                <w:rStyle w:val="Strong"/>
                <w:b w:val="0"/>
              </w:rPr>
              <w:t>ing W</w:t>
            </w:r>
            <w:r w:rsidR="00E760E3">
              <w:rPr>
                <w:rStyle w:val="Strong"/>
                <w:b w:val="0"/>
              </w:rPr>
              <w:t xml:space="preserve">aste </w:t>
            </w:r>
            <w:r w:rsidR="0076271B">
              <w:rPr>
                <w:rStyle w:val="Strong"/>
                <w:b w:val="0"/>
              </w:rPr>
              <w:t>D</w:t>
            </w:r>
            <w:r w:rsidR="00E760E3">
              <w:rPr>
                <w:rStyle w:val="Strong"/>
                <w:b w:val="0"/>
              </w:rPr>
              <w:t xml:space="preserve">ischarge </w:t>
            </w:r>
            <w:r w:rsidR="0076271B">
              <w:rPr>
                <w:rStyle w:val="Strong"/>
                <w:b w:val="0"/>
              </w:rPr>
              <w:t>R</w:t>
            </w:r>
            <w:r w:rsidR="00E760E3">
              <w:rPr>
                <w:rStyle w:val="Strong"/>
                <w:b w:val="0"/>
              </w:rPr>
              <w:t>equirment</w:t>
            </w:r>
            <w:r w:rsidR="0076271B">
              <w:rPr>
                <w:rStyle w:val="Strong"/>
                <w:b w:val="0"/>
              </w:rPr>
              <w:t xml:space="preserve">s </w:t>
            </w:r>
            <w:r w:rsidR="00201D96">
              <w:rPr>
                <w:rStyle w:val="Strong"/>
                <w:b w:val="0"/>
              </w:rPr>
              <w:t xml:space="preserve">(WDRs) </w:t>
            </w:r>
            <w:r w:rsidR="0076271B">
              <w:rPr>
                <w:rStyle w:val="Strong"/>
                <w:b w:val="0"/>
              </w:rPr>
              <w:t>for existing or expanding facilities</w:t>
            </w:r>
            <w:r w:rsidR="003028F1">
              <w:rPr>
                <w:rStyle w:val="Strong"/>
                <w:b w:val="0"/>
              </w:rPr>
              <w:t>; and</w:t>
            </w:r>
          </w:p>
          <w:p w14:paraId="134684B2" w14:textId="77777777" w:rsidR="00365FFE" w:rsidRPr="00365FFE" w:rsidRDefault="00365FFE" w:rsidP="00365FFE">
            <w:pPr>
              <w:pStyle w:val="ListParagraph"/>
              <w:numPr>
                <w:ilvl w:val="1"/>
                <w:numId w:val="21"/>
              </w:numPr>
              <w:rPr>
                <w:rStyle w:val="Strong"/>
                <w:b w:val="0"/>
              </w:rPr>
            </w:pPr>
            <w:r w:rsidRPr="00365FFE">
              <w:rPr>
                <w:rStyle w:val="Strong"/>
                <w:b w:val="0"/>
              </w:rPr>
              <w:t>Issu</w:t>
            </w:r>
            <w:r w:rsidR="0076271B">
              <w:rPr>
                <w:rStyle w:val="Strong"/>
                <w:b w:val="0"/>
              </w:rPr>
              <w:t>ing</w:t>
            </w:r>
            <w:r w:rsidRPr="00365FFE">
              <w:rPr>
                <w:rStyle w:val="Strong"/>
                <w:b w:val="0"/>
              </w:rPr>
              <w:t xml:space="preserve"> enforcement order</w:t>
            </w:r>
            <w:r w:rsidR="00A03C57">
              <w:rPr>
                <w:rStyle w:val="Strong"/>
                <w:b w:val="0"/>
              </w:rPr>
              <w:t>s</w:t>
            </w:r>
            <w:r w:rsidR="000A78BD">
              <w:rPr>
                <w:rStyle w:val="Strong"/>
                <w:b w:val="0"/>
              </w:rPr>
              <w:t xml:space="preserve">, </w:t>
            </w:r>
            <w:r w:rsidR="00E760E3">
              <w:rPr>
                <w:rStyle w:val="Strong"/>
                <w:b w:val="0"/>
              </w:rPr>
              <w:t xml:space="preserve">mainly for </w:t>
            </w:r>
            <w:r w:rsidR="000A78BD">
              <w:rPr>
                <w:rStyle w:val="Strong"/>
                <w:b w:val="0"/>
              </w:rPr>
              <w:t xml:space="preserve">nitrate </w:t>
            </w:r>
            <w:r w:rsidR="003028F1">
              <w:rPr>
                <w:rStyle w:val="Strong"/>
                <w:b w:val="0"/>
              </w:rPr>
              <w:t xml:space="preserve">pollution </w:t>
            </w:r>
            <w:r w:rsidR="000A78BD">
              <w:rPr>
                <w:rStyle w:val="Strong"/>
                <w:b w:val="0"/>
              </w:rPr>
              <w:t>abatement</w:t>
            </w:r>
            <w:r w:rsidR="003028F1">
              <w:rPr>
                <w:rStyle w:val="Strong"/>
                <w:b w:val="0"/>
              </w:rPr>
              <w:t>.</w:t>
            </w:r>
          </w:p>
          <w:p w14:paraId="135D4D2D" w14:textId="77777777" w:rsidR="00F524AD" w:rsidRPr="00B434D0" w:rsidRDefault="00F524AD" w:rsidP="00516EB4">
            <w:pPr>
              <w:pStyle w:val="ListParagraph"/>
              <w:ind w:left="360"/>
              <w:rPr>
                <w:rStyle w:val="Strong"/>
                <w:b w:val="0"/>
              </w:rPr>
            </w:pPr>
          </w:p>
        </w:tc>
      </w:tr>
    </w:tbl>
    <w:p w14:paraId="5C81B94E" w14:textId="77777777" w:rsidR="004E1735" w:rsidRDefault="00365D7E" w:rsidP="000F584B">
      <w:pPr>
        <w:tabs>
          <w:tab w:val="left" w:pos="-630"/>
        </w:tabs>
        <w:ind w:left="-630" w:right="-36"/>
        <w:jc w:val="center"/>
      </w:pPr>
      <w:r>
        <w:rPr>
          <w:noProof/>
        </w:rPr>
        <w:lastRenderedPageBreak/>
        <w:drawing>
          <wp:inline distT="0" distB="0" distL="0" distR="0" wp14:anchorId="65D33E37" wp14:editId="7406A097">
            <wp:extent cx="3573780" cy="2766060"/>
            <wp:effectExtent l="0" t="0" r="7620" b="0"/>
            <wp:docPr id="1" name="Chart 1" title="fac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3D4BAE2D" wp14:editId="1B65CECA">
            <wp:extent cx="3154680" cy="2758440"/>
            <wp:effectExtent l="0" t="0" r="762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16" w:type="dxa"/>
          <w:left w:w="115" w:type="dxa"/>
          <w:bottom w:w="216" w:type="dxa"/>
          <w:right w:w="115" w:type="dxa"/>
        </w:tblCellMar>
        <w:tblLook w:val="04A0" w:firstRow="1" w:lastRow="0" w:firstColumn="1" w:lastColumn="0" w:noHBand="0" w:noVBand="1"/>
      </w:tblPr>
      <w:tblGrid>
        <w:gridCol w:w="9878"/>
        <w:gridCol w:w="27"/>
      </w:tblGrid>
      <w:tr w:rsidR="00D22E6D" w:rsidRPr="00C1131B" w14:paraId="0A723EC7" w14:textId="77777777" w:rsidTr="00243D0B">
        <w:trPr>
          <w:trHeight w:val="486"/>
        </w:trPr>
        <w:tc>
          <w:tcPr>
            <w:tcW w:w="9905" w:type="dxa"/>
            <w:gridSpan w:val="2"/>
            <w:tcMar>
              <w:top w:w="0" w:type="dxa"/>
              <w:bottom w:w="0" w:type="dxa"/>
            </w:tcMar>
          </w:tcPr>
          <w:p w14:paraId="77AEDD71" w14:textId="77777777" w:rsidR="004E1735" w:rsidRPr="00C1131B" w:rsidRDefault="006C5B02">
            <w:pPr>
              <w:rPr>
                <w:rStyle w:val="Strong"/>
                <w:b w:val="0"/>
                <w:sz w:val="18"/>
              </w:rPr>
            </w:pPr>
            <w:r>
              <w:rPr>
                <w:rStyle w:val="Strong"/>
                <w:b w:val="0"/>
                <w:sz w:val="18"/>
              </w:rPr>
              <w:t>Enrollee</w:t>
            </w:r>
            <w:r w:rsidR="000A78BD">
              <w:rPr>
                <w:rStyle w:val="Strong"/>
                <w:b w:val="0"/>
                <w:sz w:val="18"/>
              </w:rPr>
              <w:t>s in</w:t>
            </w:r>
            <w:r w:rsidR="00F30310">
              <w:rPr>
                <w:rStyle w:val="Strong"/>
                <w:b w:val="0"/>
                <w:sz w:val="18"/>
              </w:rPr>
              <w:t xml:space="preserve"> </w:t>
            </w:r>
            <w:r w:rsidR="000A78BD">
              <w:rPr>
                <w:rStyle w:val="Strong"/>
                <w:b w:val="0"/>
                <w:sz w:val="18"/>
              </w:rPr>
              <w:t xml:space="preserve">General </w:t>
            </w:r>
            <w:r w:rsidR="00F95171">
              <w:rPr>
                <w:rStyle w:val="Strong"/>
                <w:b w:val="0"/>
                <w:sz w:val="18"/>
              </w:rPr>
              <w:t>WDR</w:t>
            </w:r>
            <w:r w:rsidR="000A78BD">
              <w:rPr>
                <w:rStyle w:val="Strong"/>
                <w:b w:val="0"/>
                <w:sz w:val="18"/>
              </w:rPr>
              <w:t>s,</w:t>
            </w:r>
            <w:r w:rsidR="00F95171">
              <w:rPr>
                <w:rStyle w:val="Strong"/>
                <w:b w:val="0"/>
                <w:sz w:val="18"/>
              </w:rPr>
              <w:t xml:space="preserve"> </w:t>
            </w:r>
            <w:r w:rsidR="00F30310">
              <w:rPr>
                <w:rStyle w:val="Strong"/>
                <w:b w:val="0"/>
                <w:sz w:val="18"/>
              </w:rPr>
              <w:t>North and South</w:t>
            </w:r>
            <w:r w:rsidR="000A78BD">
              <w:rPr>
                <w:rStyle w:val="Strong"/>
                <w:b w:val="0"/>
                <w:sz w:val="18"/>
              </w:rPr>
              <w:t>,</w:t>
            </w:r>
            <w:r w:rsidR="00F30310">
              <w:rPr>
                <w:rStyle w:val="Strong"/>
                <w:b w:val="0"/>
                <w:sz w:val="18"/>
              </w:rPr>
              <w:t xml:space="preserve"> </w:t>
            </w:r>
            <w:r w:rsidR="000A78BD">
              <w:rPr>
                <w:rStyle w:val="Strong"/>
                <w:b w:val="0"/>
                <w:sz w:val="18"/>
              </w:rPr>
              <w:t xml:space="preserve">include many dischargers </w:t>
            </w:r>
            <w:r w:rsidR="003912BC">
              <w:rPr>
                <w:rStyle w:val="Strong"/>
                <w:b w:val="0"/>
                <w:sz w:val="18"/>
              </w:rPr>
              <w:t xml:space="preserve">not </w:t>
            </w:r>
            <w:r w:rsidR="000A78BD">
              <w:rPr>
                <w:rStyle w:val="Strong"/>
                <w:b w:val="0"/>
                <w:sz w:val="18"/>
              </w:rPr>
              <w:t xml:space="preserve">enrolled </w:t>
            </w:r>
            <w:r w:rsidR="003912BC">
              <w:rPr>
                <w:rStyle w:val="Strong"/>
                <w:b w:val="0"/>
                <w:sz w:val="18"/>
              </w:rPr>
              <w:t xml:space="preserve">for </w:t>
            </w:r>
            <w:r w:rsidR="000A78BD">
              <w:rPr>
                <w:rStyle w:val="Strong"/>
                <w:b w:val="0"/>
                <w:sz w:val="18"/>
              </w:rPr>
              <w:t xml:space="preserve">domestic </w:t>
            </w:r>
            <w:r w:rsidR="003912BC">
              <w:rPr>
                <w:rStyle w:val="Strong"/>
                <w:b w:val="0"/>
                <w:sz w:val="18"/>
              </w:rPr>
              <w:t>wastewaster treatment and disposal</w:t>
            </w:r>
            <w:r w:rsidR="002C2104">
              <w:rPr>
                <w:rStyle w:val="Strong"/>
                <w:b w:val="0"/>
                <w:sz w:val="18"/>
              </w:rPr>
              <w:t xml:space="preserve">, </w:t>
            </w:r>
            <w:r w:rsidR="003912BC">
              <w:rPr>
                <w:rStyle w:val="Strong"/>
                <w:b w:val="0"/>
                <w:sz w:val="18"/>
              </w:rPr>
              <w:t>i</w:t>
            </w:r>
            <w:r w:rsidR="00CC1EF5">
              <w:rPr>
                <w:rStyle w:val="Strong"/>
                <w:b w:val="0"/>
                <w:sz w:val="18"/>
              </w:rPr>
              <w:t>nclud</w:t>
            </w:r>
            <w:r w:rsidR="002C2104">
              <w:rPr>
                <w:rStyle w:val="Strong"/>
                <w:b w:val="0"/>
                <w:sz w:val="18"/>
              </w:rPr>
              <w:t>ing</w:t>
            </w:r>
            <w:r w:rsidR="00CC1EF5">
              <w:rPr>
                <w:rStyle w:val="Strong"/>
                <w:b w:val="0"/>
                <w:sz w:val="18"/>
              </w:rPr>
              <w:t xml:space="preserve"> </w:t>
            </w:r>
            <w:r w:rsidR="002C2104">
              <w:rPr>
                <w:rStyle w:val="Strong"/>
                <w:b w:val="0"/>
                <w:sz w:val="18"/>
              </w:rPr>
              <w:t>s</w:t>
            </w:r>
            <w:r w:rsidR="00CC1EF5">
              <w:rPr>
                <w:rStyle w:val="Strong"/>
                <w:b w:val="0"/>
                <w:sz w:val="18"/>
              </w:rPr>
              <w:t xml:space="preserve">anitary </w:t>
            </w:r>
            <w:r w:rsidR="002C2104">
              <w:rPr>
                <w:rStyle w:val="Strong"/>
                <w:b w:val="0"/>
                <w:sz w:val="18"/>
              </w:rPr>
              <w:t>s</w:t>
            </w:r>
            <w:r w:rsidR="00CC1EF5">
              <w:rPr>
                <w:rStyle w:val="Strong"/>
                <w:b w:val="0"/>
                <w:sz w:val="18"/>
              </w:rPr>
              <w:t>ewer collection systems</w:t>
            </w:r>
            <w:r w:rsidR="000A78BD">
              <w:rPr>
                <w:rStyle w:val="Strong"/>
                <w:b w:val="0"/>
                <w:sz w:val="18"/>
              </w:rPr>
              <w:t>, and other discharges as noted above</w:t>
            </w:r>
            <w:r w:rsidR="00F30310">
              <w:rPr>
                <w:rStyle w:val="Strong"/>
                <w:b w:val="0"/>
                <w:sz w:val="18"/>
              </w:rPr>
              <w:t xml:space="preserve">. </w:t>
            </w:r>
          </w:p>
        </w:tc>
      </w:tr>
      <w:tr w:rsidR="00A20E13" w14:paraId="7D0B6C46" w14:textId="77777777" w:rsidTr="00F3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bottom w:w="144" w:type="dxa"/>
          </w:tblCellMar>
        </w:tblPrEx>
        <w:trPr>
          <w:gridAfter w:val="1"/>
          <w:wAfter w:w="27" w:type="dxa"/>
          <w:trHeight w:val="1412"/>
        </w:trPr>
        <w:tc>
          <w:tcPr>
            <w:tcW w:w="9878" w:type="dxa"/>
            <w:shd w:val="clear" w:color="auto" w:fill="DAEEF3" w:themeFill="accent5" w:themeFillTint="33"/>
          </w:tcPr>
          <w:p w14:paraId="5BDEFC2F" w14:textId="77777777" w:rsidR="00821C51" w:rsidRPr="00A91C90" w:rsidRDefault="00A20E13" w:rsidP="000F584B">
            <w:pPr>
              <w:tabs>
                <w:tab w:val="left" w:pos="1815"/>
              </w:tabs>
              <w:spacing w:after="120"/>
              <w:rPr>
                <w:rStyle w:val="Strong"/>
                <w:b w:val="0"/>
                <w:sz w:val="22"/>
                <w:szCs w:val="22"/>
              </w:rPr>
            </w:pPr>
            <w:r>
              <w:rPr>
                <w:rStyle w:val="Strong"/>
                <w:b w:val="0"/>
                <w:sz w:val="32"/>
              </w:rPr>
              <w:t>Performance T</w:t>
            </w:r>
            <w:r w:rsidRPr="00BC03BB">
              <w:rPr>
                <w:rStyle w:val="Strong"/>
                <w:b w:val="0"/>
                <w:sz w:val="32"/>
              </w:rPr>
              <w:t xml:space="preserve">argets for </w:t>
            </w:r>
            <w:r w:rsidR="00B21204">
              <w:rPr>
                <w:rStyle w:val="Strong"/>
                <w:b w:val="0"/>
                <w:sz w:val="32"/>
              </w:rPr>
              <w:t>Fiscal Year 201</w:t>
            </w:r>
            <w:r w:rsidR="00001939">
              <w:rPr>
                <w:rStyle w:val="Strong"/>
                <w:b w:val="0"/>
                <w:sz w:val="32"/>
              </w:rPr>
              <w:t>6</w:t>
            </w:r>
            <w:r w:rsidRPr="00BC03BB">
              <w:rPr>
                <w:rStyle w:val="Strong"/>
                <w:b w:val="0"/>
                <w:sz w:val="32"/>
              </w:rPr>
              <w:t xml:space="preserve"> – </w:t>
            </w:r>
            <w:r>
              <w:rPr>
                <w:rStyle w:val="Strong"/>
                <w:b w:val="0"/>
                <w:sz w:val="32"/>
              </w:rPr>
              <w:t>201</w:t>
            </w:r>
            <w:r w:rsidR="00001939">
              <w:rPr>
                <w:rStyle w:val="Strong"/>
                <w:b w:val="0"/>
                <w:sz w:val="32"/>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1890"/>
              <w:gridCol w:w="2168"/>
            </w:tblGrid>
            <w:tr w:rsidR="00A91C90" w14:paraId="4F9A30C7" w14:textId="77777777" w:rsidTr="00A91C90">
              <w:tc>
                <w:tcPr>
                  <w:tcW w:w="5575" w:type="dxa"/>
                </w:tcPr>
                <w:p w14:paraId="147D7124" w14:textId="77777777" w:rsidR="00A91C90" w:rsidRPr="00366924" w:rsidRDefault="00A91C90" w:rsidP="000F584B">
                  <w:pPr>
                    <w:rPr>
                      <w:rStyle w:val="Strong"/>
                      <w:b w:val="0"/>
                    </w:rPr>
                  </w:pPr>
                </w:p>
              </w:tc>
              <w:tc>
                <w:tcPr>
                  <w:tcW w:w="1890" w:type="dxa"/>
                </w:tcPr>
                <w:p w14:paraId="2B6A324B" w14:textId="77777777" w:rsidR="00A91C90" w:rsidRPr="00366924" w:rsidRDefault="00A91C90" w:rsidP="000F584B">
                  <w:pPr>
                    <w:tabs>
                      <w:tab w:val="left" w:pos="1020"/>
                    </w:tabs>
                    <w:rPr>
                      <w:rStyle w:val="Strong"/>
                      <w:b w:val="0"/>
                    </w:rPr>
                  </w:pPr>
                  <w:r w:rsidRPr="00366924">
                    <w:rPr>
                      <w:rStyle w:val="Strong"/>
                      <w:b w:val="0"/>
                    </w:rPr>
                    <w:t>Target</w:t>
                  </w:r>
                </w:p>
              </w:tc>
              <w:tc>
                <w:tcPr>
                  <w:tcW w:w="2168" w:type="dxa"/>
                </w:tcPr>
                <w:p w14:paraId="24183446" w14:textId="77777777" w:rsidR="00A91C90" w:rsidRPr="00366924" w:rsidRDefault="00A91C90" w:rsidP="000F584B">
                  <w:pPr>
                    <w:rPr>
                      <w:rStyle w:val="Strong"/>
                      <w:b w:val="0"/>
                    </w:rPr>
                  </w:pPr>
                  <w:r w:rsidRPr="00366924">
                    <w:rPr>
                      <w:rStyle w:val="Strong"/>
                      <w:b w:val="0"/>
                    </w:rPr>
                    <w:t>Completed</w:t>
                  </w:r>
                </w:p>
              </w:tc>
            </w:tr>
            <w:tr w:rsidR="00A91C90" w14:paraId="0E41AD60" w14:textId="77777777" w:rsidTr="00A91C90">
              <w:tc>
                <w:tcPr>
                  <w:tcW w:w="5575" w:type="dxa"/>
                </w:tcPr>
                <w:p w14:paraId="694E29D7" w14:textId="77777777" w:rsidR="00A91C90" w:rsidRDefault="00A91C90" w:rsidP="000F584B">
                  <w:pPr>
                    <w:rPr>
                      <w:rStyle w:val="Strong"/>
                      <w:b w:val="0"/>
                    </w:rPr>
                  </w:pPr>
                  <w:r w:rsidRPr="00366924">
                    <w:rPr>
                      <w:rStyle w:val="Strong"/>
                      <w:b w:val="0"/>
                    </w:rPr>
                    <w:t>Inspections</w:t>
                  </w:r>
                </w:p>
              </w:tc>
              <w:tc>
                <w:tcPr>
                  <w:tcW w:w="1890" w:type="dxa"/>
                </w:tcPr>
                <w:p w14:paraId="76A81E5B" w14:textId="77777777" w:rsidR="00A91C90" w:rsidRDefault="00147499" w:rsidP="000F584B">
                  <w:pPr>
                    <w:tabs>
                      <w:tab w:val="left" w:pos="1020"/>
                    </w:tabs>
                    <w:rPr>
                      <w:rStyle w:val="Strong"/>
                      <w:b w:val="0"/>
                    </w:rPr>
                  </w:pPr>
                  <w:r>
                    <w:rPr>
                      <w:rStyle w:val="Strong"/>
                      <w:b w:val="0"/>
                    </w:rPr>
                    <w:t>36</w:t>
                  </w:r>
                </w:p>
              </w:tc>
              <w:tc>
                <w:tcPr>
                  <w:tcW w:w="2168" w:type="dxa"/>
                </w:tcPr>
                <w:p w14:paraId="2AA16F90" w14:textId="77777777" w:rsidR="00A91C90" w:rsidRDefault="00147499" w:rsidP="000F584B">
                  <w:pPr>
                    <w:rPr>
                      <w:rStyle w:val="Strong"/>
                      <w:b w:val="0"/>
                    </w:rPr>
                  </w:pPr>
                  <w:r>
                    <w:rPr>
                      <w:rStyle w:val="Strong"/>
                      <w:b w:val="0"/>
                    </w:rPr>
                    <w:t>44</w:t>
                  </w:r>
                </w:p>
              </w:tc>
            </w:tr>
            <w:tr w:rsidR="00A91C90" w14:paraId="433B971F" w14:textId="77777777" w:rsidTr="00A91C90">
              <w:tc>
                <w:tcPr>
                  <w:tcW w:w="5575" w:type="dxa"/>
                </w:tcPr>
                <w:p w14:paraId="08A4E8FC" w14:textId="77777777" w:rsidR="00A91C90" w:rsidRDefault="00A91C90" w:rsidP="000F584B">
                  <w:pPr>
                    <w:rPr>
                      <w:rStyle w:val="Strong"/>
                      <w:b w:val="0"/>
                    </w:rPr>
                  </w:pPr>
                  <w:r w:rsidRPr="00366924">
                    <w:rPr>
                      <w:rStyle w:val="Strong"/>
                      <w:b w:val="0"/>
                    </w:rPr>
                    <w:t>Permits updates or new WDRs</w:t>
                  </w:r>
                </w:p>
              </w:tc>
              <w:tc>
                <w:tcPr>
                  <w:tcW w:w="1890" w:type="dxa"/>
                </w:tcPr>
                <w:p w14:paraId="398ACC5C" w14:textId="77777777" w:rsidR="00A91C90" w:rsidRDefault="00147499" w:rsidP="000F584B">
                  <w:pPr>
                    <w:rPr>
                      <w:rStyle w:val="Strong"/>
                      <w:b w:val="0"/>
                    </w:rPr>
                  </w:pPr>
                  <w:r>
                    <w:rPr>
                      <w:rStyle w:val="Strong"/>
                      <w:b w:val="0"/>
                    </w:rPr>
                    <w:t>3</w:t>
                  </w:r>
                </w:p>
              </w:tc>
              <w:tc>
                <w:tcPr>
                  <w:tcW w:w="2168" w:type="dxa"/>
                </w:tcPr>
                <w:p w14:paraId="1CCEC3D6" w14:textId="77777777" w:rsidR="00A91C90" w:rsidRDefault="00675A02" w:rsidP="000F584B">
                  <w:pPr>
                    <w:rPr>
                      <w:rStyle w:val="Strong"/>
                      <w:b w:val="0"/>
                    </w:rPr>
                  </w:pPr>
                  <w:r>
                    <w:rPr>
                      <w:rStyle w:val="Strong"/>
                      <w:b w:val="0"/>
                    </w:rPr>
                    <w:t>3</w:t>
                  </w:r>
                </w:p>
              </w:tc>
            </w:tr>
          </w:tbl>
          <w:p w14:paraId="60216ACF" w14:textId="77777777" w:rsidR="003F1521" w:rsidRPr="00481D50" w:rsidRDefault="003F1521" w:rsidP="000F584B">
            <w:pPr>
              <w:rPr>
                <w:rStyle w:val="Strong"/>
                <w:b w:val="0"/>
                <w:sz w:val="22"/>
              </w:rPr>
            </w:pPr>
          </w:p>
        </w:tc>
      </w:tr>
    </w:tbl>
    <w:p w14:paraId="3A45BAE8" w14:textId="77777777" w:rsidR="00746A1C" w:rsidRPr="00A91C90" w:rsidRDefault="00746A1C" w:rsidP="00A20E13">
      <w:pPr>
        <w:rPr>
          <w:sz w:val="12"/>
          <w:szCs w:val="1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9925"/>
      </w:tblGrid>
      <w:tr w:rsidR="00A20E13" w14:paraId="3F1F6800" w14:textId="77777777" w:rsidTr="007E7635">
        <w:tc>
          <w:tcPr>
            <w:tcW w:w="9925" w:type="dxa"/>
            <w:tcBorders>
              <w:bottom w:val="single" w:sz="4" w:space="0" w:color="auto"/>
            </w:tcBorders>
            <w:shd w:val="clear" w:color="auto" w:fill="DAEEF3" w:themeFill="accent5" w:themeFillTint="33"/>
          </w:tcPr>
          <w:p w14:paraId="20202B54" w14:textId="7B386D32" w:rsidR="000A78BD" w:rsidRPr="00A91C90" w:rsidRDefault="00A20E13" w:rsidP="00A91C90">
            <w:pPr>
              <w:tabs>
                <w:tab w:val="left" w:pos="1815"/>
              </w:tabs>
              <w:spacing w:after="120"/>
              <w:rPr>
                <w:rStyle w:val="Strong"/>
                <w:b w:val="0"/>
                <w:sz w:val="22"/>
                <w:szCs w:val="22"/>
              </w:rPr>
            </w:pPr>
            <w:r>
              <w:rPr>
                <w:rStyle w:val="Strong"/>
                <w:b w:val="0"/>
                <w:sz w:val="32"/>
              </w:rPr>
              <w:t>Performance T</w:t>
            </w:r>
            <w:r w:rsidRPr="00BC03BB">
              <w:rPr>
                <w:rStyle w:val="Strong"/>
                <w:b w:val="0"/>
                <w:sz w:val="32"/>
              </w:rPr>
              <w:t xml:space="preserve">argets for </w:t>
            </w:r>
            <w:r w:rsidR="00001939">
              <w:rPr>
                <w:rStyle w:val="Strong"/>
                <w:b w:val="0"/>
                <w:sz w:val="32"/>
              </w:rPr>
              <w:t>Fiscal Year 2017</w:t>
            </w:r>
            <w:r w:rsidRPr="00BC03BB">
              <w:rPr>
                <w:rStyle w:val="Strong"/>
                <w:b w:val="0"/>
                <w:sz w:val="32"/>
              </w:rPr>
              <w:t xml:space="preserve"> – </w:t>
            </w:r>
            <w:r>
              <w:rPr>
                <w:rStyle w:val="Strong"/>
                <w:b w:val="0"/>
                <w:sz w:val="32"/>
              </w:rPr>
              <w:t>201</w:t>
            </w:r>
            <w:r w:rsidR="00001939">
              <w:rPr>
                <w:rStyle w:val="Strong"/>
                <w:b w:val="0"/>
                <w:sz w:val="32"/>
              </w:rPr>
              <w:t>8</w:t>
            </w:r>
            <w:r w:rsidR="002C4E45">
              <w:rPr>
                <w:rStyle w:val="Strong"/>
                <w:b w:val="0"/>
                <w:sz w:val="32"/>
              </w:rPr>
              <w:t xml:space="preserve"> </w:t>
            </w:r>
            <w:r w:rsidR="002C4E45" w:rsidRPr="002C4E45">
              <w:rPr>
                <w:rStyle w:val="Strong"/>
                <w:b w:val="0"/>
                <w:sz w:val="22"/>
                <w:szCs w:val="22"/>
              </w:rPr>
              <w:t>(as of 03/15/18)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1890"/>
              <w:gridCol w:w="2168"/>
            </w:tblGrid>
            <w:tr w:rsidR="00A91C90" w14:paraId="21223965" w14:textId="77777777" w:rsidTr="00A91C90">
              <w:tc>
                <w:tcPr>
                  <w:tcW w:w="5575" w:type="dxa"/>
                </w:tcPr>
                <w:p w14:paraId="0D2AEF37" w14:textId="3D18B419" w:rsidR="00A91C90" w:rsidRPr="00366924" w:rsidRDefault="00A91C90" w:rsidP="00226C01">
                  <w:pPr>
                    <w:rPr>
                      <w:rStyle w:val="Strong"/>
                      <w:b w:val="0"/>
                    </w:rPr>
                  </w:pPr>
                </w:p>
              </w:tc>
              <w:tc>
                <w:tcPr>
                  <w:tcW w:w="1890" w:type="dxa"/>
                </w:tcPr>
                <w:p w14:paraId="4327BF36" w14:textId="77777777" w:rsidR="00A91C90" w:rsidRPr="00366924" w:rsidRDefault="00A91C90" w:rsidP="00516EB4">
                  <w:pPr>
                    <w:tabs>
                      <w:tab w:val="left" w:pos="1020"/>
                    </w:tabs>
                    <w:rPr>
                      <w:rStyle w:val="Strong"/>
                      <w:b w:val="0"/>
                    </w:rPr>
                  </w:pPr>
                  <w:r w:rsidRPr="00366924">
                    <w:rPr>
                      <w:rStyle w:val="Strong"/>
                      <w:b w:val="0"/>
                    </w:rPr>
                    <w:t xml:space="preserve">Target   </w:t>
                  </w:r>
                </w:p>
              </w:tc>
              <w:tc>
                <w:tcPr>
                  <w:tcW w:w="2168" w:type="dxa"/>
                </w:tcPr>
                <w:p w14:paraId="66DF573A" w14:textId="77777777" w:rsidR="00A91C90" w:rsidRPr="00366924" w:rsidRDefault="00516EB4" w:rsidP="00516EB4">
                  <w:pPr>
                    <w:rPr>
                      <w:rStyle w:val="Strong"/>
                      <w:b w:val="0"/>
                    </w:rPr>
                  </w:pPr>
                  <w:r>
                    <w:rPr>
                      <w:rStyle w:val="Strong"/>
                      <w:b w:val="0"/>
                    </w:rPr>
                    <w:t>P</w:t>
                  </w:r>
                  <w:r w:rsidR="00A91C90" w:rsidRPr="00366924">
                    <w:rPr>
                      <w:rStyle w:val="Strong"/>
                      <w:b w:val="0"/>
                    </w:rPr>
                    <w:t xml:space="preserve">rogress </w:t>
                  </w:r>
                </w:p>
              </w:tc>
            </w:tr>
            <w:tr w:rsidR="00A91C90" w14:paraId="2F70BCDC" w14:textId="77777777" w:rsidTr="00A91C90">
              <w:tc>
                <w:tcPr>
                  <w:tcW w:w="5575" w:type="dxa"/>
                </w:tcPr>
                <w:p w14:paraId="32762014" w14:textId="78B96B8A" w:rsidR="005C0329" w:rsidRDefault="005C0329" w:rsidP="00226C01">
                  <w:pPr>
                    <w:rPr>
                      <w:rStyle w:val="Strong"/>
                      <w:b w:val="0"/>
                    </w:rPr>
                  </w:pPr>
                  <w:r>
                    <w:rPr>
                      <w:rStyle w:val="Strong"/>
                      <w:b w:val="0"/>
                    </w:rPr>
                    <w:t>Inspections</w:t>
                  </w:r>
                  <w:bookmarkStart w:id="0" w:name="_GoBack"/>
                  <w:bookmarkEnd w:id="0"/>
                </w:p>
                <w:p w14:paraId="39008BB1" w14:textId="4DD2887F" w:rsidR="00A91C90" w:rsidRDefault="00A91C90" w:rsidP="00226C01">
                  <w:pPr>
                    <w:rPr>
                      <w:rStyle w:val="Strong"/>
                      <w:b w:val="0"/>
                    </w:rPr>
                  </w:pPr>
                  <w:r w:rsidRPr="00366924">
                    <w:rPr>
                      <w:rStyle w:val="Strong"/>
                      <w:b w:val="0"/>
                    </w:rPr>
                    <w:t xml:space="preserve">Individual WDRs (Permits)  </w:t>
                  </w:r>
                </w:p>
              </w:tc>
              <w:tc>
                <w:tcPr>
                  <w:tcW w:w="1890" w:type="dxa"/>
                </w:tcPr>
                <w:p w14:paraId="3035765E" w14:textId="7C5F89E3" w:rsidR="005C0329" w:rsidRDefault="005C0329" w:rsidP="00516EB4">
                  <w:pPr>
                    <w:tabs>
                      <w:tab w:val="left" w:pos="1020"/>
                    </w:tabs>
                    <w:rPr>
                      <w:rStyle w:val="Strong"/>
                      <w:b w:val="0"/>
                    </w:rPr>
                  </w:pPr>
                  <w:r>
                    <w:rPr>
                      <w:rStyle w:val="Strong"/>
                      <w:b w:val="0"/>
                    </w:rPr>
                    <w:t>33</w:t>
                  </w:r>
                </w:p>
                <w:p w14:paraId="64FBE163" w14:textId="7746A47C" w:rsidR="00A91C90" w:rsidRDefault="00953B7D" w:rsidP="00516EB4">
                  <w:pPr>
                    <w:tabs>
                      <w:tab w:val="left" w:pos="1020"/>
                    </w:tabs>
                    <w:rPr>
                      <w:rStyle w:val="Strong"/>
                      <w:b w:val="0"/>
                    </w:rPr>
                  </w:pPr>
                  <w:r>
                    <w:rPr>
                      <w:rStyle w:val="Strong"/>
                      <w:b w:val="0"/>
                    </w:rPr>
                    <w:t>2</w:t>
                  </w:r>
                </w:p>
              </w:tc>
              <w:tc>
                <w:tcPr>
                  <w:tcW w:w="2168" w:type="dxa"/>
                </w:tcPr>
                <w:p w14:paraId="0E0AC274" w14:textId="5F73F8EA" w:rsidR="005C0329" w:rsidRDefault="005C0329" w:rsidP="00516EB4">
                  <w:pPr>
                    <w:rPr>
                      <w:rStyle w:val="Strong"/>
                      <w:b w:val="0"/>
                    </w:rPr>
                  </w:pPr>
                  <w:r>
                    <w:rPr>
                      <w:rStyle w:val="Strong"/>
                      <w:b w:val="0"/>
                    </w:rPr>
                    <w:t>2</w:t>
                  </w:r>
                  <w:r w:rsidR="002C4E45">
                    <w:rPr>
                      <w:rStyle w:val="Strong"/>
                      <w:b w:val="0"/>
                    </w:rPr>
                    <w:t>3</w:t>
                  </w:r>
                </w:p>
                <w:p w14:paraId="2E0275DF" w14:textId="070C207A" w:rsidR="00A91C90" w:rsidRDefault="00147499" w:rsidP="00516EB4">
                  <w:pPr>
                    <w:rPr>
                      <w:rStyle w:val="Strong"/>
                      <w:b w:val="0"/>
                    </w:rPr>
                  </w:pPr>
                  <w:r>
                    <w:rPr>
                      <w:rStyle w:val="Strong"/>
                      <w:b w:val="0"/>
                    </w:rPr>
                    <w:t>0</w:t>
                  </w:r>
                </w:p>
              </w:tc>
            </w:tr>
            <w:tr w:rsidR="00A91C90" w14:paraId="37DB9765" w14:textId="77777777" w:rsidTr="00A91C90">
              <w:tc>
                <w:tcPr>
                  <w:tcW w:w="5575" w:type="dxa"/>
                </w:tcPr>
                <w:p w14:paraId="130A1D64" w14:textId="48AF176D" w:rsidR="00A91C90" w:rsidRDefault="00A91C90" w:rsidP="00226C01">
                  <w:pPr>
                    <w:rPr>
                      <w:rStyle w:val="Strong"/>
                      <w:b w:val="0"/>
                    </w:rPr>
                  </w:pPr>
                </w:p>
              </w:tc>
              <w:tc>
                <w:tcPr>
                  <w:tcW w:w="1890" w:type="dxa"/>
                </w:tcPr>
                <w:p w14:paraId="0616342A" w14:textId="4AE5FCAD" w:rsidR="00A91C90" w:rsidRDefault="00A91C90" w:rsidP="00516EB4">
                  <w:pPr>
                    <w:rPr>
                      <w:rStyle w:val="Strong"/>
                      <w:b w:val="0"/>
                    </w:rPr>
                  </w:pPr>
                </w:p>
              </w:tc>
              <w:tc>
                <w:tcPr>
                  <w:tcW w:w="2168" w:type="dxa"/>
                </w:tcPr>
                <w:p w14:paraId="1CDBD087" w14:textId="555A3FDA" w:rsidR="00A91C90" w:rsidRDefault="00A91C90" w:rsidP="00953B7D">
                  <w:pPr>
                    <w:rPr>
                      <w:rStyle w:val="Strong"/>
                      <w:b w:val="0"/>
                    </w:rPr>
                  </w:pPr>
                </w:p>
              </w:tc>
            </w:tr>
          </w:tbl>
          <w:p w14:paraId="7E4BDB0C" w14:textId="77777777" w:rsidR="00907B4E" w:rsidRPr="00DD7A0B" w:rsidRDefault="00907B4E">
            <w:pPr>
              <w:rPr>
                <w:rStyle w:val="Strong"/>
                <w:b w:val="0"/>
                <w:sz w:val="22"/>
              </w:rPr>
            </w:pPr>
          </w:p>
        </w:tc>
      </w:tr>
    </w:tbl>
    <w:p w14:paraId="32E59F98" w14:textId="06A7CEE0" w:rsidR="002B04DB" w:rsidRDefault="002B04DB" w:rsidP="004E1735">
      <w:pPr>
        <w:rPr>
          <w:rStyle w:val="Strong"/>
          <w:b w:val="0"/>
          <w:sz w:val="12"/>
          <w:szCs w:val="1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9925"/>
      </w:tblGrid>
      <w:tr w:rsidR="002C4E45" w14:paraId="2A9E0698" w14:textId="77777777" w:rsidTr="006E066E">
        <w:tc>
          <w:tcPr>
            <w:tcW w:w="9925" w:type="dxa"/>
            <w:tcBorders>
              <w:bottom w:val="single" w:sz="4" w:space="0" w:color="auto"/>
            </w:tcBorders>
            <w:shd w:val="clear" w:color="auto" w:fill="DAEEF3" w:themeFill="accent5" w:themeFillTint="33"/>
          </w:tcPr>
          <w:p w14:paraId="546F7754" w14:textId="7DC4A52C" w:rsidR="002C4E45" w:rsidRPr="00A91C90" w:rsidRDefault="002C4E45" w:rsidP="002C4E45">
            <w:pPr>
              <w:tabs>
                <w:tab w:val="left" w:pos="1815"/>
              </w:tabs>
              <w:spacing w:after="120"/>
              <w:rPr>
                <w:rStyle w:val="Strong"/>
                <w:b w:val="0"/>
                <w:sz w:val="22"/>
                <w:szCs w:val="22"/>
              </w:rPr>
            </w:pPr>
            <w:r>
              <w:rPr>
                <w:rStyle w:val="Strong"/>
                <w:b w:val="0"/>
                <w:sz w:val="32"/>
              </w:rPr>
              <w:t>Performance T</w:t>
            </w:r>
            <w:r w:rsidRPr="00BC03BB">
              <w:rPr>
                <w:rStyle w:val="Strong"/>
                <w:b w:val="0"/>
                <w:sz w:val="32"/>
              </w:rPr>
              <w:t xml:space="preserve">argets for </w:t>
            </w:r>
            <w:r>
              <w:rPr>
                <w:rStyle w:val="Strong"/>
                <w:b w:val="0"/>
                <w:sz w:val="32"/>
              </w:rPr>
              <w:t>Fiscal Year 20</w:t>
            </w:r>
            <w:r>
              <w:rPr>
                <w:rStyle w:val="Strong"/>
                <w:b w:val="0"/>
                <w:sz w:val="32"/>
              </w:rPr>
              <w:t>18</w:t>
            </w:r>
            <w:r w:rsidRPr="00BC03BB">
              <w:rPr>
                <w:rStyle w:val="Strong"/>
                <w:b w:val="0"/>
                <w:sz w:val="32"/>
              </w:rPr>
              <w:t xml:space="preserve"> – </w:t>
            </w:r>
            <w:r>
              <w:rPr>
                <w:rStyle w:val="Strong"/>
                <w:b w:val="0"/>
                <w:sz w:val="32"/>
              </w:rPr>
              <w:t>20</w:t>
            </w:r>
            <w:r>
              <w:rPr>
                <w:rStyle w:val="Strong"/>
                <w:b w:val="0"/>
                <w:sz w:val="32"/>
              </w:rPr>
              <w:t>19</w:t>
            </w:r>
          </w:p>
          <w:p w14:paraId="606555EB" w14:textId="1C0AE65D" w:rsidR="002C4E45" w:rsidRPr="002C4E45" w:rsidRDefault="002C4E45" w:rsidP="002C4E45">
            <w:pPr>
              <w:ind w:left="180"/>
              <w:rPr>
                <w:rStyle w:val="Strong"/>
                <w:b w:val="0"/>
              </w:rPr>
            </w:pPr>
            <w:r w:rsidRPr="002C4E45">
              <w:rPr>
                <w:rStyle w:val="Strong"/>
                <w:b w:val="0"/>
              </w:rPr>
              <w:t>Not yet established.</w:t>
            </w:r>
          </w:p>
        </w:tc>
      </w:tr>
    </w:tbl>
    <w:p w14:paraId="6EB81754" w14:textId="2763D4F3" w:rsidR="002C4E45" w:rsidRDefault="002C4E45" w:rsidP="004E1735">
      <w:pPr>
        <w:rPr>
          <w:rStyle w:val="Strong"/>
          <w:b w:val="0"/>
          <w:sz w:val="12"/>
          <w:szCs w:val="12"/>
        </w:rPr>
      </w:pPr>
    </w:p>
    <w:tbl>
      <w:tblPr>
        <w:tblStyle w:val="TableGrid"/>
        <w:tblW w:w="9918" w:type="dxa"/>
        <w:tblLook w:val="04A0" w:firstRow="1" w:lastRow="0" w:firstColumn="1" w:lastColumn="0" w:noHBand="0" w:noVBand="1"/>
      </w:tblPr>
      <w:tblGrid>
        <w:gridCol w:w="9918"/>
      </w:tblGrid>
      <w:tr w:rsidR="002B04DB" w:rsidRPr="00397597" w14:paraId="61110C78" w14:textId="77777777" w:rsidTr="007E7635">
        <w:tc>
          <w:tcPr>
            <w:tcW w:w="9918" w:type="dxa"/>
            <w:tcBorders>
              <w:top w:val="single" w:sz="4" w:space="0" w:color="auto"/>
              <w:bottom w:val="single" w:sz="4" w:space="0" w:color="auto"/>
            </w:tcBorders>
            <w:shd w:val="clear" w:color="auto" w:fill="F2DBDB" w:themeFill="accent2" w:themeFillTint="33"/>
          </w:tcPr>
          <w:p w14:paraId="2E284AA9" w14:textId="77777777" w:rsidR="000F584B" w:rsidRPr="0091148A" w:rsidRDefault="002B04DB" w:rsidP="000F584B">
            <w:pPr>
              <w:pStyle w:val="ListParagraph"/>
              <w:spacing w:before="120"/>
              <w:ind w:left="0"/>
              <w:rPr>
                <w:rStyle w:val="Strong"/>
                <w:b w:val="0"/>
                <w:bCs w:val="0"/>
                <w:sz w:val="32"/>
                <w:szCs w:val="32"/>
              </w:rPr>
            </w:pPr>
            <w:r w:rsidRPr="00F807AA">
              <w:rPr>
                <w:sz w:val="32"/>
                <w:szCs w:val="32"/>
              </w:rPr>
              <w:t>Unaddressed Work</w:t>
            </w:r>
            <w:r w:rsidR="008E4B4B">
              <w:rPr>
                <w:sz w:val="32"/>
                <w:szCs w:val="32"/>
              </w:rPr>
              <w:t xml:space="preserve"> </w:t>
            </w:r>
          </w:p>
          <w:p w14:paraId="1971B328" w14:textId="11326548" w:rsidR="002B04DB" w:rsidRPr="00F47F00" w:rsidRDefault="008E4B4B" w:rsidP="0056770A">
            <w:pPr>
              <w:pStyle w:val="ListParagraph"/>
              <w:numPr>
                <w:ilvl w:val="0"/>
                <w:numId w:val="20"/>
              </w:numPr>
              <w:ind w:left="360"/>
              <w:rPr>
                <w:rStyle w:val="Strong"/>
                <w:b w:val="0"/>
                <w:sz w:val="22"/>
                <w:szCs w:val="22"/>
              </w:rPr>
            </w:pPr>
            <w:r w:rsidRPr="00F47F00">
              <w:rPr>
                <w:rStyle w:val="Strong"/>
                <w:b w:val="0"/>
                <w:sz w:val="22"/>
                <w:szCs w:val="22"/>
              </w:rPr>
              <w:t xml:space="preserve">Unknown </w:t>
            </w:r>
            <w:r w:rsidR="00280663" w:rsidRPr="00F47F00">
              <w:rPr>
                <w:rStyle w:val="Strong"/>
                <w:b w:val="0"/>
                <w:sz w:val="22"/>
                <w:szCs w:val="22"/>
              </w:rPr>
              <w:t>number of</w:t>
            </w:r>
            <w:r w:rsidRPr="00F47F00">
              <w:rPr>
                <w:rStyle w:val="Strong"/>
                <w:b w:val="0"/>
                <w:sz w:val="22"/>
                <w:szCs w:val="22"/>
              </w:rPr>
              <w:t xml:space="preserve"> RV parks</w:t>
            </w:r>
            <w:r w:rsidR="00810333" w:rsidRPr="00F47F00">
              <w:rPr>
                <w:rStyle w:val="Strong"/>
                <w:b w:val="0"/>
                <w:sz w:val="22"/>
                <w:szCs w:val="22"/>
              </w:rPr>
              <w:t xml:space="preserve"> or facilities with</w:t>
            </w:r>
            <w:r w:rsidRPr="00F47F00">
              <w:rPr>
                <w:rStyle w:val="Strong"/>
                <w:b w:val="0"/>
                <w:sz w:val="22"/>
                <w:szCs w:val="22"/>
              </w:rPr>
              <w:t xml:space="preserve"> </w:t>
            </w:r>
            <w:r w:rsidR="00C93D3E">
              <w:rPr>
                <w:rStyle w:val="Strong"/>
                <w:b w:val="0"/>
                <w:sz w:val="22"/>
                <w:szCs w:val="22"/>
              </w:rPr>
              <w:t xml:space="preserve">flows of </w:t>
            </w:r>
            <w:r w:rsidR="00810333" w:rsidRPr="00F47F00">
              <w:rPr>
                <w:rStyle w:val="Strong"/>
                <w:b w:val="0"/>
                <w:sz w:val="22"/>
                <w:szCs w:val="22"/>
              </w:rPr>
              <w:t xml:space="preserve">greater than 10,000 gallons per day </w:t>
            </w:r>
            <w:r w:rsidR="00C93D3E">
              <w:rPr>
                <w:rStyle w:val="Strong"/>
                <w:b w:val="0"/>
                <w:sz w:val="22"/>
                <w:szCs w:val="22"/>
              </w:rPr>
              <w:t>wastewater into onsite septic systems</w:t>
            </w:r>
            <w:r w:rsidR="00973221">
              <w:rPr>
                <w:rStyle w:val="Strong"/>
                <w:b w:val="0"/>
                <w:sz w:val="22"/>
                <w:szCs w:val="22"/>
              </w:rPr>
              <w:t>; unregulated discharge is adding salts and nutrients to closed groundwater basins, impacting assimilative capacity.</w:t>
            </w:r>
          </w:p>
          <w:p w14:paraId="39F2D5DB" w14:textId="7F71ED9D" w:rsidR="008E4B4B" w:rsidRPr="00F47F00" w:rsidRDefault="00810333" w:rsidP="0056770A">
            <w:pPr>
              <w:pStyle w:val="ListParagraph"/>
              <w:numPr>
                <w:ilvl w:val="0"/>
                <w:numId w:val="20"/>
              </w:numPr>
              <w:ind w:left="360"/>
              <w:rPr>
                <w:rStyle w:val="Strong"/>
                <w:b w:val="0"/>
                <w:sz w:val="22"/>
                <w:szCs w:val="22"/>
              </w:rPr>
            </w:pPr>
            <w:r w:rsidRPr="00F47F00">
              <w:rPr>
                <w:rStyle w:val="Strong"/>
                <w:b w:val="0"/>
                <w:sz w:val="22"/>
                <w:szCs w:val="22"/>
              </w:rPr>
              <w:t>A</w:t>
            </w:r>
            <w:r w:rsidR="008E4B4B" w:rsidRPr="00F47F00">
              <w:rPr>
                <w:rStyle w:val="Strong"/>
                <w:b w:val="0"/>
                <w:sz w:val="22"/>
                <w:szCs w:val="22"/>
              </w:rPr>
              <w:t>pproximately 114 individual WDRs that need to be reviewed and</w:t>
            </w:r>
            <w:r w:rsidRPr="00F47F00">
              <w:rPr>
                <w:rStyle w:val="Strong"/>
                <w:b w:val="0"/>
                <w:sz w:val="22"/>
                <w:szCs w:val="22"/>
              </w:rPr>
              <w:t xml:space="preserve"> considered for</w:t>
            </w:r>
            <w:r w:rsidR="008E4B4B" w:rsidRPr="00F47F00">
              <w:rPr>
                <w:rStyle w:val="Strong"/>
                <w:b w:val="0"/>
                <w:sz w:val="22"/>
                <w:szCs w:val="22"/>
              </w:rPr>
              <w:t xml:space="preserve"> updating</w:t>
            </w:r>
            <w:r w:rsidR="00973221">
              <w:rPr>
                <w:rStyle w:val="Strong"/>
                <w:b w:val="0"/>
                <w:sz w:val="22"/>
                <w:szCs w:val="22"/>
              </w:rPr>
              <w:t xml:space="preserve"> to address assimilative capacity issues of specific groundwater basins</w:t>
            </w:r>
            <w:r w:rsidR="008E4B4B" w:rsidRPr="00F47F00">
              <w:rPr>
                <w:rStyle w:val="Strong"/>
                <w:b w:val="0"/>
                <w:sz w:val="22"/>
                <w:szCs w:val="22"/>
              </w:rPr>
              <w:t>.</w:t>
            </w:r>
          </w:p>
          <w:p w14:paraId="3403019C" w14:textId="77777777" w:rsidR="00810333" w:rsidRPr="002D6CB1" w:rsidRDefault="008E4B4B" w:rsidP="0056770A">
            <w:pPr>
              <w:pStyle w:val="ListParagraph"/>
              <w:numPr>
                <w:ilvl w:val="0"/>
                <w:numId w:val="20"/>
              </w:numPr>
              <w:ind w:left="360"/>
              <w:rPr>
                <w:rStyle w:val="Strong"/>
                <w:b w:val="0"/>
                <w:sz w:val="22"/>
                <w:szCs w:val="22"/>
              </w:rPr>
            </w:pPr>
            <w:r w:rsidRPr="002D6CB1">
              <w:rPr>
                <w:rStyle w:val="Strong"/>
                <w:b w:val="0"/>
                <w:sz w:val="22"/>
                <w:szCs w:val="22"/>
              </w:rPr>
              <w:t>There are 15 reclamation WDRs that should be revi</w:t>
            </w:r>
            <w:r w:rsidR="00280663" w:rsidRPr="002D6CB1">
              <w:rPr>
                <w:rStyle w:val="Strong"/>
                <w:b w:val="0"/>
                <w:sz w:val="22"/>
                <w:szCs w:val="22"/>
              </w:rPr>
              <w:t xml:space="preserve">ewed/updated </w:t>
            </w:r>
            <w:r w:rsidR="00201D96">
              <w:rPr>
                <w:rStyle w:val="Strong"/>
                <w:b w:val="0"/>
                <w:sz w:val="22"/>
                <w:szCs w:val="22"/>
              </w:rPr>
              <w:t xml:space="preserve">for </w:t>
            </w:r>
            <w:r w:rsidR="00280663" w:rsidRPr="002D6CB1">
              <w:rPr>
                <w:rStyle w:val="Strong"/>
                <w:b w:val="0"/>
                <w:sz w:val="22"/>
                <w:szCs w:val="22"/>
              </w:rPr>
              <w:t>consisten</w:t>
            </w:r>
            <w:r w:rsidR="00201D96">
              <w:rPr>
                <w:rStyle w:val="Strong"/>
                <w:b w:val="0"/>
                <w:sz w:val="22"/>
                <w:szCs w:val="22"/>
              </w:rPr>
              <w:t>cy</w:t>
            </w:r>
            <w:r w:rsidR="00280663" w:rsidRPr="002D6CB1">
              <w:rPr>
                <w:rStyle w:val="Strong"/>
                <w:b w:val="0"/>
                <w:sz w:val="22"/>
                <w:szCs w:val="22"/>
              </w:rPr>
              <w:t xml:space="preserve"> with </w:t>
            </w:r>
            <w:r w:rsidR="00201D96">
              <w:rPr>
                <w:rStyle w:val="Strong"/>
                <w:b w:val="0"/>
                <w:sz w:val="22"/>
                <w:szCs w:val="22"/>
              </w:rPr>
              <w:t xml:space="preserve">the </w:t>
            </w:r>
            <w:r w:rsidR="00280663" w:rsidRPr="002D6CB1">
              <w:rPr>
                <w:rStyle w:val="Strong"/>
                <w:b w:val="0"/>
                <w:sz w:val="22"/>
                <w:szCs w:val="22"/>
              </w:rPr>
              <w:t xml:space="preserve">recycled </w:t>
            </w:r>
            <w:r w:rsidRPr="002D6CB1">
              <w:rPr>
                <w:rStyle w:val="Strong"/>
                <w:b w:val="0"/>
                <w:sz w:val="22"/>
                <w:szCs w:val="22"/>
              </w:rPr>
              <w:t>water policy</w:t>
            </w:r>
            <w:r w:rsidR="00280663" w:rsidRPr="002D6CB1">
              <w:rPr>
                <w:rStyle w:val="Strong"/>
                <w:b w:val="0"/>
                <w:sz w:val="22"/>
                <w:szCs w:val="22"/>
              </w:rPr>
              <w:t>.</w:t>
            </w:r>
            <w:r w:rsidR="002D6CB1" w:rsidRPr="002D6CB1">
              <w:rPr>
                <w:rStyle w:val="Strong"/>
                <w:b w:val="0"/>
                <w:sz w:val="22"/>
                <w:szCs w:val="22"/>
              </w:rPr>
              <w:t xml:space="preserve"> </w:t>
            </w:r>
            <w:r w:rsidR="00810333" w:rsidRPr="002D6CB1">
              <w:rPr>
                <w:rStyle w:val="Strong"/>
                <w:b w:val="0"/>
                <w:sz w:val="22"/>
                <w:szCs w:val="22"/>
              </w:rPr>
              <w:t xml:space="preserve">New recycled water projects </w:t>
            </w:r>
            <w:r w:rsidR="00201D96">
              <w:rPr>
                <w:rStyle w:val="Strong"/>
                <w:b w:val="0"/>
                <w:sz w:val="22"/>
                <w:szCs w:val="22"/>
              </w:rPr>
              <w:t xml:space="preserve">are </w:t>
            </w:r>
            <w:r w:rsidR="00810333" w:rsidRPr="002D6CB1">
              <w:rPr>
                <w:rStyle w:val="Strong"/>
                <w:b w:val="0"/>
                <w:sz w:val="22"/>
                <w:szCs w:val="22"/>
              </w:rPr>
              <w:t>being proposed.</w:t>
            </w:r>
          </w:p>
          <w:p w14:paraId="72618959" w14:textId="77777777" w:rsidR="003F1521" w:rsidRPr="00006EEC" w:rsidRDefault="003F1521" w:rsidP="0056770A">
            <w:pPr>
              <w:pStyle w:val="ListParagraph"/>
              <w:numPr>
                <w:ilvl w:val="0"/>
                <w:numId w:val="20"/>
              </w:numPr>
              <w:ind w:left="360"/>
              <w:rPr>
                <w:rStyle w:val="Strong"/>
                <w:b w:val="0"/>
                <w:sz w:val="32"/>
                <w:szCs w:val="32"/>
              </w:rPr>
            </w:pPr>
            <w:r w:rsidRPr="00F47F00">
              <w:rPr>
                <w:rStyle w:val="Strong"/>
                <w:b w:val="0"/>
                <w:sz w:val="22"/>
                <w:szCs w:val="22"/>
              </w:rPr>
              <w:t>Multiple request</w:t>
            </w:r>
            <w:r w:rsidR="00F47F00">
              <w:rPr>
                <w:rStyle w:val="Strong"/>
                <w:b w:val="0"/>
                <w:sz w:val="22"/>
                <w:szCs w:val="22"/>
              </w:rPr>
              <w:t>s</w:t>
            </w:r>
            <w:r w:rsidRPr="00F47F00">
              <w:rPr>
                <w:rStyle w:val="Strong"/>
                <w:b w:val="0"/>
                <w:sz w:val="22"/>
                <w:szCs w:val="22"/>
              </w:rPr>
              <w:t xml:space="preserve"> </w:t>
            </w:r>
            <w:r w:rsidR="00201D96">
              <w:rPr>
                <w:rStyle w:val="Strong"/>
                <w:b w:val="0"/>
                <w:sz w:val="22"/>
                <w:szCs w:val="22"/>
              </w:rPr>
              <w:t xml:space="preserve">for permit actions </w:t>
            </w:r>
            <w:r w:rsidRPr="00F47F00">
              <w:rPr>
                <w:rStyle w:val="Strong"/>
                <w:b w:val="0"/>
                <w:sz w:val="22"/>
                <w:szCs w:val="22"/>
              </w:rPr>
              <w:t xml:space="preserve">from Dischargers not </w:t>
            </w:r>
            <w:r w:rsidR="00F95171">
              <w:rPr>
                <w:rStyle w:val="Strong"/>
                <w:b w:val="0"/>
                <w:sz w:val="22"/>
                <w:szCs w:val="22"/>
              </w:rPr>
              <w:t xml:space="preserve">being </w:t>
            </w:r>
            <w:r w:rsidR="00FF1FD1">
              <w:rPr>
                <w:rStyle w:val="Strong"/>
                <w:b w:val="0"/>
                <w:sz w:val="22"/>
                <w:szCs w:val="22"/>
              </w:rPr>
              <w:t>implemented</w:t>
            </w:r>
            <w:r w:rsidRPr="00F47F00">
              <w:rPr>
                <w:rStyle w:val="Strong"/>
                <w:b w:val="0"/>
                <w:sz w:val="22"/>
                <w:szCs w:val="22"/>
              </w:rPr>
              <w:t>.</w:t>
            </w:r>
          </w:p>
          <w:p w14:paraId="22DF06B5" w14:textId="77777777" w:rsidR="000F584B" w:rsidRPr="00F47F00" w:rsidRDefault="000F584B" w:rsidP="000F584B">
            <w:pPr>
              <w:pStyle w:val="ListParagraph"/>
              <w:rPr>
                <w:rStyle w:val="Strong"/>
                <w:b w:val="0"/>
                <w:sz w:val="32"/>
                <w:szCs w:val="32"/>
              </w:rPr>
            </w:pPr>
          </w:p>
        </w:tc>
      </w:tr>
    </w:tbl>
    <w:p w14:paraId="661832B4" w14:textId="77777777" w:rsidR="00924F45" w:rsidRDefault="00924F45" w:rsidP="00924F45">
      <w:pPr>
        <w:ind w:firstLine="720"/>
        <w:rPr>
          <w:rStyle w:val="Strong"/>
          <w:b w:val="0"/>
        </w:rPr>
      </w:pPr>
    </w:p>
    <w:sectPr w:rsidR="00924F45" w:rsidSect="00924F45">
      <w:pgSz w:w="12240" w:h="15840"/>
      <w:pgMar w:top="810" w:right="360" w:bottom="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05B7D" w14:textId="77777777" w:rsidR="00057BA4" w:rsidRDefault="00057BA4" w:rsidP="00345FD4">
      <w:r>
        <w:separator/>
      </w:r>
    </w:p>
  </w:endnote>
  <w:endnote w:type="continuationSeparator" w:id="0">
    <w:p w14:paraId="411D12C3" w14:textId="77777777" w:rsidR="00057BA4" w:rsidRDefault="00057BA4" w:rsidP="0034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41146" w14:textId="77777777" w:rsidR="00057BA4" w:rsidRDefault="00057BA4" w:rsidP="00345FD4">
      <w:r>
        <w:separator/>
      </w:r>
    </w:p>
  </w:footnote>
  <w:footnote w:type="continuationSeparator" w:id="0">
    <w:p w14:paraId="497C2F5C" w14:textId="77777777" w:rsidR="00057BA4" w:rsidRDefault="00057BA4" w:rsidP="00345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3F5"/>
    <w:multiLevelType w:val="hybridMultilevel"/>
    <w:tmpl w:val="5176B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63749"/>
    <w:multiLevelType w:val="hybridMultilevel"/>
    <w:tmpl w:val="8FD68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1D06C4"/>
    <w:multiLevelType w:val="hybridMultilevel"/>
    <w:tmpl w:val="8D1C012E"/>
    <w:lvl w:ilvl="0" w:tplc="CA769F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B339C"/>
    <w:multiLevelType w:val="hybridMultilevel"/>
    <w:tmpl w:val="64E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D094E"/>
    <w:multiLevelType w:val="hybridMultilevel"/>
    <w:tmpl w:val="3A90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34954"/>
    <w:multiLevelType w:val="hybridMultilevel"/>
    <w:tmpl w:val="7716EFFA"/>
    <w:lvl w:ilvl="0" w:tplc="CA769F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07EBB"/>
    <w:multiLevelType w:val="hybridMultilevel"/>
    <w:tmpl w:val="494C5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D5046"/>
    <w:multiLevelType w:val="hybridMultilevel"/>
    <w:tmpl w:val="BCD0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C0153"/>
    <w:multiLevelType w:val="hybridMultilevel"/>
    <w:tmpl w:val="91201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7E7807"/>
    <w:multiLevelType w:val="hybridMultilevel"/>
    <w:tmpl w:val="D4320ECC"/>
    <w:lvl w:ilvl="0" w:tplc="6A50140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7267B7"/>
    <w:multiLevelType w:val="hybridMultilevel"/>
    <w:tmpl w:val="EF2E5B82"/>
    <w:lvl w:ilvl="0" w:tplc="CF8E3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629C5"/>
    <w:multiLevelType w:val="hybridMultilevel"/>
    <w:tmpl w:val="05FCE62E"/>
    <w:lvl w:ilvl="0" w:tplc="6A5014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571BF"/>
    <w:multiLevelType w:val="hybridMultilevel"/>
    <w:tmpl w:val="E770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24E0C"/>
    <w:multiLevelType w:val="hybridMultilevel"/>
    <w:tmpl w:val="E616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156AD"/>
    <w:multiLevelType w:val="hybridMultilevel"/>
    <w:tmpl w:val="0908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53F5F"/>
    <w:multiLevelType w:val="hybridMultilevel"/>
    <w:tmpl w:val="BC5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A36C1"/>
    <w:multiLevelType w:val="hybridMultilevel"/>
    <w:tmpl w:val="6B4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C7F8A"/>
    <w:multiLevelType w:val="hybridMultilevel"/>
    <w:tmpl w:val="5CDCF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B666A3"/>
    <w:multiLevelType w:val="hybridMultilevel"/>
    <w:tmpl w:val="178A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45CE2"/>
    <w:multiLevelType w:val="hybridMultilevel"/>
    <w:tmpl w:val="440A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5"/>
  </w:num>
  <w:num w:numId="5">
    <w:abstractNumId w:val="12"/>
  </w:num>
  <w:num w:numId="6">
    <w:abstractNumId w:val="13"/>
  </w:num>
  <w:num w:numId="7">
    <w:abstractNumId w:val="16"/>
  </w:num>
  <w:num w:numId="8">
    <w:abstractNumId w:val="4"/>
  </w:num>
  <w:num w:numId="9">
    <w:abstractNumId w:val="10"/>
  </w:num>
  <w:num w:numId="10">
    <w:abstractNumId w:val="0"/>
  </w:num>
  <w:num w:numId="11">
    <w:abstractNumId w:val="1"/>
  </w:num>
  <w:num w:numId="12">
    <w:abstractNumId w:val="17"/>
  </w:num>
  <w:num w:numId="13">
    <w:abstractNumId w:val="6"/>
  </w:num>
  <w:num w:numId="14">
    <w:abstractNumId w:val="11"/>
  </w:num>
  <w:num w:numId="15">
    <w:abstractNumId w:val="9"/>
  </w:num>
  <w:num w:numId="16">
    <w:abstractNumId w:val="5"/>
  </w:num>
  <w:num w:numId="17">
    <w:abstractNumId w:val="7"/>
  </w:num>
  <w:num w:numId="18">
    <w:abstractNumId w:val="3"/>
  </w:num>
  <w:num w:numId="19">
    <w:abstractNumId w:val="14"/>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40"/>
    <w:rsid w:val="00000C24"/>
    <w:rsid w:val="00001939"/>
    <w:rsid w:val="00002C55"/>
    <w:rsid w:val="0000561D"/>
    <w:rsid w:val="00006EEC"/>
    <w:rsid w:val="0001018C"/>
    <w:rsid w:val="00015441"/>
    <w:rsid w:val="00036D27"/>
    <w:rsid w:val="00051FFE"/>
    <w:rsid w:val="00057BA4"/>
    <w:rsid w:val="000762AF"/>
    <w:rsid w:val="000A2D34"/>
    <w:rsid w:val="000A3E69"/>
    <w:rsid w:val="000A527A"/>
    <w:rsid w:val="000A7876"/>
    <w:rsid w:val="000A78BD"/>
    <w:rsid w:val="000D71D5"/>
    <w:rsid w:val="000E014E"/>
    <w:rsid w:val="000E1447"/>
    <w:rsid w:val="000E2943"/>
    <w:rsid w:val="000E2D13"/>
    <w:rsid w:val="000F2F6A"/>
    <w:rsid w:val="000F584B"/>
    <w:rsid w:val="00147499"/>
    <w:rsid w:val="00150981"/>
    <w:rsid w:val="00182604"/>
    <w:rsid w:val="00186F5B"/>
    <w:rsid w:val="001879A4"/>
    <w:rsid w:val="001B3DA9"/>
    <w:rsid w:val="001B4830"/>
    <w:rsid w:val="001D10DE"/>
    <w:rsid w:val="001E6585"/>
    <w:rsid w:val="001F2DFF"/>
    <w:rsid w:val="00201D96"/>
    <w:rsid w:val="002245AA"/>
    <w:rsid w:val="0022592A"/>
    <w:rsid w:val="00235183"/>
    <w:rsid w:val="00243D0B"/>
    <w:rsid w:val="00251DD6"/>
    <w:rsid w:val="00280663"/>
    <w:rsid w:val="00283629"/>
    <w:rsid w:val="00283FC4"/>
    <w:rsid w:val="00285EA9"/>
    <w:rsid w:val="00290C31"/>
    <w:rsid w:val="002B04DB"/>
    <w:rsid w:val="002C2104"/>
    <w:rsid w:val="002C35DA"/>
    <w:rsid w:val="002C4E45"/>
    <w:rsid w:val="002D2FFF"/>
    <w:rsid w:val="002D65C1"/>
    <w:rsid w:val="002D6CB1"/>
    <w:rsid w:val="002E0A12"/>
    <w:rsid w:val="002E4158"/>
    <w:rsid w:val="002E4B18"/>
    <w:rsid w:val="002F2244"/>
    <w:rsid w:val="002F4CEE"/>
    <w:rsid w:val="002F69E6"/>
    <w:rsid w:val="003027FD"/>
    <w:rsid w:val="003028F1"/>
    <w:rsid w:val="00311105"/>
    <w:rsid w:val="00326585"/>
    <w:rsid w:val="00330616"/>
    <w:rsid w:val="003356C8"/>
    <w:rsid w:val="00345FD4"/>
    <w:rsid w:val="00350872"/>
    <w:rsid w:val="0035193E"/>
    <w:rsid w:val="00365D7E"/>
    <w:rsid w:val="00365FFE"/>
    <w:rsid w:val="00366924"/>
    <w:rsid w:val="003912BC"/>
    <w:rsid w:val="00397597"/>
    <w:rsid w:val="003A14BC"/>
    <w:rsid w:val="003A69F8"/>
    <w:rsid w:val="003B1FD1"/>
    <w:rsid w:val="003C2D2F"/>
    <w:rsid w:val="003C72D7"/>
    <w:rsid w:val="003E732B"/>
    <w:rsid w:val="003F0911"/>
    <w:rsid w:val="003F1521"/>
    <w:rsid w:val="003F4BF5"/>
    <w:rsid w:val="004059E3"/>
    <w:rsid w:val="004526D7"/>
    <w:rsid w:val="00464709"/>
    <w:rsid w:val="00486F72"/>
    <w:rsid w:val="0049336F"/>
    <w:rsid w:val="004A1C44"/>
    <w:rsid w:val="004C0815"/>
    <w:rsid w:val="004D171C"/>
    <w:rsid w:val="004D2DE2"/>
    <w:rsid w:val="004E1735"/>
    <w:rsid w:val="004E22A7"/>
    <w:rsid w:val="004F0F73"/>
    <w:rsid w:val="005013DA"/>
    <w:rsid w:val="00503353"/>
    <w:rsid w:val="00516EB4"/>
    <w:rsid w:val="00526AEC"/>
    <w:rsid w:val="00542F59"/>
    <w:rsid w:val="0056770A"/>
    <w:rsid w:val="00572047"/>
    <w:rsid w:val="00584AEE"/>
    <w:rsid w:val="005853B8"/>
    <w:rsid w:val="00590AE1"/>
    <w:rsid w:val="0059312B"/>
    <w:rsid w:val="00595838"/>
    <w:rsid w:val="005A2F37"/>
    <w:rsid w:val="005B0632"/>
    <w:rsid w:val="005C0329"/>
    <w:rsid w:val="005C3BDA"/>
    <w:rsid w:val="005D7BC5"/>
    <w:rsid w:val="005E3FE6"/>
    <w:rsid w:val="005F6377"/>
    <w:rsid w:val="00603667"/>
    <w:rsid w:val="0061773D"/>
    <w:rsid w:val="006202FC"/>
    <w:rsid w:val="00622FA9"/>
    <w:rsid w:val="0062405B"/>
    <w:rsid w:val="006242F0"/>
    <w:rsid w:val="0063067B"/>
    <w:rsid w:val="006443C5"/>
    <w:rsid w:val="00655F2A"/>
    <w:rsid w:val="00675A02"/>
    <w:rsid w:val="00675DD6"/>
    <w:rsid w:val="00682F07"/>
    <w:rsid w:val="00685F70"/>
    <w:rsid w:val="00686177"/>
    <w:rsid w:val="00697360"/>
    <w:rsid w:val="006A22C8"/>
    <w:rsid w:val="006B0891"/>
    <w:rsid w:val="006B363F"/>
    <w:rsid w:val="006B66A3"/>
    <w:rsid w:val="006C5B02"/>
    <w:rsid w:val="006C6684"/>
    <w:rsid w:val="006E02DD"/>
    <w:rsid w:val="006E50B8"/>
    <w:rsid w:val="006F30E6"/>
    <w:rsid w:val="00704521"/>
    <w:rsid w:val="0071459F"/>
    <w:rsid w:val="00746A1C"/>
    <w:rsid w:val="00757181"/>
    <w:rsid w:val="0076271B"/>
    <w:rsid w:val="00767C32"/>
    <w:rsid w:val="00785AC3"/>
    <w:rsid w:val="00787596"/>
    <w:rsid w:val="0079252D"/>
    <w:rsid w:val="007B07F3"/>
    <w:rsid w:val="007C0C4F"/>
    <w:rsid w:val="007C1E71"/>
    <w:rsid w:val="007E1D4F"/>
    <w:rsid w:val="007E5AB5"/>
    <w:rsid w:val="007E7635"/>
    <w:rsid w:val="007F414E"/>
    <w:rsid w:val="00802548"/>
    <w:rsid w:val="00810333"/>
    <w:rsid w:val="008106CE"/>
    <w:rsid w:val="00810779"/>
    <w:rsid w:val="00810D68"/>
    <w:rsid w:val="0082107B"/>
    <w:rsid w:val="00821C51"/>
    <w:rsid w:val="00835EA4"/>
    <w:rsid w:val="0083783E"/>
    <w:rsid w:val="00851EE6"/>
    <w:rsid w:val="008535F2"/>
    <w:rsid w:val="008668F8"/>
    <w:rsid w:val="0087118E"/>
    <w:rsid w:val="0089649A"/>
    <w:rsid w:val="008A0E54"/>
    <w:rsid w:val="008B53CE"/>
    <w:rsid w:val="008C1FA7"/>
    <w:rsid w:val="008C7DF5"/>
    <w:rsid w:val="008D2140"/>
    <w:rsid w:val="008D371B"/>
    <w:rsid w:val="008D66B7"/>
    <w:rsid w:val="008E4B4B"/>
    <w:rsid w:val="008E63C4"/>
    <w:rsid w:val="008E7940"/>
    <w:rsid w:val="00907B4E"/>
    <w:rsid w:val="0091148A"/>
    <w:rsid w:val="00921A5B"/>
    <w:rsid w:val="00924F45"/>
    <w:rsid w:val="009370D6"/>
    <w:rsid w:val="00937F00"/>
    <w:rsid w:val="00951B90"/>
    <w:rsid w:val="00953B7D"/>
    <w:rsid w:val="009569D6"/>
    <w:rsid w:val="00973221"/>
    <w:rsid w:val="00977198"/>
    <w:rsid w:val="0099215A"/>
    <w:rsid w:val="00994F65"/>
    <w:rsid w:val="009B1A5D"/>
    <w:rsid w:val="009E50EF"/>
    <w:rsid w:val="009E7F67"/>
    <w:rsid w:val="009F0D34"/>
    <w:rsid w:val="009F5486"/>
    <w:rsid w:val="009F61F9"/>
    <w:rsid w:val="00A013E2"/>
    <w:rsid w:val="00A03C57"/>
    <w:rsid w:val="00A06265"/>
    <w:rsid w:val="00A07817"/>
    <w:rsid w:val="00A20E13"/>
    <w:rsid w:val="00A33254"/>
    <w:rsid w:val="00A44AD9"/>
    <w:rsid w:val="00A47BD3"/>
    <w:rsid w:val="00A66CE9"/>
    <w:rsid w:val="00A91C90"/>
    <w:rsid w:val="00A94BE9"/>
    <w:rsid w:val="00AC0DEE"/>
    <w:rsid w:val="00AD1038"/>
    <w:rsid w:val="00AD79A4"/>
    <w:rsid w:val="00AE5E86"/>
    <w:rsid w:val="00B0718E"/>
    <w:rsid w:val="00B074CD"/>
    <w:rsid w:val="00B11F51"/>
    <w:rsid w:val="00B21204"/>
    <w:rsid w:val="00B434D0"/>
    <w:rsid w:val="00B6260C"/>
    <w:rsid w:val="00B80B13"/>
    <w:rsid w:val="00B86C8B"/>
    <w:rsid w:val="00B94A90"/>
    <w:rsid w:val="00BA3741"/>
    <w:rsid w:val="00BA49C7"/>
    <w:rsid w:val="00BC03BB"/>
    <w:rsid w:val="00BD658D"/>
    <w:rsid w:val="00BE3B62"/>
    <w:rsid w:val="00BE3D84"/>
    <w:rsid w:val="00BE6E57"/>
    <w:rsid w:val="00BF019C"/>
    <w:rsid w:val="00BF2250"/>
    <w:rsid w:val="00C1131B"/>
    <w:rsid w:val="00C5418D"/>
    <w:rsid w:val="00C70A0F"/>
    <w:rsid w:val="00C93D3E"/>
    <w:rsid w:val="00C95421"/>
    <w:rsid w:val="00C96A3C"/>
    <w:rsid w:val="00CC1EF5"/>
    <w:rsid w:val="00CD351E"/>
    <w:rsid w:val="00CD384C"/>
    <w:rsid w:val="00CE22BF"/>
    <w:rsid w:val="00CE27B5"/>
    <w:rsid w:val="00CF2B2F"/>
    <w:rsid w:val="00D0564A"/>
    <w:rsid w:val="00D13E4C"/>
    <w:rsid w:val="00D22E6D"/>
    <w:rsid w:val="00D23EDE"/>
    <w:rsid w:val="00D41CD4"/>
    <w:rsid w:val="00D51D3A"/>
    <w:rsid w:val="00D67CFD"/>
    <w:rsid w:val="00D87BF6"/>
    <w:rsid w:val="00D95240"/>
    <w:rsid w:val="00DA160C"/>
    <w:rsid w:val="00DB569B"/>
    <w:rsid w:val="00DC5489"/>
    <w:rsid w:val="00DC7312"/>
    <w:rsid w:val="00DC797B"/>
    <w:rsid w:val="00DD7A0B"/>
    <w:rsid w:val="00DF1ED4"/>
    <w:rsid w:val="00DF3AC0"/>
    <w:rsid w:val="00E024A6"/>
    <w:rsid w:val="00E11E3C"/>
    <w:rsid w:val="00E2186A"/>
    <w:rsid w:val="00E22A8B"/>
    <w:rsid w:val="00E363FE"/>
    <w:rsid w:val="00E43B92"/>
    <w:rsid w:val="00E572EA"/>
    <w:rsid w:val="00E663B3"/>
    <w:rsid w:val="00E760E3"/>
    <w:rsid w:val="00E8648E"/>
    <w:rsid w:val="00E9074F"/>
    <w:rsid w:val="00E9348E"/>
    <w:rsid w:val="00E97B8F"/>
    <w:rsid w:val="00ED69F7"/>
    <w:rsid w:val="00F025A0"/>
    <w:rsid w:val="00F07C07"/>
    <w:rsid w:val="00F14CF4"/>
    <w:rsid w:val="00F30310"/>
    <w:rsid w:val="00F35DD7"/>
    <w:rsid w:val="00F47F00"/>
    <w:rsid w:val="00F524AD"/>
    <w:rsid w:val="00F52821"/>
    <w:rsid w:val="00F62424"/>
    <w:rsid w:val="00F86950"/>
    <w:rsid w:val="00F95171"/>
    <w:rsid w:val="00FA2C2A"/>
    <w:rsid w:val="00FA78F9"/>
    <w:rsid w:val="00FD5CF2"/>
    <w:rsid w:val="00FF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DC64A1"/>
  <w15:docId w15:val="{63EB47C3-EC94-44D5-980C-2CF39498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6D7"/>
    <w:rPr>
      <w:rFonts w:ascii="Arial" w:hAnsi="Arial"/>
      <w:sz w:val="24"/>
      <w:szCs w:val="24"/>
    </w:rPr>
  </w:style>
  <w:style w:type="paragraph" w:styleId="Heading1">
    <w:name w:val="heading 1"/>
    <w:basedOn w:val="Normal"/>
    <w:next w:val="Normal"/>
    <w:link w:val="Heading1Char"/>
    <w:qFormat/>
    <w:rsid w:val="004526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D7"/>
    <w:rPr>
      <w:rFonts w:ascii="Arial" w:eastAsiaTheme="majorEastAsia" w:hAnsi="Arial" w:cstheme="majorBidi"/>
      <w:b/>
      <w:bCs/>
      <w:color w:val="000000" w:themeColor="text1"/>
      <w:sz w:val="28"/>
      <w:szCs w:val="28"/>
    </w:rPr>
  </w:style>
  <w:style w:type="character" w:styleId="Emphasis">
    <w:name w:val="Emphasis"/>
    <w:basedOn w:val="DefaultParagraphFont"/>
    <w:qFormat/>
    <w:rsid w:val="004526D7"/>
    <w:rPr>
      <w:i/>
      <w:iCs/>
    </w:rPr>
  </w:style>
  <w:style w:type="character" w:styleId="Strong">
    <w:name w:val="Strong"/>
    <w:basedOn w:val="DefaultParagraphFont"/>
    <w:qFormat/>
    <w:rsid w:val="004526D7"/>
    <w:rPr>
      <w:b/>
      <w:bCs/>
    </w:rPr>
  </w:style>
  <w:style w:type="table" w:styleId="TableGrid">
    <w:name w:val="Table Grid"/>
    <w:basedOn w:val="TableNormal"/>
    <w:rsid w:val="008D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D4"/>
    <w:pPr>
      <w:ind w:left="720"/>
      <w:contextualSpacing/>
    </w:pPr>
  </w:style>
  <w:style w:type="paragraph" w:styleId="BalloonText">
    <w:name w:val="Balloon Text"/>
    <w:basedOn w:val="Normal"/>
    <w:link w:val="BalloonTextChar"/>
    <w:rsid w:val="00682F07"/>
    <w:rPr>
      <w:rFonts w:ascii="Tahoma" w:hAnsi="Tahoma" w:cs="Tahoma"/>
      <w:sz w:val="16"/>
      <w:szCs w:val="16"/>
    </w:rPr>
  </w:style>
  <w:style w:type="character" w:customStyle="1" w:styleId="BalloonTextChar">
    <w:name w:val="Balloon Text Char"/>
    <w:basedOn w:val="DefaultParagraphFont"/>
    <w:link w:val="BalloonText"/>
    <w:rsid w:val="00682F07"/>
    <w:rPr>
      <w:rFonts w:ascii="Tahoma" w:hAnsi="Tahoma" w:cs="Tahoma"/>
      <w:sz w:val="16"/>
      <w:szCs w:val="16"/>
    </w:rPr>
  </w:style>
  <w:style w:type="character" w:styleId="CommentReference">
    <w:name w:val="annotation reference"/>
    <w:basedOn w:val="DefaultParagraphFont"/>
    <w:rsid w:val="0089649A"/>
    <w:rPr>
      <w:sz w:val="16"/>
      <w:szCs w:val="16"/>
    </w:rPr>
  </w:style>
  <w:style w:type="paragraph" w:styleId="CommentText">
    <w:name w:val="annotation text"/>
    <w:basedOn w:val="Normal"/>
    <w:link w:val="CommentTextChar"/>
    <w:rsid w:val="0089649A"/>
    <w:rPr>
      <w:sz w:val="20"/>
      <w:szCs w:val="20"/>
    </w:rPr>
  </w:style>
  <w:style w:type="character" w:customStyle="1" w:styleId="CommentTextChar">
    <w:name w:val="Comment Text Char"/>
    <w:basedOn w:val="DefaultParagraphFont"/>
    <w:link w:val="CommentText"/>
    <w:rsid w:val="0089649A"/>
    <w:rPr>
      <w:rFonts w:ascii="Arial" w:hAnsi="Arial"/>
    </w:rPr>
  </w:style>
  <w:style w:type="paragraph" w:styleId="CommentSubject">
    <w:name w:val="annotation subject"/>
    <w:basedOn w:val="CommentText"/>
    <w:next w:val="CommentText"/>
    <w:link w:val="CommentSubjectChar"/>
    <w:rsid w:val="0089649A"/>
    <w:rPr>
      <w:b/>
      <w:bCs/>
    </w:rPr>
  </w:style>
  <w:style w:type="character" w:customStyle="1" w:styleId="CommentSubjectChar">
    <w:name w:val="Comment Subject Char"/>
    <w:basedOn w:val="CommentTextChar"/>
    <w:link w:val="CommentSubject"/>
    <w:rsid w:val="0089649A"/>
    <w:rPr>
      <w:rFonts w:ascii="Arial" w:hAnsi="Arial"/>
      <w:b/>
      <w:bCs/>
    </w:rPr>
  </w:style>
  <w:style w:type="paragraph" w:styleId="Header">
    <w:name w:val="header"/>
    <w:basedOn w:val="Normal"/>
    <w:link w:val="HeaderChar"/>
    <w:rsid w:val="00345FD4"/>
    <w:pPr>
      <w:tabs>
        <w:tab w:val="center" w:pos="4680"/>
        <w:tab w:val="right" w:pos="9360"/>
      </w:tabs>
    </w:pPr>
  </w:style>
  <w:style w:type="character" w:customStyle="1" w:styleId="HeaderChar">
    <w:name w:val="Header Char"/>
    <w:basedOn w:val="DefaultParagraphFont"/>
    <w:link w:val="Header"/>
    <w:rsid w:val="00345FD4"/>
    <w:rPr>
      <w:rFonts w:ascii="Arial" w:hAnsi="Arial"/>
      <w:sz w:val="24"/>
      <w:szCs w:val="24"/>
    </w:rPr>
  </w:style>
  <w:style w:type="paragraph" w:styleId="Footer">
    <w:name w:val="footer"/>
    <w:basedOn w:val="Normal"/>
    <w:link w:val="FooterChar"/>
    <w:rsid w:val="00345FD4"/>
    <w:pPr>
      <w:tabs>
        <w:tab w:val="center" w:pos="4680"/>
        <w:tab w:val="right" w:pos="9360"/>
      </w:tabs>
    </w:pPr>
  </w:style>
  <w:style w:type="character" w:customStyle="1" w:styleId="FooterChar">
    <w:name w:val="Footer Char"/>
    <w:basedOn w:val="DefaultParagraphFont"/>
    <w:link w:val="Footer"/>
    <w:rsid w:val="00345FD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4229">
      <w:bodyDiv w:val="1"/>
      <w:marLeft w:val="0"/>
      <w:marRight w:val="0"/>
      <w:marTop w:val="0"/>
      <w:marBottom w:val="0"/>
      <w:divBdr>
        <w:top w:val="none" w:sz="0" w:space="0" w:color="auto"/>
        <w:left w:val="none" w:sz="0" w:space="0" w:color="auto"/>
        <w:bottom w:val="none" w:sz="0" w:space="0" w:color="auto"/>
        <w:right w:val="none" w:sz="0" w:space="0" w:color="auto"/>
      </w:divBdr>
    </w:div>
    <w:div w:id="1434940807">
      <w:bodyDiv w:val="1"/>
      <w:marLeft w:val="0"/>
      <w:marRight w:val="0"/>
      <w:marTop w:val="0"/>
      <w:marBottom w:val="0"/>
      <w:divBdr>
        <w:top w:val="none" w:sz="0" w:space="0" w:color="auto"/>
        <w:left w:val="none" w:sz="0" w:space="0" w:color="auto"/>
        <w:bottom w:val="none" w:sz="0" w:space="0" w:color="auto"/>
        <w:right w:val="none" w:sz="0" w:space="0" w:color="auto"/>
      </w:divBdr>
    </w:div>
    <w:div w:id="1484810709">
      <w:bodyDiv w:val="1"/>
      <w:marLeft w:val="0"/>
      <w:marRight w:val="0"/>
      <w:marTop w:val="0"/>
      <w:marBottom w:val="0"/>
      <w:divBdr>
        <w:top w:val="none" w:sz="0" w:space="0" w:color="auto"/>
        <w:left w:val="none" w:sz="0" w:space="0" w:color="auto"/>
        <w:bottom w:val="none" w:sz="0" w:space="0" w:color="auto"/>
        <w:right w:val="none" w:sz="0" w:space="0" w:color="auto"/>
      </w:divBdr>
      <w:divsChild>
        <w:div w:id="1676346647">
          <w:marLeft w:val="0"/>
          <w:marRight w:val="0"/>
          <w:marTop w:val="0"/>
          <w:marBottom w:val="0"/>
          <w:divBdr>
            <w:top w:val="none" w:sz="0" w:space="0" w:color="auto"/>
            <w:left w:val="none" w:sz="0" w:space="0" w:color="auto"/>
            <w:bottom w:val="none" w:sz="0" w:space="0" w:color="auto"/>
            <w:right w:val="none" w:sz="0" w:space="0" w:color="auto"/>
          </w:divBdr>
        </w:div>
      </w:divsChild>
    </w:div>
    <w:div w:id="15677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0793717630216"/>
          <c:y val="0.27205956398307357"/>
          <c:w val="0.58797198478532431"/>
          <c:h val="0.64111230994084922"/>
        </c:manualLayout>
      </c:layout>
      <c:pieChart>
        <c:varyColors val="1"/>
        <c:ser>
          <c:idx val="0"/>
          <c:order val="0"/>
          <c:dLbls>
            <c:dLbl>
              <c:idx val="0"/>
              <c:layout>
                <c:manualLayout>
                  <c:x val="-0.12412463180093748"/>
                  <c:y val="0.13960684038206569"/>
                </c:manualLayout>
              </c:layout>
              <c:tx>
                <c:rich>
                  <a:bodyPr/>
                  <a:lstStyle/>
                  <a:p>
                    <a:r>
                      <a:rPr lang="en-US"/>
                      <a:t>Wastewater</a:t>
                    </a:r>
                    <a:r>
                      <a:rPr lang="en-US" baseline="0"/>
                      <a:t> South</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09B-4BC1-AE75-2F0AF49BFF84}"/>
                </c:ext>
              </c:extLst>
            </c:dLbl>
            <c:dLbl>
              <c:idx val="1"/>
              <c:layout/>
              <c:tx>
                <c:rich>
                  <a:bodyPr/>
                  <a:lstStyle/>
                  <a:p>
                    <a:r>
                      <a:rPr lang="en-US"/>
                      <a:t>Enrollee</a:t>
                    </a:r>
                    <a:r>
                      <a:rPr lang="en-US" baseline="0"/>
                      <a:t> WDR South</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09B-4BC1-AE75-2F0AF49BFF84}"/>
                </c:ext>
              </c:extLst>
            </c:dLbl>
            <c:dLbl>
              <c:idx val="2"/>
              <c:layout>
                <c:manualLayout>
                  <c:x val="7.2425938349634553E-2"/>
                  <c:y val="-0.11177204688650975"/>
                </c:manualLayout>
              </c:layout>
              <c:tx>
                <c:rich>
                  <a:bodyPr/>
                  <a:lstStyle/>
                  <a:p>
                    <a:r>
                      <a:rPr lang="en-US"/>
                      <a:t>Wastewater</a:t>
                    </a:r>
                  </a:p>
                  <a:p>
                    <a:r>
                      <a:rPr lang="en-US" baseline="0"/>
                      <a:t>North</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09B-4BC1-AE75-2F0AF49BFF84}"/>
                </c:ext>
              </c:extLst>
            </c:dLbl>
            <c:dLbl>
              <c:idx val="3"/>
              <c:layout/>
              <c:tx>
                <c:rich>
                  <a:bodyPr/>
                  <a:lstStyle/>
                  <a:p>
                    <a:r>
                      <a:rPr lang="en-US"/>
                      <a:t>Enrollee</a:t>
                    </a:r>
                    <a:r>
                      <a:rPr lang="en-US" baseline="0"/>
                      <a:t> WDR North</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09B-4BC1-AE75-2F0AF49BFF8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'Regulatory Measures south'!$N$2:$N$5</c:f>
              <c:strCache>
                <c:ptCount val="4"/>
                <c:pt idx="0">
                  <c:v>Wastewater South</c:v>
                </c:pt>
                <c:pt idx="1">
                  <c:v>WDR Enrollee South</c:v>
                </c:pt>
                <c:pt idx="2">
                  <c:v>Wastewater North </c:v>
                </c:pt>
                <c:pt idx="3">
                  <c:v>WDR Enrollee North</c:v>
                </c:pt>
              </c:strCache>
            </c:strRef>
          </c:cat>
          <c:val>
            <c:numRef>
              <c:f>'Regulatory Measures south'!$O$2:$O$5</c:f>
              <c:numCache>
                <c:formatCode>General</c:formatCode>
                <c:ptCount val="4"/>
                <c:pt idx="0">
                  <c:v>63</c:v>
                </c:pt>
                <c:pt idx="1">
                  <c:v>100</c:v>
                </c:pt>
                <c:pt idx="2">
                  <c:v>28</c:v>
                </c:pt>
                <c:pt idx="3">
                  <c:v>99</c:v>
                </c:pt>
              </c:numCache>
            </c:numRef>
          </c:val>
          <c:extLst>
            <c:ext xmlns:c16="http://schemas.microsoft.com/office/drawing/2014/chart" uri="{C3380CC4-5D6E-409C-BE32-E72D297353CC}">
              <c16:uniqueId val="{00000004-009B-4BC1-AE75-2F0AF49BFF84}"/>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w="0">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Staff</a:t>
            </a:r>
            <a:r>
              <a:rPr lang="en-US" baseline="0"/>
              <a:t> Activities</a:t>
            </a:r>
            <a:endParaRPr lang="en-US"/>
          </a:p>
        </c:rich>
      </c:tx>
      <c:layout/>
      <c:overlay val="0"/>
    </c:title>
    <c:autoTitleDeleted val="0"/>
    <c:plotArea>
      <c:layout>
        <c:manualLayout>
          <c:layoutTarget val="inner"/>
          <c:xMode val="edge"/>
          <c:yMode val="edge"/>
          <c:x val="0.21103651106111737"/>
          <c:y val="0.19935667763751752"/>
          <c:w val="0.5556058422384702"/>
          <c:h val="0.65849581302337212"/>
        </c:manualLayout>
      </c:layout>
      <c:pieChart>
        <c:varyColors val="1"/>
        <c:ser>
          <c:idx val="0"/>
          <c:order val="0"/>
          <c:dLbls>
            <c:dLbl>
              <c:idx val="3"/>
              <c:layout>
                <c:manualLayout>
                  <c:x val="2.545583070232163E-2"/>
                  <c:y val="0.16162396136946969"/>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D061-44D6-B09D-D7CEA347D1BE}"/>
                </c:ext>
              </c:extLst>
            </c:dLbl>
            <c:dLbl>
              <c:idx val="4"/>
              <c:layout/>
              <c:tx>
                <c:rich>
                  <a:bodyPr/>
                  <a:lstStyle/>
                  <a:p>
                    <a:r>
                      <a:rPr lang="en-US"/>
                      <a:t>Enforce-ment
18%</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061-44D6-B09D-D7CEA347D1BE}"/>
                </c:ext>
              </c:extLst>
            </c:dLbl>
            <c:dLbl>
              <c:idx val="5"/>
              <c:layout>
                <c:manualLayout>
                  <c:x val="-0.15483535572546187"/>
                  <c:y val="-0.1299263351749539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D061-44D6-B09D-D7CEA347D1BE}"/>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Sheet1!$B$5:$B$11</c:f>
              <c:strCache>
                <c:ptCount val="7"/>
                <c:pt idx="0">
                  <c:v>Permitting</c:v>
                </c:pt>
                <c:pt idx="1">
                  <c:v>Inspecting</c:v>
                </c:pt>
                <c:pt idx="2">
                  <c:v>Preparing CEQA Docs</c:v>
                </c:pt>
                <c:pt idx="3">
                  <c:v>Reviewing SMRs</c:v>
                </c:pt>
                <c:pt idx="4">
                  <c:v>Enforcement</c:v>
                </c:pt>
                <c:pt idx="5">
                  <c:v>Data entry, case handling, other</c:v>
                </c:pt>
                <c:pt idx="6">
                  <c:v>Special Projects- LAMPS</c:v>
                </c:pt>
              </c:strCache>
            </c:strRef>
          </c:cat>
          <c:val>
            <c:numRef>
              <c:f>Sheet1!$C$5:$C$11</c:f>
              <c:numCache>
                <c:formatCode>0.00</c:formatCode>
                <c:ptCount val="7"/>
                <c:pt idx="0">
                  <c:v>9.3892593892593898E-2</c:v>
                </c:pt>
                <c:pt idx="1">
                  <c:v>4.3290043290043288E-2</c:v>
                </c:pt>
                <c:pt idx="2">
                  <c:v>5.4112554112554112E-2</c:v>
                </c:pt>
                <c:pt idx="3">
                  <c:v>8.7750087750087746E-2</c:v>
                </c:pt>
                <c:pt idx="4">
                  <c:v>0.18</c:v>
                </c:pt>
                <c:pt idx="5">
                  <c:v>0.2</c:v>
                </c:pt>
                <c:pt idx="6">
                  <c:v>0.32337662337662337</c:v>
                </c:pt>
              </c:numCache>
            </c:numRef>
          </c:val>
          <c:extLst>
            <c:ext xmlns:c16="http://schemas.microsoft.com/office/drawing/2014/chart" uri="{C3380CC4-5D6E-409C-BE32-E72D297353CC}">
              <c16:uniqueId val="{00000003-D061-44D6-B09D-D7CEA347D1BE}"/>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0.30934</cdr:x>
      <cdr:y>0.06136</cdr:y>
    </cdr:from>
    <cdr:to>
      <cdr:x>0.75855</cdr:x>
      <cdr:y>0.24886</cdr:y>
    </cdr:to>
    <cdr:sp macro="" textlink="">
      <cdr:nvSpPr>
        <cdr:cNvPr id="4" name="TextBox 3"/>
        <cdr:cNvSpPr txBox="1"/>
      </cdr:nvSpPr>
      <cdr:spPr>
        <a:xfrm xmlns:a="http://schemas.openxmlformats.org/drawingml/2006/main">
          <a:off x="1103156" y="195908"/>
          <a:ext cx="1601955" cy="5986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800" b="1"/>
            <a:t>Type</a:t>
          </a:r>
          <a:r>
            <a:rPr lang="en-US" sz="1800" b="1" baseline="0"/>
            <a:t> of Permits</a:t>
          </a:r>
        </a:p>
        <a:p xmlns:a="http://schemas.openxmlformats.org/drawingml/2006/main">
          <a:endParaRPr lang="en-US" sz="14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F543-7E41-4AF6-AE12-D67A99C2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Shay</dc:creator>
  <cp:lastModifiedBy>Cass, Jehiel@Waterboards</cp:lastModifiedBy>
  <cp:revision>2</cp:revision>
  <cp:lastPrinted>2017-02-21T23:30:00Z</cp:lastPrinted>
  <dcterms:created xsi:type="dcterms:W3CDTF">2018-03-22T00:00:00Z</dcterms:created>
  <dcterms:modified xsi:type="dcterms:W3CDTF">2018-03-22T00:00:00Z</dcterms:modified>
</cp:coreProperties>
</file>