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E9C20" w14:textId="345A740A" w:rsidR="003668CB" w:rsidRPr="004B34D1" w:rsidRDefault="003668CB" w:rsidP="003668CB">
      <w:pPr>
        <w:rPr>
          <w:rFonts w:cs="Arial"/>
          <w:sz w:val="24"/>
          <w:szCs w:val="24"/>
        </w:rPr>
      </w:pPr>
      <w:r w:rsidRPr="004B34D1">
        <w:rPr>
          <w:rFonts w:cs="Arial"/>
          <w:sz w:val="24"/>
          <w:szCs w:val="24"/>
        </w:rPr>
        <w:t xml:space="preserve">The following changes are proposed for </w:t>
      </w:r>
      <w:r w:rsidRPr="00416E2F">
        <w:rPr>
          <w:rFonts w:cs="Arial"/>
          <w:sz w:val="24"/>
          <w:szCs w:val="24"/>
        </w:rPr>
        <w:t xml:space="preserve">the </w:t>
      </w:r>
      <w:r w:rsidR="00F316DD">
        <w:rPr>
          <w:sz w:val="24"/>
          <w:szCs w:val="24"/>
        </w:rPr>
        <w:t>Draft Fund Expenditure Plan for the Safe and Affordable Drink</w:t>
      </w:r>
      <w:r w:rsidR="00F316DD" w:rsidRPr="00C33263">
        <w:rPr>
          <w:sz w:val="24"/>
          <w:szCs w:val="24"/>
        </w:rPr>
        <w:t>ing Water Fund</w:t>
      </w:r>
      <w:r w:rsidR="00416E2F" w:rsidRPr="00C33263">
        <w:rPr>
          <w:rFonts w:cs="Arial"/>
          <w:sz w:val="24"/>
          <w:szCs w:val="24"/>
        </w:rPr>
        <w:t xml:space="preserve">. </w:t>
      </w:r>
      <w:r w:rsidR="003731AF">
        <w:rPr>
          <w:rFonts w:cs="Arial"/>
          <w:sz w:val="24"/>
          <w:szCs w:val="24"/>
        </w:rPr>
        <w:t xml:space="preserve"> </w:t>
      </w:r>
      <w:bookmarkStart w:id="0" w:name="_GoBack"/>
      <w:bookmarkEnd w:id="0"/>
      <w:r w:rsidR="00B60150" w:rsidRPr="00C33263">
        <w:rPr>
          <w:rFonts w:cs="Arial"/>
          <w:sz w:val="24"/>
          <w:szCs w:val="24"/>
        </w:rPr>
        <w:t>These changes address comments received during the public comment period and editorial corrections</w:t>
      </w:r>
      <w:r w:rsidR="00416E2F" w:rsidRPr="00C33263">
        <w:rPr>
          <w:rFonts w:cs="Arial"/>
          <w:sz w:val="24"/>
          <w:szCs w:val="24"/>
        </w:rPr>
        <w:t xml:space="preserve">. </w:t>
      </w:r>
      <w:r w:rsidR="00560B47" w:rsidRPr="004B34D1">
        <w:rPr>
          <w:rFonts w:cs="Arial"/>
          <w:sz w:val="24"/>
          <w:szCs w:val="24"/>
        </w:rPr>
        <w:t xml:space="preserve">Text with </w:t>
      </w:r>
      <w:r w:rsidR="00560B47" w:rsidRPr="004B34D1">
        <w:rPr>
          <w:rFonts w:cs="Arial"/>
          <w:color w:val="FF0000"/>
          <w:sz w:val="24"/>
          <w:szCs w:val="24"/>
          <w:u w:val="single"/>
        </w:rPr>
        <w:t>red underline</w:t>
      </w:r>
      <w:r w:rsidR="00560B47" w:rsidRPr="004B34D1">
        <w:rPr>
          <w:rFonts w:cs="Arial"/>
          <w:sz w:val="24"/>
          <w:szCs w:val="24"/>
        </w:rPr>
        <w:t xml:space="preserve"> is</w:t>
      </w:r>
      <w:r w:rsidR="00560B47" w:rsidRPr="004B34D1">
        <w:rPr>
          <w:rFonts w:cs="Arial"/>
          <w:color w:val="auto"/>
          <w:sz w:val="24"/>
          <w:szCs w:val="24"/>
        </w:rPr>
        <w:t xml:space="preserve"> an addition to existing language while text with </w:t>
      </w:r>
      <w:r w:rsidR="00560B47" w:rsidRPr="004B34D1">
        <w:rPr>
          <w:rFonts w:cs="Arial"/>
          <w:b/>
          <w:bCs w:val="0"/>
          <w:strike/>
          <w:color w:val="auto"/>
          <w:sz w:val="24"/>
          <w:szCs w:val="24"/>
        </w:rPr>
        <w:t>strikethrough</w:t>
      </w:r>
      <w:r w:rsidR="00560B47" w:rsidRPr="004B34D1">
        <w:rPr>
          <w:rFonts w:cs="Arial"/>
          <w:color w:val="auto"/>
          <w:sz w:val="24"/>
          <w:szCs w:val="24"/>
        </w:rPr>
        <w:t xml:space="preserve"> indicates the removal of the language from the </w:t>
      </w:r>
      <w:r w:rsidR="00560B47">
        <w:rPr>
          <w:rFonts w:cs="Arial"/>
          <w:color w:val="auto"/>
          <w:sz w:val="24"/>
          <w:szCs w:val="24"/>
        </w:rPr>
        <w:t xml:space="preserve">text or appendices. </w:t>
      </w:r>
      <w:r w:rsidR="00560B47">
        <w:rPr>
          <w:rFonts w:cs="Arial"/>
          <w:sz w:val="24"/>
          <w:szCs w:val="24"/>
        </w:rPr>
        <w:t>Other c</w:t>
      </w:r>
      <w:r w:rsidR="00B60150" w:rsidRPr="004B34D1">
        <w:rPr>
          <w:rFonts w:cs="Arial"/>
          <w:color w:val="auto"/>
          <w:sz w:val="24"/>
          <w:szCs w:val="24"/>
        </w:rPr>
        <w:t xml:space="preserve">hanges are </w:t>
      </w:r>
      <w:r w:rsidR="00560B47">
        <w:rPr>
          <w:rFonts w:cs="Arial"/>
          <w:color w:val="auto"/>
          <w:sz w:val="24"/>
          <w:szCs w:val="24"/>
        </w:rPr>
        <w:t xml:space="preserve">as </w:t>
      </w:r>
      <w:r w:rsidR="00B60150" w:rsidRPr="004B34D1">
        <w:rPr>
          <w:rFonts w:cs="Arial"/>
          <w:color w:val="auto"/>
          <w:sz w:val="24"/>
          <w:szCs w:val="24"/>
        </w:rPr>
        <w:t>described</w:t>
      </w:r>
      <w:r w:rsidR="00C33263">
        <w:rPr>
          <w:rFonts w:cs="Arial"/>
          <w:color w:val="auto"/>
          <w:sz w:val="24"/>
          <w:szCs w:val="24"/>
        </w:rPr>
        <w:t>.</w:t>
      </w:r>
    </w:p>
    <w:p w14:paraId="3AABDA87" w14:textId="097FA20F" w:rsidR="00F316DD" w:rsidRDefault="00F316DD" w:rsidP="00416E2F">
      <w:pPr>
        <w:spacing w:before="240"/>
        <w:rPr>
          <w:rFonts w:cs="Arial"/>
          <w:b/>
          <w:sz w:val="24"/>
          <w:szCs w:val="24"/>
        </w:rPr>
      </w:pPr>
      <w:r w:rsidRPr="00F316DD">
        <w:rPr>
          <w:rFonts w:cs="Arial"/>
          <w:b/>
          <w:sz w:val="24"/>
          <w:szCs w:val="24"/>
        </w:rPr>
        <w:t>Draft Fund Expenditure Plan for the Safe and Affordable Drinking Water Fund</w:t>
      </w:r>
      <w:r>
        <w:rPr>
          <w:rFonts w:cs="Arial"/>
          <w:b/>
          <w:sz w:val="24"/>
          <w:szCs w:val="24"/>
        </w:rPr>
        <w:t xml:space="preserve"> Text</w:t>
      </w:r>
    </w:p>
    <w:p w14:paraId="7E8FEBA7" w14:textId="7B40F892" w:rsidR="00F316DD" w:rsidRDefault="003668CB" w:rsidP="00416E2F">
      <w:pPr>
        <w:spacing w:before="240"/>
        <w:rPr>
          <w:rFonts w:cs="Arial"/>
          <w:b/>
          <w:sz w:val="24"/>
          <w:szCs w:val="24"/>
        </w:rPr>
      </w:pPr>
      <w:r w:rsidRPr="004B34D1">
        <w:rPr>
          <w:rFonts w:cs="Arial"/>
          <w:b/>
          <w:sz w:val="24"/>
          <w:szCs w:val="24"/>
        </w:rPr>
        <w:t>Change</w:t>
      </w:r>
      <w:r w:rsidR="00C33263">
        <w:rPr>
          <w:rFonts w:cs="Arial"/>
          <w:b/>
          <w:sz w:val="24"/>
          <w:szCs w:val="24"/>
        </w:rPr>
        <w:t xml:space="preserve">s:  </w:t>
      </w:r>
      <w:r w:rsidR="00C33263" w:rsidRPr="00C33263">
        <w:rPr>
          <w:rFonts w:cs="Arial"/>
          <w:bCs w:val="0"/>
          <w:sz w:val="24"/>
          <w:szCs w:val="24"/>
        </w:rPr>
        <w:t xml:space="preserve">All changes to </w:t>
      </w:r>
      <w:r w:rsidR="00560B47">
        <w:rPr>
          <w:rFonts w:cs="Arial"/>
          <w:bCs w:val="0"/>
          <w:sz w:val="24"/>
          <w:szCs w:val="24"/>
        </w:rPr>
        <w:t xml:space="preserve">the </w:t>
      </w:r>
      <w:r w:rsidR="00C33263" w:rsidRPr="00C33263">
        <w:rPr>
          <w:rFonts w:cs="Arial"/>
          <w:bCs w:val="0"/>
          <w:sz w:val="24"/>
          <w:szCs w:val="24"/>
        </w:rPr>
        <w:t>text are provided in the Revised Draft Fund Expenditure Plan for the Safe and Affordable Drinking Water Fund,</w:t>
      </w:r>
      <w:r w:rsidR="00560B47">
        <w:rPr>
          <w:rFonts w:cs="Arial"/>
          <w:bCs w:val="0"/>
          <w:sz w:val="24"/>
          <w:szCs w:val="24"/>
        </w:rPr>
        <w:t xml:space="preserve"> as strikethrough,</w:t>
      </w:r>
      <w:r w:rsidR="00C33263" w:rsidRPr="00C33263">
        <w:rPr>
          <w:rFonts w:cs="Arial"/>
          <w:bCs w:val="0"/>
          <w:sz w:val="24"/>
          <w:szCs w:val="24"/>
        </w:rPr>
        <w:t xml:space="preserve"> posted on </w:t>
      </w:r>
      <w:r w:rsidR="00E07D76">
        <w:rPr>
          <w:rFonts w:cs="Arial"/>
          <w:bCs w:val="0"/>
          <w:sz w:val="24"/>
          <w:szCs w:val="24"/>
        </w:rPr>
        <w:t>07/06/20</w:t>
      </w:r>
      <w:r w:rsidR="00C33263" w:rsidRPr="00C33263">
        <w:rPr>
          <w:rFonts w:cs="Arial"/>
          <w:bCs w:val="0"/>
          <w:sz w:val="24"/>
          <w:szCs w:val="24"/>
        </w:rPr>
        <w:t xml:space="preserve">.  </w:t>
      </w:r>
      <w:r w:rsidR="00C33263">
        <w:rPr>
          <w:rFonts w:cs="Arial"/>
          <w:bCs w:val="0"/>
          <w:sz w:val="24"/>
          <w:szCs w:val="24"/>
        </w:rPr>
        <w:t xml:space="preserve">A detailed Response to Comments Table was also posted on </w:t>
      </w:r>
      <w:r w:rsidR="00E07D76">
        <w:rPr>
          <w:rFonts w:cs="Arial"/>
          <w:bCs w:val="0"/>
          <w:sz w:val="24"/>
          <w:szCs w:val="24"/>
        </w:rPr>
        <w:t>07/06/20</w:t>
      </w:r>
      <w:r w:rsidR="00C33263">
        <w:rPr>
          <w:rFonts w:cs="Arial"/>
          <w:bCs w:val="0"/>
          <w:sz w:val="24"/>
          <w:szCs w:val="24"/>
        </w:rPr>
        <w:t>.</w:t>
      </w:r>
    </w:p>
    <w:p w14:paraId="116C6D3F" w14:textId="118CDEF7" w:rsidR="00F316DD" w:rsidRDefault="00F316DD" w:rsidP="00416E2F">
      <w:pPr>
        <w:spacing w:before="240"/>
        <w:rPr>
          <w:rFonts w:cs="Arial"/>
          <w:b/>
          <w:sz w:val="24"/>
          <w:szCs w:val="24"/>
        </w:rPr>
      </w:pPr>
      <w:r w:rsidRPr="00F316DD">
        <w:rPr>
          <w:rFonts w:cs="Arial"/>
          <w:b/>
          <w:sz w:val="24"/>
          <w:szCs w:val="24"/>
        </w:rPr>
        <w:t>Draft Fund Expenditure Plan for the Safe and Affordable Drinking Water Fund</w:t>
      </w:r>
      <w:r>
        <w:rPr>
          <w:rFonts w:cs="Arial"/>
          <w:b/>
          <w:sz w:val="24"/>
          <w:szCs w:val="24"/>
        </w:rPr>
        <w:t xml:space="preserve"> Appendices</w:t>
      </w:r>
    </w:p>
    <w:p w14:paraId="64526F1D" w14:textId="4E3BD2AA" w:rsidR="00F316DD" w:rsidRDefault="00F316DD" w:rsidP="00416E2F">
      <w:pPr>
        <w:spacing w:before="24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Change 1: </w:t>
      </w:r>
      <w:r w:rsidR="00560B47">
        <w:rPr>
          <w:rFonts w:cs="Arial"/>
          <w:b/>
          <w:sz w:val="24"/>
          <w:szCs w:val="24"/>
        </w:rPr>
        <w:t>Appendix A, Table A-1, pages 1-</w:t>
      </w:r>
      <w:r w:rsidR="00D268CE">
        <w:rPr>
          <w:rFonts w:cs="Arial"/>
          <w:b/>
          <w:sz w:val="24"/>
          <w:szCs w:val="24"/>
        </w:rPr>
        <w:t>11</w:t>
      </w:r>
      <w:r w:rsidR="00560B47">
        <w:rPr>
          <w:rFonts w:cs="Arial"/>
          <w:b/>
          <w:sz w:val="24"/>
          <w:szCs w:val="24"/>
        </w:rPr>
        <w:t>, revised as follows:</w:t>
      </w:r>
    </w:p>
    <w:p w14:paraId="2FA910C6" w14:textId="3E3D7BE6" w:rsidR="00560B47" w:rsidRPr="005C5975" w:rsidRDefault="005C5975" w:rsidP="005C5975">
      <w:pPr>
        <w:spacing w:before="240"/>
        <w:rPr>
          <w:rFonts w:cs="Arial"/>
          <w:bCs w:val="0"/>
          <w:sz w:val="24"/>
          <w:szCs w:val="24"/>
        </w:rPr>
      </w:pPr>
      <w:r w:rsidRPr="005C5975">
        <w:rPr>
          <w:rFonts w:cs="Arial"/>
          <w:bCs w:val="0"/>
          <w:sz w:val="24"/>
          <w:szCs w:val="24"/>
        </w:rPr>
        <w:t>Title</w:t>
      </w:r>
      <w:r w:rsidR="00560B47" w:rsidRPr="005C5975">
        <w:rPr>
          <w:rFonts w:cs="Arial"/>
          <w:bCs w:val="0"/>
          <w:sz w:val="24"/>
          <w:szCs w:val="24"/>
        </w:rPr>
        <w:t xml:space="preserve"> change to Table A-1. </w:t>
      </w:r>
      <w:r w:rsidR="00560B47" w:rsidRPr="005C5975">
        <w:rPr>
          <w:rFonts w:cs="Arial"/>
          <w:bCs w:val="0"/>
          <w:color w:val="FF0000"/>
          <w:sz w:val="24"/>
          <w:szCs w:val="24"/>
          <w:u w:val="single"/>
        </w:rPr>
        <w:t xml:space="preserve">Community Water Systems Serving Disadvantaged Communities with Water Rates Greater than 1.5 Percent of the Median Household </w:t>
      </w:r>
      <w:proofErr w:type="gramStart"/>
      <w:r w:rsidR="00560B47" w:rsidRPr="005C5975">
        <w:rPr>
          <w:rFonts w:cs="Arial"/>
          <w:bCs w:val="0"/>
          <w:color w:val="FF0000"/>
          <w:sz w:val="24"/>
          <w:szCs w:val="24"/>
          <w:u w:val="single"/>
        </w:rPr>
        <w:t xml:space="preserve">Income </w:t>
      </w:r>
      <w:r w:rsidR="00560B47" w:rsidRPr="005C5975">
        <w:rPr>
          <w:rFonts w:cs="Arial"/>
          <w:bCs w:val="0"/>
          <w:sz w:val="24"/>
          <w:szCs w:val="24"/>
        </w:rPr>
        <w:t xml:space="preserve"> </w:t>
      </w:r>
      <w:r w:rsidR="00560B47" w:rsidRPr="005C5975">
        <w:rPr>
          <w:rFonts w:cs="Arial"/>
          <w:b/>
          <w:strike/>
          <w:sz w:val="24"/>
          <w:szCs w:val="24"/>
        </w:rPr>
        <w:t>Summary</w:t>
      </w:r>
      <w:proofErr w:type="gramEnd"/>
      <w:r w:rsidR="00560B47" w:rsidRPr="005C5975">
        <w:rPr>
          <w:rFonts w:cs="Arial"/>
          <w:b/>
          <w:strike/>
          <w:sz w:val="24"/>
          <w:szCs w:val="24"/>
        </w:rPr>
        <w:t xml:space="preserve"> of Disadvantaged Water Systems with Water Rates Greater than 1.5 Percent of Median Household Income</w:t>
      </w:r>
      <w:r w:rsidRPr="005C5975">
        <w:rPr>
          <w:rFonts w:cs="Arial"/>
          <w:b/>
          <w:strike/>
          <w:sz w:val="24"/>
          <w:szCs w:val="24"/>
        </w:rPr>
        <w:t>.</w:t>
      </w:r>
    </w:p>
    <w:p w14:paraId="465E12A7" w14:textId="67613C18" w:rsidR="005C5975" w:rsidRDefault="005C5975" w:rsidP="005C5975">
      <w:pPr>
        <w:spacing w:before="24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Change 2: Appendix A, Table A-1, pages 1-</w:t>
      </w:r>
      <w:r w:rsidR="00D268CE">
        <w:rPr>
          <w:rFonts w:cs="Arial"/>
          <w:b/>
          <w:sz w:val="24"/>
          <w:szCs w:val="24"/>
        </w:rPr>
        <w:t>11</w:t>
      </w:r>
      <w:r>
        <w:rPr>
          <w:rFonts w:cs="Arial"/>
          <w:b/>
          <w:sz w:val="24"/>
          <w:szCs w:val="24"/>
        </w:rPr>
        <w:t>, revised as follows:</w:t>
      </w:r>
    </w:p>
    <w:p w14:paraId="75CB01EF" w14:textId="0A1A2129" w:rsidR="00560B47" w:rsidRPr="005C5975" w:rsidRDefault="00560B47" w:rsidP="005C5975">
      <w:pPr>
        <w:spacing w:before="240"/>
        <w:rPr>
          <w:rFonts w:cs="Arial"/>
          <w:bCs w:val="0"/>
          <w:sz w:val="24"/>
          <w:szCs w:val="24"/>
        </w:rPr>
      </w:pPr>
      <w:r w:rsidRPr="005C5975">
        <w:rPr>
          <w:rFonts w:cs="Arial"/>
          <w:bCs w:val="0"/>
          <w:sz w:val="24"/>
          <w:szCs w:val="24"/>
        </w:rPr>
        <w:t xml:space="preserve">Columns added with information on Yearly Rates, Median Household Income (MHI), </w:t>
      </w:r>
      <w:r w:rsidR="00E07D76">
        <w:rPr>
          <w:rFonts w:cs="Arial"/>
          <w:bCs w:val="0"/>
          <w:sz w:val="24"/>
          <w:szCs w:val="24"/>
        </w:rPr>
        <w:br/>
      </w:r>
      <w:r w:rsidRPr="005C5975">
        <w:rPr>
          <w:rFonts w:cs="Arial"/>
          <w:bCs w:val="0"/>
          <w:sz w:val="24"/>
          <w:szCs w:val="24"/>
        </w:rPr>
        <w:t>%MHI, %MHI above 2.5%</w:t>
      </w:r>
      <w:r w:rsidR="00E07759">
        <w:rPr>
          <w:rFonts w:cs="Arial"/>
          <w:bCs w:val="0"/>
          <w:sz w:val="24"/>
          <w:szCs w:val="24"/>
        </w:rPr>
        <w:t>.</w:t>
      </w:r>
    </w:p>
    <w:p w14:paraId="73F1E614" w14:textId="0E7BBA90" w:rsidR="005C5975" w:rsidRDefault="005C5975" w:rsidP="005C5975">
      <w:pPr>
        <w:spacing w:before="24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Change 3: Appendix A, Table A-1, pages 1-</w:t>
      </w:r>
      <w:r w:rsidR="00D268CE">
        <w:rPr>
          <w:rFonts w:cs="Arial"/>
          <w:b/>
          <w:sz w:val="24"/>
          <w:szCs w:val="24"/>
        </w:rPr>
        <w:t>11</w:t>
      </w:r>
      <w:r>
        <w:rPr>
          <w:rFonts w:cs="Arial"/>
          <w:b/>
          <w:sz w:val="24"/>
          <w:szCs w:val="24"/>
        </w:rPr>
        <w:t>, revised as follows:</w:t>
      </w:r>
    </w:p>
    <w:p w14:paraId="3CEE9FF4" w14:textId="506F773D" w:rsidR="00560B47" w:rsidRPr="005C5975" w:rsidRDefault="00560B47" w:rsidP="005C5975">
      <w:pPr>
        <w:spacing w:before="240"/>
        <w:rPr>
          <w:rFonts w:cs="Arial"/>
          <w:bCs w:val="0"/>
          <w:sz w:val="24"/>
          <w:szCs w:val="24"/>
        </w:rPr>
      </w:pPr>
      <w:r w:rsidRPr="005C5975">
        <w:rPr>
          <w:rFonts w:cs="Arial"/>
          <w:bCs w:val="0"/>
          <w:sz w:val="24"/>
          <w:szCs w:val="24"/>
        </w:rPr>
        <w:t>Blue shading added to all systems with % MHIs above 2.5% of the statewide MHI</w:t>
      </w:r>
      <w:r w:rsidR="005C5975" w:rsidRPr="005C5975">
        <w:rPr>
          <w:rFonts w:cs="Arial"/>
          <w:bCs w:val="0"/>
          <w:sz w:val="24"/>
          <w:szCs w:val="24"/>
        </w:rPr>
        <w:t>.</w:t>
      </w:r>
    </w:p>
    <w:p w14:paraId="7240E587" w14:textId="136DDAC0" w:rsidR="00560B47" w:rsidRDefault="005C5975" w:rsidP="00416E2F">
      <w:pPr>
        <w:spacing w:before="24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Change 4: </w:t>
      </w:r>
      <w:r w:rsidRPr="005C5975">
        <w:rPr>
          <w:rFonts w:cs="Arial"/>
          <w:b/>
          <w:sz w:val="24"/>
          <w:szCs w:val="24"/>
        </w:rPr>
        <w:t>Appendix A, Table A-</w:t>
      </w:r>
      <w:r>
        <w:rPr>
          <w:rFonts w:cs="Arial"/>
          <w:b/>
          <w:sz w:val="24"/>
          <w:szCs w:val="24"/>
        </w:rPr>
        <w:t>2</w:t>
      </w:r>
      <w:r w:rsidRPr="005C5975">
        <w:rPr>
          <w:rFonts w:cs="Arial"/>
          <w:b/>
          <w:sz w:val="24"/>
          <w:szCs w:val="24"/>
        </w:rPr>
        <w:t xml:space="preserve">, pages </w:t>
      </w:r>
      <w:r w:rsidR="00D268CE">
        <w:rPr>
          <w:rFonts w:cs="Arial"/>
          <w:b/>
          <w:sz w:val="24"/>
          <w:szCs w:val="24"/>
        </w:rPr>
        <w:t>12</w:t>
      </w:r>
      <w:r w:rsidRPr="005C5975">
        <w:rPr>
          <w:rFonts w:cs="Arial"/>
          <w:b/>
          <w:sz w:val="24"/>
          <w:szCs w:val="24"/>
        </w:rPr>
        <w:t>-</w:t>
      </w:r>
      <w:r w:rsidR="00D268CE">
        <w:rPr>
          <w:rFonts w:cs="Arial"/>
          <w:b/>
          <w:sz w:val="24"/>
          <w:szCs w:val="24"/>
        </w:rPr>
        <w:t>49</w:t>
      </w:r>
      <w:r w:rsidRPr="005C5975">
        <w:rPr>
          <w:rFonts w:cs="Arial"/>
          <w:b/>
          <w:sz w:val="24"/>
          <w:szCs w:val="24"/>
        </w:rPr>
        <w:t>, revised as follows:</w:t>
      </w:r>
    </w:p>
    <w:p w14:paraId="37552875" w14:textId="0606802F" w:rsidR="005C5975" w:rsidRPr="005C5975" w:rsidRDefault="005C5975" w:rsidP="005C5975">
      <w:pPr>
        <w:spacing w:before="240"/>
        <w:rPr>
          <w:rFonts w:cs="Arial"/>
          <w:bCs w:val="0"/>
          <w:sz w:val="24"/>
          <w:szCs w:val="24"/>
        </w:rPr>
      </w:pPr>
      <w:r w:rsidRPr="005C5975">
        <w:rPr>
          <w:rFonts w:cs="Arial"/>
          <w:bCs w:val="0"/>
          <w:sz w:val="24"/>
          <w:szCs w:val="24"/>
        </w:rPr>
        <w:t xml:space="preserve">Title change to Table A-2. </w:t>
      </w:r>
      <w:r w:rsidRPr="005C5975">
        <w:rPr>
          <w:rFonts w:cs="Arial"/>
          <w:bCs w:val="0"/>
          <w:color w:val="FF0000"/>
          <w:sz w:val="24"/>
          <w:szCs w:val="24"/>
          <w:u w:val="single"/>
        </w:rPr>
        <w:t>Community Water Systems with Insufficient Data to Compare to the Affordability Threshold</w:t>
      </w:r>
      <w:r w:rsidRPr="005C5975">
        <w:rPr>
          <w:rFonts w:cs="Arial"/>
          <w:bCs w:val="0"/>
          <w:sz w:val="24"/>
          <w:szCs w:val="24"/>
        </w:rPr>
        <w:t xml:space="preserve"> </w:t>
      </w:r>
      <w:r w:rsidR="00435F7B" w:rsidRPr="00435F7B">
        <w:rPr>
          <w:rFonts w:cs="Arial"/>
          <w:b/>
          <w:strike/>
          <w:sz w:val="24"/>
          <w:szCs w:val="24"/>
        </w:rPr>
        <w:t>Summary of Water Systems with Inadequate Data</w:t>
      </w:r>
      <w:r w:rsidR="00435F7B">
        <w:rPr>
          <w:rFonts w:cs="Arial"/>
          <w:b/>
          <w:strike/>
          <w:sz w:val="24"/>
          <w:szCs w:val="24"/>
        </w:rPr>
        <w:t xml:space="preserve"> </w:t>
      </w:r>
    </w:p>
    <w:p w14:paraId="23104820" w14:textId="6B71D4FB" w:rsidR="00560B47" w:rsidRDefault="005C5975" w:rsidP="00416E2F">
      <w:pPr>
        <w:spacing w:before="24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Change 5: </w:t>
      </w:r>
      <w:r w:rsidRPr="005C5975">
        <w:rPr>
          <w:rFonts w:cs="Arial"/>
          <w:b/>
          <w:sz w:val="24"/>
          <w:szCs w:val="24"/>
        </w:rPr>
        <w:t xml:space="preserve">Appendix </w:t>
      </w:r>
      <w:r>
        <w:rPr>
          <w:rFonts w:cs="Arial"/>
          <w:b/>
          <w:sz w:val="24"/>
          <w:szCs w:val="24"/>
        </w:rPr>
        <w:t>C</w:t>
      </w:r>
      <w:r w:rsidRPr="005C5975">
        <w:rPr>
          <w:rFonts w:cs="Arial"/>
          <w:b/>
          <w:sz w:val="24"/>
          <w:szCs w:val="24"/>
        </w:rPr>
        <w:t xml:space="preserve">, pages </w:t>
      </w:r>
      <w:r>
        <w:rPr>
          <w:rFonts w:cs="Arial"/>
          <w:b/>
          <w:sz w:val="24"/>
          <w:szCs w:val="24"/>
        </w:rPr>
        <w:t>5</w:t>
      </w:r>
      <w:r w:rsidR="00D268CE">
        <w:rPr>
          <w:rFonts w:cs="Arial"/>
          <w:b/>
          <w:sz w:val="24"/>
          <w:szCs w:val="24"/>
        </w:rPr>
        <w:t>4</w:t>
      </w:r>
      <w:r w:rsidRPr="005C5975">
        <w:rPr>
          <w:rFonts w:cs="Arial"/>
          <w:b/>
          <w:sz w:val="24"/>
          <w:szCs w:val="24"/>
        </w:rPr>
        <w:t>-</w:t>
      </w:r>
      <w:r w:rsidR="00D268CE">
        <w:rPr>
          <w:rFonts w:cs="Arial"/>
          <w:b/>
          <w:sz w:val="24"/>
          <w:szCs w:val="24"/>
        </w:rPr>
        <w:t>66</w:t>
      </w:r>
      <w:r w:rsidRPr="005C5975">
        <w:rPr>
          <w:rFonts w:cs="Arial"/>
          <w:b/>
          <w:sz w:val="24"/>
          <w:szCs w:val="24"/>
        </w:rPr>
        <w:t>, revised as follows:</w:t>
      </w:r>
    </w:p>
    <w:p w14:paraId="70785603" w14:textId="1525FC9D" w:rsidR="00E07D76" w:rsidRDefault="00D20AE4" w:rsidP="00E07D76">
      <w:pPr>
        <w:spacing w:before="240"/>
        <w:rPr>
          <w:rFonts w:cs="Arial"/>
          <w:b/>
          <w:sz w:val="24"/>
          <w:szCs w:val="24"/>
        </w:rPr>
      </w:pPr>
      <w:r w:rsidRPr="005C5975">
        <w:rPr>
          <w:rFonts w:cs="Arial"/>
          <w:bCs w:val="0"/>
          <w:sz w:val="24"/>
          <w:szCs w:val="24"/>
        </w:rPr>
        <w:t>Title change to</w:t>
      </w:r>
      <w:r>
        <w:rPr>
          <w:rFonts w:cs="Arial"/>
          <w:bCs w:val="0"/>
          <w:sz w:val="24"/>
          <w:szCs w:val="24"/>
        </w:rPr>
        <w:t xml:space="preserve"> </w:t>
      </w:r>
      <w:r w:rsidR="00F77BFF">
        <w:rPr>
          <w:rFonts w:cs="Arial"/>
          <w:bCs w:val="0"/>
          <w:sz w:val="24"/>
          <w:szCs w:val="24"/>
        </w:rPr>
        <w:t xml:space="preserve">Appendix C. </w:t>
      </w:r>
      <w:r w:rsidRPr="00D20AE4">
        <w:rPr>
          <w:rFonts w:cs="Arial"/>
          <w:bCs w:val="0"/>
          <w:sz w:val="24"/>
          <w:szCs w:val="24"/>
        </w:rPr>
        <w:t xml:space="preserve">SAFER Program Encumbrances for FY 2019-20 </w:t>
      </w:r>
      <w:r w:rsidR="00E07D76">
        <w:rPr>
          <w:rFonts w:cs="Arial"/>
          <w:bCs w:val="0"/>
          <w:sz w:val="24"/>
          <w:szCs w:val="24"/>
        </w:rPr>
        <w:br/>
      </w:r>
      <w:r w:rsidRPr="00076894">
        <w:rPr>
          <w:rFonts w:cs="Arial"/>
          <w:bCs w:val="0"/>
          <w:color w:val="FF0000"/>
          <w:sz w:val="24"/>
          <w:szCs w:val="24"/>
          <w:u w:val="single"/>
        </w:rPr>
        <w:t>(as of Ju</w:t>
      </w:r>
      <w:r w:rsidR="00E07D76">
        <w:rPr>
          <w:rFonts w:cs="Arial"/>
          <w:bCs w:val="0"/>
          <w:color w:val="FF0000"/>
          <w:sz w:val="24"/>
          <w:szCs w:val="24"/>
          <w:u w:val="single"/>
        </w:rPr>
        <w:t xml:space="preserve">ly 3, </w:t>
      </w:r>
      <w:r w:rsidRPr="00076894">
        <w:rPr>
          <w:rFonts w:cs="Arial"/>
          <w:bCs w:val="0"/>
          <w:color w:val="FF0000"/>
          <w:sz w:val="24"/>
          <w:szCs w:val="24"/>
          <w:u w:val="single"/>
        </w:rPr>
        <w:t>2020)</w:t>
      </w:r>
      <w:r>
        <w:rPr>
          <w:rFonts w:cs="Arial"/>
          <w:bCs w:val="0"/>
          <w:sz w:val="24"/>
          <w:szCs w:val="24"/>
        </w:rPr>
        <w:t xml:space="preserve"> </w:t>
      </w:r>
      <w:r w:rsidRPr="00D20AE4">
        <w:rPr>
          <w:rFonts w:cs="Arial"/>
          <w:b/>
          <w:strike/>
          <w:sz w:val="24"/>
          <w:szCs w:val="24"/>
        </w:rPr>
        <w:t>(as of May 2020)</w:t>
      </w:r>
      <w:r>
        <w:rPr>
          <w:rFonts w:cs="Arial"/>
          <w:bCs w:val="0"/>
          <w:sz w:val="24"/>
          <w:szCs w:val="24"/>
        </w:rPr>
        <w:t xml:space="preserve"> and general update of figures based on most up to date encumbrance information.</w:t>
      </w:r>
      <w:r w:rsidR="00E07D76">
        <w:rPr>
          <w:rFonts w:cs="Arial"/>
          <w:b/>
          <w:sz w:val="24"/>
          <w:szCs w:val="24"/>
        </w:rPr>
        <w:br w:type="page"/>
      </w:r>
    </w:p>
    <w:p w14:paraId="31E5E8A6" w14:textId="4FD31924" w:rsidR="00D20AE4" w:rsidRDefault="00D20AE4" w:rsidP="00416E2F">
      <w:pPr>
        <w:spacing w:before="24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Change 5: </w:t>
      </w:r>
      <w:r w:rsidRPr="005C5975">
        <w:rPr>
          <w:rFonts w:cs="Arial"/>
          <w:b/>
          <w:sz w:val="24"/>
          <w:szCs w:val="24"/>
        </w:rPr>
        <w:t xml:space="preserve">Appendix </w:t>
      </w:r>
      <w:r>
        <w:rPr>
          <w:rFonts w:cs="Arial"/>
          <w:b/>
          <w:sz w:val="24"/>
          <w:szCs w:val="24"/>
        </w:rPr>
        <w:t>C</w:t>
      </w:r>
      <w:r w:rsidRPr="005C5975">
        <w:rPr>
          <w:rFonts w:cs="Arial"/>
          <w:b/>
          <w:sz w:val="24"/>
          <w:szCs w:val="24"/>
        </w:rPr>
        <w:t xml:space="preserve">, pages </w:t>
      </w:r>
      <w:r>
        <w:rPr>
          <w:rFonts w:cs="Arial"/>
          <w:b/>
          <w:sz w:val="24"/>
          <w:szCs w:val="24"/>
        </w:rPr>
        <w:t>5</w:t>
      </w:r>
      <w:r w:rsidR="00D268CE">
        <w:rPr>
          <w:rFonts w:cs="Arial"/>
          <w:b/>
          <w:sz w:val="24"/>
          <w:szCs w:val="24"/>
        </w:rPr>
        <w:t>4</w:t>
      </w:r>
      <w:r w:rsidRPr="005C5975">
        <w:rPr>
          <w:rFonts w:cs="Arial"/>
          <w:b/>
          <w:sz w:val="24"/>
          <w:szCs w:val="24"/>
        </w:rPr>
        <w:t>-</w:t>
      </w:r>
      <w:r w:rsidR="00D268CE">
        <w:rPr>
          <w:rFonts w:cs="Arial"/>
          <w:b/>
          <w:sz w:val="24"/>
          <w:szCs w:val="24"/>
        </w:rPr>
        <w:t>66</w:t>
      </w:r>
      <w:r w:rsidRPr="005C5975">
        <w:rPr>
          <w:rFonts w:cs="Arial"/>
          <w:b/>
          <w:sz w:val="24"/>
          <w:szCs w:val="24"/>
        </w:rPr>
        <w:t>, revised as follows:</w:t>
      </w:r>
    </w:p>
    <w:p w14:paraId="317D3CAF" w14:textId="0E3E68BA" w:rsidR="00D20AE4" w:rsidRDefault="00F77BFF" w:rsidP="00416E2F">
      <w:pPr>
        <w:spacing w:before="240"/>
        <w:rPr>
          <w:rFonts w:cs="Arial"/>
          <w:bCs w:val="0"/>
          <w:color w:val="FF0000"/>
          <w:sz w:val="24"/>
          <w:szCs w:val="24"/>
          <w:u w:val="single"/>
        </w:rPr>
      </w:pPr>
      <w:r w:rsidRPr="00F77BFF">
        <w:rPr>
          <w:rFonts w:cs="Arial"/>
          <w:bCs w:val="0"/>
          <w:sz w:val="24"/>
          <w:szCs w:val="24"/>
        </w:rPr>
        <w:t xml:space="preserve">Added asterisks to Funding Source column values if project was funded by the Greenhouse Gas Reduction Fund (GGRF) portion of the FY 2019-20 appropriation for the Safe and Affordable Drinking Water Fund with note added to bottom of table: </w:t>
      </w:r>
      <w:r w:rsidRPr="00F77BFF">
        <w:rPr>
          <w:rFonts w:cs="Arial"/>
          <w:bCs w:val="0"/>
          <w:color w:val="FF0000"/>
          <w:sz w:val="24"/>
          <w:szCs w:val="24"/>
          <w:u w:val="single"/>
        </w:rPr>
        <w:t>*Project received funding from the Greenhouse Gas Reduction Fund (GGRF).</w:t>
      </w:r>
    </w:p>
    <w:p w14:paraId="641947DF" w14:textId="62020ECA" w:rsidR="00F77BFF" w:rsidRDefault="00F77BFF" w:rsidP="00F77BFF">
      <w:pPr>
        <w:spacing w:before="24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Change 6: </w:t>
      </w:r>
      <w:r w:rsidRPr="005C5975">
        <w:rPr>
          <w:rFonts w:cs="Arial"/>
          <w:b/>
          <w:sz w:val="24"/>
          <w:szCs w:val="24"/>
        </w:rPr>
        <w:t xml:space="preserve">Appendix </w:t>
      </w:r>
      <w:r>
        <w:rPr>
          <w:rFonts w:cs="Arial"/>
          <w:b/>
          <w:sz w:val="24"/>
          <w:szCs w:val="24"/>
        </w:rPr>
        <w:t>D</w:t>
      </w:r>
      <w:r w:rsidRPr="005C5975">
        <w:rPr>
          <w:rFonts w:cs="Arial"/>
          <w:b/>
          <w:sz w:val="24"/>
          <w:szCs w:val="24"/>
        </w:rPr>
        <w:t xml:space="preserve">, pages </w:t>
      </w:r>
      <w:r w:rsidR="00D268CE">
        <w:rPr>
          <w:rFonts w:cs="Arial"/>
          <w:b/>
          <w:sz w:val="24"/>
          <w:szCs w:val="24"/>
        </w:rPr>
        <w:t>67</w:t>
      </w:r>
      <w:r w:rsidRPr="005C5975">
        <w:rPr>
          <w:rFonts w:cs="Arial"/>
          <w:b/>
          <w:sz w:val="24"/>
          <w:szCs w:val="24"/>
        </w:rPr>
        <w:t>-</w:t>
      </w:r>
      <w:r w:rsidR="00D268CE">
        <w:rPr>
          <w:rFonts w:cs="Arial"/>
          <w:b/>
          <w:sz w:val="24"/>
          <w:szCs w:val="24"/>
        </w:rPr>
        <w:t>70</w:t>
      </w:r>
      <w:r w:rsidRPr="005C5975">
        <w:rPr>
          <w:rFonts w:cs="Arial"/>
          <w:b/>
          <w:sz w:val="24"/>
          <w:szCs w:val="24"/>
        </w:rPr>
        <w:t>, revised as follows:</w:t>
      </w:r>
    </w:p>
    <w:p w14:paraId="0B4470DB" w14:textId="12118303" w:rsidR="00F77BFF" w:rsidRDefault="00F77BFF" w:rsidP="00416E2F">
      <w:pPr>
        <w:spacing w:before="240"/>
        <w:rPr>
          <w:rFonts w:cs="Arial"/>
          <w:b/>
          <w:strike/>
          <w:sz w:val="24"/>
          <w:szCs w:val="24"/>
        </w:rPr>
      </w:pPr>
      <w:bookmarkStart w:id="1" w:name="_Hlk44323696"/>
      <w:r w:rsidRPr="005C5975">
        <w:rPr>
          <w:rFonts w:cs="Arial"/>
          <w:bCs w:val="0"/>
          <w:sz w:val="24"/>
          <w:szCs w:val="24"/>
        </w:rPr>
        <w:t>Title change to</w:t>
      </w:r>
      <w:r>
        <w:rPr>
          <w:rFonts w:cs="Arial"/>
          <w:bCs w:val="0"/>
          <w:sz w:val="24"/>
          <w:szCs w:val="24"/>
        </w:rPr>
        <w:t xml:space="preserve"> Appendix D. </w:t>
      </w:r>
      <w:r w:rsidRPr="00F77BFF">
        <w:rPr>
          <w:rFonts w:cs="Arial"/>
          <w:bCs w:val="0"/>
          <w:sz w:val="24"/>
          <w:szCs w:val="24"/>
        </w:rPr>
        <w:t>SAFER Program General Fund Appropriations</w:t>
      </w:r>
      <w:bookmarkEnd w:id="1"/>
      <w:r w:rsidRPr="00D20AE4">
        <w:rPr>
          <w:rFonts w:cs="Arial"/>
          <w:bCs w:val="0"/>
          <w:sz w:val="24"/>
          <w:szCs w:val="24"/>
        </w:rPr>
        <w:t xml:space="preserve"> </w:t>
      </w:r>
      <w:r w:rsidR="00E07D76">
        <w:rPr>
          <w:rFonts w:cs="Arial"/>
          <w:bCs w:val="0"/>
          <w:sz w:val="24"/>
          <w:szCs w:val="24"/>
        </w:rPr>
        <w:br/>
      </w:r>
      <w:r w:rsidRPr="00076894">
        <w:rPr>
          <w:rFonts w:cs="Arial"/>
          <w:bCs w:val="0"/>
          <w:color w:val="FF0000"/>
          <w:sz w:val="24"/>
          <w:szCs w:val="24"/>
          <w:u w:val="single"/>
        </w:rPr>
        <w:t>(as of Ju</w:t>
      </w:r>
      <w:r w:rsidR="00E07D76">
        <w:rPr>
          <w:rFonts w:cs="Arial"/>
          <w:bCs w:val="0"/>
          <w:color w:val="FF0000"/>
          <w:sz w:val="24"/>
          <w:szCs w:val="24"/>
          <w:u w:val="single"/>
        </w:rPr>
        <w:t>ly 3,</w:t>
      </w:r>
      <w:r w:rsidRPr="00076894">
        <w:rPr>
          <w:rFonts w:cs="Arial"/>
          <w:bCs w:val="0"/>
          <w:color w:val="FF0000"/>
          <w:sz w:val="24"/>
          <w:szCs w:val="24"/>
          <w:u w:val="single"/>
        </w:rPr>
        <w:t xml:space="preserve"> 2020)</w:t>
      </w:r>
      <w:r>
        <w:rPr>
          <w:rFonts w:cs="Arial"/>
          <w:bCs w:val="0"/>
          <w:sz w:val="24"/>
          <w:szCs w:val="24"/>
        </w:rPr>
        <w:t xml:space="preserve"> </w:t>
      </w:r>
      <w:r w:rsidRPr="00D20AE4">
        <w:rPr>
          <w:rFonts w:cs="Arial"/>
          <w:b/>
          <w:strike/>
          <w:sz w:val="24"/>
          <w:szCs w:val="24"/>
        </w:rPr>
        <w:t>(as of May 2020)</w:t>
      </w:r>
      <w:r>
        <w:rPr>
          <w:rFonts w:cs="Arial"/>
          <w:b/>
          <w:strike/>
          <w:sz w:val="24"/>
          <w:szCs w:val="24"/>
        </w:rPr>
        <w:t>.</w:t>
      </w:r>
    </w:p>
    <w:p w14:paraId="07E3F883" w14:textId="5E692665" w:rsidR="00F77BFF" w:rsidRDefault="00F77BFF" w:rsidP="00416E2F">
      <w:pPr>
        <w:spacing w:before="24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Change 7: </w:t>
      </w:r>
      <w:r w:rsidRPr="005C5975">
        <w:rPr>
          <w:rFonts w:cs="Arial"/>
          <w:b/>
          <w:sz w:val="24"/>
          <w:szCs w:val="24"/>
        </w:rPr>
        <w:t xml:space="preserve">Appendix </w:t>
      </w:r>
      <w:r>
        <w:rPr>
          <w:rFonts w:cs="Arial"/>
          <w:b/>
          <w:sz w:val="24"/>
          <w:szCs w:val="24"/>
        </w:rPr>
        <w:t>E</w:t>
      </w:r>
      <w:r w:rsidRPr="005C5975">
        <w:rPr>
          <w:rFonts w:cs="Arial"/>
          <w:b/>
          <w:sz w:val="24"/>
          <w:szCs w:val="24"/>
        </w:rPr>
        <w:t xml:space="preserve">, pages </w:t>
      </w:r>
      <w:r w:rsidR="00D268CE">
        <w:rPr>
          <w:rFonts w:cs="Arial"/>
          <w:b/>
          <w:sz w:val="24"/>
          <w:szCs w:val="24"/>
        </w:rPr>
        <w:t>71</w:t>
      </w:r>
      <w:r w:rsidRPr="005C5975">
        <w:rPr>
          <w:rFonts w:cs="Arial"/>
          <w:b/>
          <w:sz w:val="24"/>
          <w:szCs w:val="24"/>
        </w:rPr>
        <w:t>-</w:t>
      </w:r>
      <w:r w:rsidR="00D268CE">
        <w:rPr>
          <w:rFonts w:cs="Arial"/>
          <w:b/>
          <w:sz w:val="24"/>
          <w:szCs w:val="24"/>
        </w:rPr>
        <w:t>81</w:t>
      </w:r>
      <w:r w:rsidRPr="005C5975">
        <w:rPr>
          <w:rFonts w:cs="Arial"/>
          <w:b/>
          <w:sz w:val="24"/>
          <w:szCs w:val="24"/>
        </w:rPr>
        <w:t>, revised as follows:</w:t>
      </w:r>
    </w:p>
    <w:p w14:paraId="2ADEA41D" w14:textId="44020A56" w:rsidR="00F77BFF" w:rsidRDefault="00F77BFF" w:rsidP="00416E2F">
      <w:pPr>
        <w:spacing w:before="240"/>
        <w:rPr>
          <w:rFonts w:cs="Arial"/>
          <w:bCs w:val="0"/>
          <w:sz w:val="24"/>
          <w:szCs w:val="24"/>
        </w:rPr>
      </w:pPr>
      <w:r>
        <w:rPr>
          <w:rFonts w:cs="Arial"/>
          <w:bCs w:val="0"/>
          <w:sz w:val="24"/>
          <w:szCs w:val="24"/>
        </w:rPr>
        <w:t xml:space="preserve">General update of system information based on </w:t>
      </w:r>
      <w:r w:rsidR="00BA0805">
        <w:rPr>
          <w:rFonts w:cs="Arial"/>
          <w:bCs w:val="0"/>
          <w:sz w:val="24"/>
          <w:szCs w:val="24"/>
        </w:rPr>
        <w:t xml:space="preserve">the </w:t>
      </w:r>
      <w:r>
        <w:rPr>
          <w:rFonts w:cs="Arial"/>
          <w:bCs w:val="0"/>
          <w:sz w:val="24"/>
          <w:szCs w:val="24"/>
        </w:rPr>
        <w:t xml:space="preserve">most </w:t>
      </w:r>
      <w:r w:rsidR="00BA0805">
        <w:rPr>
          <w:rFonts w:cs="Arial"/>
          <w:bCs w:val="0"/>
          <w:sz w:val="24"/>
          <w:szCs w:val="24"/>
        </w:rPr>
        <w:t>recent</w:t>
      </w:r>
      <w:r>
        <w:rPr>
          <w:rFonts w:cs="Arial"/>
          <w:bCs w:val="0"/>
          <w:sz w:val="24"/>
          <w:szCs w:val="24"/>
        </w:rPr>
        <w:t xml:space="preserve"> data available</w:t>
      </w:r>
      <w:r w:rsidR="00BA0805">
        <w:rPr>
          <w:rFonts w:cs="Arial"/>
          <w:bCs w:val="0"/>
          <w:sz w:val="24"/>
          <w:szCs w:val="24"/>
        </w:rPr>
        <w:t xml:space="preserve"> at the time of the revision</w:t>
      </w:r>
      <w:r>
        <w:rPr>
          <w:rFonts w:cs="Arial"/>
          <w:bCs w:val="0"/>
          <w:sz w:val="24"/>
          <w:szCs w:val="24"/>
        </w:rPr>
        <w:t>.</w:t>
      </w:r>
      <w:r w:rsidR="00BA0805">
        <w:rPr>
          <w:rFonts w:cs="Arial"/>
          <w:bCs w:val="0"/>
          <w:sz w:val="24"/>
          <w:szCs w:val="24"/>
        </w:rPr>
        <w:t xml:space="preserve">  A strikethrough version of </w:t>
      </w:r>
      <w:r w:rsidR="00C2197C">
        <w:rPr>
          <w:rFonts w:cs="Arial"/>
          <w:bCs w:val="0"/>
          <w:sz w:val="24"/>
          <w:szCs w:val="24"/>
        </w:rPr>
        <w:t xml:space="preserve">the </w:t>
      </w:r>
      <w:r w:rsidR="00BA0805">
        <w:rPr>
          <w:rFonts w:cs="Arial"/>
          <w:bCs w:val="0"/>
          <w:sz w:val="24"/>
          <w:szCs w:val="24"/>
        </w:rPr>
        <w:t>Appendi</w:t>
      </w:r>
      <w:r w:rsidR="00C2197C">
        <w:rPr>
          <w:rFonts w:cs="Arial"/>
          <w:bCs w:val="0"/>
          <w:sz w:val="24"/>
          <w:szCs w:val="24"/>
        </w:rPr>
        <w:t xml:space="preserve">ces </w:t>
      </w:r>
      <w:r w:rsidR="00BA0805">
        <w:rPr>
          <w:rFonts w:cs="Arial"/>
          <w:bCs w:val="0"/>
          <w:sz w:val="24"/>
          <w:szCs w:val="24"/>
        </w:rPr>
        <w:t>was posted on</w:t>
      </w:r>
      <w:r>
        <w:rPr>
          <w:rFonts w:cs="Arial"/>
          <w:bCs w:val="0"/>
          <w:sz w:val="24"/>
          <w:szCs w:val="24"/>
        </w:rPr>
        <w:t xml:space="preserve"> </w:t>
      </w:r>
      <w:r w:rsidR="00E07D76">
        <w:rPr>
          <w:rFonts w:cs="Arial"/>
          <w:bCs w:val="0"/>
          <w:sz w:val="24"/>
          <w:szCs w:val="24"/>
        </w:rPr>
        <w:t>07/06/20</w:t>
      </w:r>
      <w:r w:rsidR="00BA0805">
        <w:rPr>
          <w:rFonts w:cs="Arial"/>
          <w:bCs w:val="0"/>
          <w:sz w:val="24"/>
          <w:szCs w:val="24"/>
        </w:rPr>
        <w:t>.</w:t>
      </w:r>
      <w:r>
        <w:rPr>
          <w:rFonts w:cs="Arial"/>
          <w:bCs w:val="0"/>
          <w:sz w:val="24"/>
          <w:szCs w:val="24"/>
        </w:rPr>
        <w:t xml:space="preserve"> </w:t>
      </w:r>
    </w:p>
    <w:p w14:paraId="2DA62213" w14:textId="7A430EAD" w:rsidR="007C01EA" w:rsidRDefault="007C01EA" w:rsidP="007C01EA">
      <w:pPr>
        <w:spacing w:before="24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Change 8: </w:t>
      </w:r>
      <w:r w:rsidRPr="005C5975">
        <w:rPr>
          <w:rFonts w:cs="Arial"/>
          <w:b/>
          <w:sz w:val="24"/>
          <w:szCs w:val="24"/>
        </w:rPr>
        <w:t xml:space="preserve">Appendix </w:t>
      </w:r>
      <w:r>
        <w:rPr>
          <w:rFonts w:cs="Arial"/>
          <w:b/>
          <w:sz w:val="24"/>
          <w:szCs w:val="24"/>
        </w:rPr>
        <w:t>F</w:t>
      </w:r>
      <w:r w:rsidRPr="005C5975">
        <w:rPr>
          <w:rFonts w:cs="Arial"/>
          <w:b/>
          <w:sz w:val="24"/>
          <w:szCs w:val="24"/>
        </w:rPr>
        <w:t xml:space="preserve">, pages </w:t>
      </w:r>
      <w:r w:rsidR="00D268CE">
        <w:rPr>
          <w:rFonts w:cs="Arial"/>
          <w:b/>
          <w:sz w:val="24"/>
          <w:szCs w:val="24"/>
        </w:rPr>
        <w:t>82</w:t>
      </w:r>
      <w:r w:rsidRPr="005C5975">
        <w:rPr>
          <w:rFonts w:cs="Arial"/>
          <w:b/>
          <w:sz w:val="24"/>
          <w:szCs w:val="24"/>
        </w:rPr>
        <w:t>-</w:t>
      </w:r>
      <w:r w:rsidR="00D268CE">
        <w:rPr>
          <w:rFonts w:cs="Arial"/>
          <w:b/>
          <w:sz w:val="24"/>
          <w:szCs w:val="24"/>
        </w:rPr>
        <w:t>93</w:t>
      </w:r>
      <w:r w:rsidRPr="005C5975">
        <w:rPr>
          <w:rFonts w:cs="Arial"/>
          <w:b/>
          <w:sz w:val="24"/>
          <w:szCs w:val="24"/>
        </w:rPr>
        <w:t>, revised as follows:</w:t>
      </w:r>
    </w:p>
    <w:p w14:paraId="6BCD75FD" w14:textId="359DE81A" w:rsidR="007C01EA" w:rsidRDefault="00076894" w:rsidP="007C01EA">
      <w:pPr>
        <w:spacing w:before="240"/>
        <w:rPr>
          <w:rFonts w:cs="Arial"/>
          <w:bCs w:val="0"/>
          <w:sz w:val="24"/>
          <w:szCs w:val="24"/>
        </w:rPr>
      </w:pPr>
      <w:r w:rsidRPr="00076894">
        <w:rPr>
          <w:rFonts w:cs="Arial"/>
          <w:bCs w:val="0"/>
          <w:sz w:val="24"/>
          <w:szCs w:val="24"/>
        </w:rPr>
        <w:t xml:space="preserve">Title change to Appendix </w:t>
      </w:r>
      <w:r>
        <w:rPr>
          <w:rFonts w:cs="Arial"/>
          <w:bCs w:val="0"/>
          <w:sz w:val="24"/>
          <w:szCs w:val="24"/>
        </w:rPr>
        <w:t>F</w:t>
      </w:r>
      <w:r w:rsidRPr="00076894">
        <w:rPr>
          <w:rFonts w:cs="Arial"/>
          <w:bCs w:val="0"/>
          <w:sz w:val="24"/>
          <w:szCs w:val="24"/>
        </w:rPr>
        <w:t xml:space="preserve">. FY 2020-21 Funding Solution List for </w:t>
      </w:r>
      <w:r w:rsidRPr="00076894">
        <w:rPr>
          <w:rFonts w:cs="Arial"/>
          <w:bCs w:val="0"/>
          <w:color w:val="FF0000"/>
          <w:sz w:val="24"/>
          <w:szCs w:val="24"/>
          <w:u w:val="single"/>
        </w:rPr>
        <w:t>Potential</w:t>
      </w:r>
      <w:r w:rsidRPr="00076894">
        <w:rPr>
          <w:rFonts w:cs="Arial"/>
          <w:bCs w:val="0"/>
          <w:sz w:val="24"/>
          <w:szCs w:val="24"/>
        </w:rPr>
        <w:t xml:space="preserve"> At-Risk Systems</w:t>
      </w:r>
      <w:r>
        <w:rPr>
          <w:rFonts w:cs="Arial"/>
          <w:bCs w:val="0"/>
          <w:sz w:val="24"/>
          <w:szCs w:val="24"/>
        </w:rPr>
        <w:t>.</w:t>
      </w:r>
    </w:p>
    <w:p w14:paraId="5B851D97" w14:textId="15D900B9" w:rsidR="007C01EA" w:rsidRDefault="007C01EA" w:rsidP="007C01EA">
      <w:pPr>
        <w:spacing w:before="24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Change </w:t>
      </w:r>
      <w:r w:rsidR="00076894">
        <w:rPr>
          <w:rFonts w:cs="Arial"/>
          <w:b/>
          <w:sz w:val="24"/>
          <w:szCs w:val="24"/>
        </w:rPr>
        <w:t>9</w:t>
      </w:r>
      <w:r>
        <w:rPr>
          <w:rFonts w:cs="Arial"/>
          <w:b/>
          <w:sz w:val="24"/>
          <w:szCs w:val="24"/>
        </w:rPr>
        <w:t xml:space="preserve">: </w:t>
      </w:r>
      <w:r w:rsidRPr="005C5975">
        <w:rPr>
          <w:rFonts w:cs="Arial"/>
          <w:b/>
          <w:sz w:val="24"/>
          <w:szCs w:val="24"/>
        </w:rPr>
        <w:t xml:space="preserve">Appendix </w:t>
      </w:r>
      <w:r>
        <w:rPr>
          <w:rFonts w:cs="Arial"/>
          <w:b/>
          <w:sz w:val="24"/>
          <w:szCs w:val="24"/>
        </w:rPr>
        <w:t>F</w:t>
      </w:r>
      <w:r w:rsidRPr="005C5975">
        <w:rPr>
          <w:rFonts w:cs="Arial"/>
          <w:b/>
          <w:sz w:val="24"/>
          <w:szCs w:val="24"/>
        </w:rPr>
        <w:t xml:space="preserve">, pages </w:t>
      </w:r>
      <w:r w:rsidR="00D268CE">
        <w:rPr>
          <w:rFonts w:cs="Arial"/>
          <w:b/>
          <w:sz w:val="24"/>
          <w:szCs w:val="24"/>
        </w:rPr>
        <w:t>82</w:t>
      </w:r>
      <w:r w:rsidR="00C939F5" w:rsidRPr="005C5975">
        <w:rPr>
          <w:rFonts w:cs="Arial"/>
          <w:b/>
          <w:sz w:val="24"/>
          <w:szCs w:val="24"/>
        </w:rPr>
        <w:t>-</w:t>
      </w:r>
      <w:r w:rsidR="00D268CE">
        <w:rPr>
          <w:rFonts w:cs="Arial"/>
          <w:b/>
          <w:sz w:val="24"/>
          <w:szCs w:val="24"/>
        </w:rPr>
        <w:t>93</w:t>
      </w:r>
      <w:r w:rsidRPr="005C5975">
        <w:rPr>
          <w:rFonts w:cs="Arial"/>
          <w:b/>
          <w:sz w:val="24"/>
          <w:szCs w:val="24"/>
        </w:rPr>
        <w:t>, revised as follows:</w:t>
      </w:r>
    </w:p>
    <w:p w14:paraId="5975F510" w14:textId="36423E26" w:rsidR="007C01EA" w:rsidRPr="00F77BFF" w:rsidRDefault="007C01EA" w:rsidP="007C01EA">
      <w:pPr>
        <w:spacing w:before="240"/>
        <w:rPr>
          <w:rFonts w:cs="Arial"/>
          <w:bCs w:val="0"/>
          <w:color w:val="auto"/>
          <w:sz w:val="24"/>
          <w:szCs w:val="24"/>
        </w:rPr>
      </w:pPr>
      <w:r>
        <w:rPr>
          <w:rFonts w:cs="Arial"/>
          <w:bCs w:val="0"/>
          <w:sz w:val="24"/>
          <w:szCs w:val="24"/>
        </w:rPr>
        <w:t xml:space="preserve">General update of system information based on </w:t>
      </w:r>
      <w:r w:rsidR="00BA0805">
        <w:rPr>
          <w:rFonts w:cs="Arial"/>
          <w:bCs w:val="0"/>
          <w:sz w:val="24"/>
          <w:szCs w:val="24"/>
        </w:rPr>
        <w:t xml:space="preserve">the </w:t>
      </w:r>
      <w:r>
        <w:rPr>
          <w:rFonts w:cs="Arial"/>
          <w:bCs w:val="0"/>
          <w:sz w:val="24"/>
          <w:szCs w:val="24"/>
        </w:rPr>
        <w:t xml:space="preserve">most </w:t>
      </w:r>
      <w:r w:rsidR="00BA0805">
        <w:rPr>
          <w:rFonts w:cs="Arial"/>
          <w:bCs w:val="0"/>
          <w:sz w:val="24"/>
          <w:szCs w:val="24"/>
        </w:rPr>
        <w:t>recent</w:t>
      </w:r>
      <w:r>
        <w:rPr>
          <w:rFonts w:cs="Arial"/>
          <w:bCs w:val="0"/>
          <w:sz w:val="24"/>
          <w:szCs w:val="24"/>
        </w:rPr>
        <w:t xml:space="preserve"> data available</w:t>
      </w:r>
      <w:r w:rsidR="00BA0805">
        <w:rPr>
          <w:rFonts w:cs="Arial"/>
          <w:bCs w:val="0"/>
          <w:sz w:val="24"/>
          <w:szCs w:val="24"/>
        </w:rPr>
        <w:t xml:space="preserve"> at the time of the revision</w:t>
      </w:r>
      <w:r w:rsidR="00D81502">
        <w:rPr>
          <w:rFonts w:cs="Arial"/>
          <w:bCs w:val="0"/>
          <w:sz w:val="24"/>
          <w:szCs w:val="24"/>
        </w:rPr>
        <w:t xml:space="preserve"> including refinement of the systems exceeding the previously adopted hexavalent chromium maximum contaminant level and removal of unnecessary duplicates between Appendices E and F</w:t>
      </w:r>
      <w:r>
        <w:rPr>
          <w:rFonts w:cs="Arial"/>
          <w:bCs w:val="0"/>
          <w:sz w:val="24"/>
          <w:szCs w:val="24"/>
        </w:rPr>
        <w:t>.</w:t>
      </w:r>
      <w:r w:rsidR="00BA0805">
        <w:rPr>
          <w:rFonts w:cs="Arial"/>
          <w:bCs w:val="0"/>
          <w:sz w:val="24"/>
          <w:szCs w:val="24"/>
        </w:rPr>
        <w:t xml:space="preserve">  A strikethrough version of </w:t>
      </w:r>
      <w:r w:rsidR="00C2197C">
        <w:rPr>
          <w:rFonts w:cs="Arial"/>
          <w:bCs w:val="0"/>
          <w:sz w:val="24"/>
          <w:szCs w:val="24"/>
        </w:rPr>
        <w:t xml:space="preserve">the </w:t>
      </w:r>
      <w:r w:rsidR="00BA0805">
        <w:rPr>
          <w:rFonts w:cs="Arial"/>
          <w:bCs w:val="0"/>
          <w:sz w:val="24"/>
          <w:szCs w:val="24"/>
        </w:rPr>
        <w:t>Appendi</w:t>
      </w:r>
      <w:r w:rsidR="00C2197C">
        <w:rPr>
          <w:rFonts w:cs="Arial"/>
          <w:bCs w:val="0"/>
          <w:sz w:val="24"/>
          <w:szCs w:val="24"/>
        </w:rPr>
        <w:t xml:space="preserve">ces </w:t>
      </w:r>
      <w:r w:rsidR="00BA0805">
        <w:rPr>
          <w:rFonts w:cs="Arial"/>
          <w:bCs w:val="0"/>
          <w:sz w:val="24"/>
          <w:szCs w:val="24"/>
        </w:rPr>
        <w:t xml:space="preserve">was posted on </w:t>
      </w:r>
      <w:r w:rsidR="00E07D76">
        <w:rPr>
          <w:rFonts w:cs="Arial"/>
          <w:bCs w:val="0"/>
          <w:sz w:val="24"/>
          <w:szCs w:val="24"/>
        </w:rPr>
        <w:t>07/06/20</w:t>
      </w:r>
      <w:r w:rsidR="00BA0805">
        <w:rPr>
          <w:rFonts w:cs="Arial"/>
          <w:bCs w:val="0"/>
          <w:sz w:val="24"/>
          <w:szCs w:val="24"/>
        </w:rPr>
        <w:t>.</w:t>
      </w:r>
    </w:p>
    <w:p w14:paraId="7EB62B40" w14:textId="77777777" w:rsidR="007C01EA" w:rsidRPr="00F77BFF" w:rsidRDefault="007C01EA" w:rsidP="00416E2F">
      <w:pPr>
        <w:spacing w:before="240"/>
        <w:rPr>
          <w:rFonts w:cs="Arial"/>
          <w:bCs w:val="0"/>
          <w:color w:val="auto"/>
          <w:sz w:val="24"/>
          <w:szCs w:val="24"/>
        </w:rPr>
      </w:pPr>
    </w:p>
    <w:sectPr w:rsidR="007C01EA" w:rsidRPr="00F77BFF" w:rsidSect="00E07D76">
      <w:headerReference w:type="default" r:id="rId11"/>
      <w:footerReference w:type="default" r:id="rId12"/>
      <w:footnotePr>
        <w:numStart w:val="30"/>
      </w:footnotePr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273D1" w14:textId="77777777" w:rsidR="005E3612" w:rsidRDefault="005E3612" w:rsidP="009B1C55">
      <w:r>
        <w:separator/>
      </w:r>
    </w:p>
  </w:endnote>
  <w:endnote w:type="continuationSeparator" w:id="0">
    <w:p w14:paraId="38B11AEF" w14:textId="77777777" w:rsidR="005E3612" w:rsidRDefault="005E3612" w:rsidP="009B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31113500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E0CADE5" w14:textId="77777777" w:rsidR="00B60150" w:rsidRPr="00B60150" w:rsidRDefault="00B60150" w:rsidP="00B60150">
            <w:pPr>
              <w:pStyle w:val="Footer"/>
              <w:jc w:val="right"/>
              <w:rPr>
                <w:sz w:val="20"/>
                <w:szCs w:val="20"/>
              </w:rPr>
            </w:pPr>
            <w:r w:rsidRPr="00B60150">
              <w:rPr>
                <w:sz w:val="20"/>
                <w:szCs w:val="20"/>
              </w:rPr>
              <w:t xml:space="preserve">Page </w:t>
            </w:r>
            <w:r w:rsidRPr="00B60150">
              <w:rPr>
                <w:bCs/>
                <w:sz w:val="20"/>
                <w:szCs w:val="20"/>
              </w:rPr>
              <w:fldChar w:fldCharType="begin"/>
            </w:r>
            <w:r w:rsidRPr="00B60150">
              <w:rPr>
                <w:bCs/>
                <w:sz w:val="20"/>
                <w:szCs w:val="20"/>
              </w:rPr>
              <w:instrText xml:space="preserve"> PAGE </w:instrText>
            </w:r>
            <w:r w:rsidRPr="00B6015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Pr="00B60150">
              <w:rPr>
                <w:bCs/>
                <w:sz w:val="20"/>
                <w:szCs w:val="20"/>
              </w:rPr>
              <w:fldChar w:fldCharType="end"/>
            </w:r>
            <w:r w:rsidRPr="00B60150">
              <w:rPr>
                <w:sz w:val="20"/>
                <w:szCs w:val="20"/>
              </w:rPr>
              <w:t xml:space="preserve"> of </w:t>
            </w:r>
            <w:r w:rsidRPr="00B60150">
              <w:rPr>
                <w:bCs/>
                <w:sz w:val="20"/>
                <w:szCs w:val="20"/>
              </w:rPr>
              <w:fldChar w:fldCharType="begin"/>
            </w:r>
            <w:r w:rsidRPr="00B60150">
              <w:rPr>
                <w:bCs/>
                <w:sz w:val="20"/>
                <w:szCs w:val="20"/>
              </w:rPr>
              <w:instrText xml:space="preserve"> NUMPAGES  </w:instrText>
            </w:r>
            <w:r w:rsidRPr="00B6015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Pr="00B60150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86540" w14:textId="77777777" w:rsidR="005E3612" w:rsidRDefault="005E3612" w:rsidP="009B1C55">
      <w:r>
        <w:separator/>
      </w:r>
    </w:p>
  </w:footnote>
  <w:footnote w:type="continuationSeparator" w:id="0">
    <w:p w14:paraId="4FE67794" w14:textId="77777777" w:rsidR="005E3612" w:rsidRDefault="005E3612" w:rsidP="009B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0F33E" w14:textId="2B5577BC" w:rsidR="009B1C55" w:rsidRPr="004B34D1" w:rsidRDefault="00E07D76" w:rsidP="009B1C55">
    <w:pPr>
      <w:autoSpaceDE w:val="0"/>
      <w:autoSpaceDN w:val="0"/>
      <w:adjustRightInd w:val="0"/>
      <w:jc w:val="right"/>
      <w:rPr>
        <w:rFonts w:cs="Arial"/>
        <w:b/>
        <w:bCs w:val="0"/>
        <w:sz w:val="24"/>
        <w:szCs w:val="24"/>
      </w:rPr>
    </w:pPr>
    <w:r>
      <w:rPr>
        <w:rFonts w:cs="Arial"/>
        <w:b/>
        <w:bCs w:val="0"/>
        <w:sz w:val="24"/>
        <w:szCs w:val="24"/>
      </w:rPr>
      <w:t>07/07/20</w:t>
    </w:r>
    <w:r w:rsidR="009B1C55" w:rsidRPr="00C33263">
      <w:rPr>
        <w:rFonts w:cs="Arial"/>
        <w:b/>
        <w:bCs w:val="0"/>
        <w:sz w:val="24"/>
        <w:szCs w:val="24"/>
      </w:rPr>
      <w:t xml:space="preserve"> B</w:t>
    </w:r>
    <w:r>
      <w:rPr>
        <w:rFonts w:cs="Arial"/>
        <w:b/>
        <w:bCs w:val="0"/>
        <w:sz w:val="24"/>
        <w:szCs w:val="24"/>
      </w:rPr>
      <w:t>D</w:t>
    </w:r>
    <w:r w:rsidR="009B1C55" w:rsidRPr="00C33263">
      <w:rPr>
        <w:rFonts w:cs="Arial"/>
        <w:b/>
        <w:bCs w:val="0"/>
        <w:sz w:val="24"/>
        <w:szCs w:val="24"/>
      </w:rPr>
      <w:t xml:space="preserve"> MEETING – </w:t>
    </w:r>
    <w:r>
      <w:rPr>
        <w:rFonts w:cs="Arial"/>
        <w:b/>
        <w:bCs w:val="0"/>
        <w:sz w:val="24"/>
        <w:szCs w:val="24"/>
      </w:rPr>
      <w:t>ITEM #6</w:t>
    </w:r>
  </w:p>
  <w:p w14:paraId="31606CA3" w14:textId="021EF48A" w:rsidR="009B1C55" w:rsidRPr="004B34D1" w:rsidRDefault="009B1C55" w:rsidP="009B1C55">
    <w:pPr>
      <w:pStyle w:val="Header"/>
      <w:jc w:val="right"/>
      <w:rPr>
        <w:rFonts w:cs="Arial"/>
        <w:b/>
        <w:bCs/>
        <w:sz w:val="24"/>
        <w:szCs w:val="24"/>
      </w:rPr>
    </w:pPr>
    <w:r w:rsidRPr="004B34D1">
      <w:rPr>
        <w:rFonts w:cs="Arial"/>
        <w:b/>
        <w:bCs/>
        <w:sz w:val="24"/>
        <w:szCs w:val="24"/>
      </w:rPr>
      <w:t xml:space="preserve">CHANGE SHEET </w:t>
    </w:r>
    <w:r w:rsidR="00E07D76">
      <w:rPr>
        <w:rFonts w:cs="Arial"/>
        <w:b/>
        <w:bCs/>
        <w:sz w:val="24"/>
        <w:szCs w:val="24"/>
      </w:rPr>
      <w:t>#</w:t>
    </w:r>
    <w:r w:rsidRPr="004B34D1">
      <w:rPr>
        <w:rFonts w:cs="Arial"/>
        <w:b/>
        <w:bCs/>
        <w:sz w:val="24"/>
        <w:szCs w:val="24"/>
      </w:rPr>
      <w:t xml:space="preserve">1 (CIRCULATED </w:t>
    </w:r>
    <w:r w:rsidR="00E07D76" w:rsidRPr="00E07D76">
      <w:rPr>
        <w:rFonts w:cs="Arial"/>
        <w:b/>
        <w:bCs/>
        <w:sz w:val="24"/>
        <w:szCs w:val="24"/>
      </w:rPr>
      <w:t>07/06/20</w:t>
    </w:r>
    <w:r w:rsidRPr="004B34D1">
      <w:rPr>
        <w:rFonts w:cs="Arial"/>
        <w:b/>
        <w:bCs/>
        <w:sz w:val="24"/>
        <w:szCs w:val="24"/>
      </w:rPr>
      <w:t>)</w:t>
    </w:r>
  </w:p>
  <w:p w14:paraId="5B347E42" w14:textId="77777777" w:rsidR="009B1C55" w:rsidRDefault="009B1C55">
    <w:pPr>
      <w:pStyle w:val="Header"/>
    </w:pPr>
  </w:p>
  <w:p w14:paraId="4CB9941F" w14:textId="77777777" w:rsidR="003B5D4E" w:rsidRDefault="003B5D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716F"/>
    <w:multiLevelType w:val="hybridMultilevel"/>
    <w:tmpl w:val="EE90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615642"/>
    <w:multiLevelType w:val="hybridMultilevel"/>
    <w:tmpl w:val="39F4BE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DEC496DA">
      <w:start w:val="1"/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812ACEBA">
      <w:start w:val="1"/>
      <w:numFmt w:val="upperLetter"/>
      <w:lvlText w:val="%3)"/>
      <w:lvlJc w:val="left"/>
      <w:pPr>
        <w:ind w:left="3060" w:hanging="360"/>
      </w:pPr>
      <w:rPr>
        <w:rFonts w:hint="default"/>
      </w:rPr>
    </w:lvl>
    <w:lvl w:ilvl="3" w:tplc="981E3F28">
      <w:start w:val="1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plc="C74C278A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FB7A91"/>
    <w:multiLevelType w:val="hybridMultilevel"/>
    <w:tmpl w:val="140427A0"/>
    <w:lvl w:ilvl="0" w:tplc="45AA0F32">
      <w:start w:val="1"/>
      <w:numFmt w:val="upperRoman"/>
      <w:lvlText w:val="%1."/>
      <w:lvlJc w:val="left"/>
      <w:pPr>
        <w:ind w:left="780" w:hanging="720"/>
      </w:pPr>
      <w:rPr>
        <w:rFonts w:ascii="Century Gothic" w:hAnsi="Century Gothic" w:hint="default"/>
        <w:b w:val="0"/>
        <w:color w:val="0070C0"/>
        <w:sz w:val="56"/>
        <w:szCs w:val="56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5862DD6"/>
    <w:multiLevelType w:val="hybridMultilevel"/>
    <w:tmpl w:val="51C081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4B4CCF"/>
    <w:multiLevelType w:val="hybridMultilevel"/>
    <w:tmpl w:val="CC546880"/>
    <w:lvl w:ilvl="0" w:tplc="AFCE22CC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E09AF"/>
    <w:multiLevelType w:val="hybridMultilevel"/>
    <w:tmpl w:val="4AA4CFE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8FD1F22"/>
    <w:multiLevelType w:val="hybridMultilevel"/>
    <w:tmpl w:val="1782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FD2CC1"/>
    <w:multiLevelType w:val="hybridMultilevel"/>
    <w:tmpl w:val="F59E6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A4B3D"/>
    <w:multiLevelType w:val="hybridMultilevel"/>
    <w:tmpl w:val="3DBA6694"/>
    <w:lvl w:ilvl="0" w:tplc="DB2848C0">
      <w:start w:val="1"/>
      <w:numFmt w:val="upperLetter"/>
      <w:pStyle w:val="Heading2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numStart w:val="30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55"/>
    <w:rsid w:val="0000006B"/>
    <w:rsid w:val="00003E0F"/>
    <w:rsid w:val="00052398"/>
    <w:rsid w:val="00061992"/>
    <w:rsid w:val="00071DB9"/>
    <w:rsid w:val="00076894"/>
    <w:rsid w:val="000C5FA2"/>
    <w:rsid w:val="00112095"/>
    <w:rsid w:val="00112662"/>
    <w:rsid w:val="00163006"/>
    <w:rsid w:val="00192B00"/>
    <w:rsid w:val="001977F5"/>
    <w:rsid w:val="001F1118"/>
    <w:rsid w:val="00227345"/>
    <w:rsid w:val="00251629"/>
    <w:rsid w:val="00260352"/>
    <w:rsid w:val="002E7A5A"/>
    <w:rsid w:val="002F0C58"/>
    <w:rsid w:val="0030562F"/>
    <w:rsid w:val="0031083B"/>
    <w:rsid w:val="0035731B"/>
    <w:rsid w:val="003668CB"/>
    <w:rsid w:val="003731AF"/>
    <w:rsid w:val="0039029E"/>
    <w:rsid w:val="003A5764"/>
    <w:rsid w:val="003B5D4E"/>
    <w:rsid w:val="003F2973"/>
    <w:rsid w:val="003F2D29"/>
    <w:rsid w:val="00416E2F"/>
    <w:rsid w:val="0042302C"/>
    <w:rsid w:val="00435F7B"/>
    <w:rsid w:val="004B34D1"/>
    <w:rsid w:val="004B55F0"/>
    <w:rsid w:val="004C77AB"/>
    <w:rsid w:val="005062D4"/>
    <w:rsid w:val="005163CA"/>
    <w:rsid w:val="00560B47"/>
    <w:rsid w:val="00584D8A"/>
    <w:rsid w:val="0058739F"/>
    <w:rsid w:val="005C5975"/>
    <w:rsid w:val="005D4AAD"/>
    <w:rsid w:val="005E3612"/>
    <w:rsid w:val="00625922"/>
    <w:rsid w:val="0063715F"/>
    <w:rsid w:val="00680960"/>
    <w:rsid w:val="006A611B"/>
    <w:rsid w:val="006F314B"/>
    <w:rsid w:val="00701F9D"/>
    <w:rsid w:val="00706DF5"/>
    <w:rsid w:val="0072416A"/>
    <w:rsid w:val="00774229"/>
    <w:rsid w:val="00774B09"/>
    <w:rsid w:val="007816BC"/>
    <w:rsid w:val="007A744A"/>
    <w:rsid w:val="007C01EA"/>
    <w:rsid w:val="007C6668"/>
    <w:rsid w:val="007D2CA6"/>
    <w:rsid w:val="007E29E2"/>
    <w:rsid w:val="00851C7C"/>
    <w:rsid w:val="00865A31"/>
    <w:rsid w:val="00887762"/>
    <w:rsid w:val="008D4CD0"/>
    <w:rsid w:val="008D4CD8"/>
    <w:rsid w:val="008E0506"/>
    <w:rsid w:val="008E5EB9"/>
    <w:rsid w:val="009761F4"/>
    <w:rsid w:val="009B1C55"/>
    <w:rsid w:val="009C7E3F"/>
    <w:rsid w:val="00A10F08"/>
    <w:rsid w:val="00A12597"/>
    <w:rsid w:val="00A76833"/>
    <w:rsid w:val="00A900DE"/>
    <w:rsid w:val="00AA6738"/>
    <w:rsid w:val="00B00330"/>
    <w:rsid w:val="00B03A4B"/>
    <w:rsid w:val="00B147A7"/>
    <w:rsid w:val="00B21735"/>
    <w:rsid w:val="00B374C0"/>
    <w:rsid w:val="00B532F1"/>
    <w:rsid w:val="00B60150"/>
    <w:rsid w:val="00B83549"/>
    <w:rsid w:val="00BA0805"/>
    <w:rsid w:val="00BA0A25"/>
    <w:rsid w:val="00BA1C41"/>
    <w:rsid w:val="00BE45BF"/>
    <w:rsid w:val="00C001DE"/>
    <w:rsid w:val="00C2197C"/>
    <w:rsid w:val="00C33263"/>
    <w:rsid w:val="00C33919"/>
    <w:rsid w:val="00C44BB3"/>
    <w:rsid w:val="00C939F5"/>
    <w:rsid w:val="00CB7F1F"/>
    <w:rsid w:val="00CF271A"/>
    <w:rsid w:val="00D20AE4"/>
    <w:rsid w:val="00D268CE"/>
    <w:rsid w:val="00D64883"/>
    <w:rsid w:val="00D81502"/>
    <w:rsid w:val="00DA3C9E"/>
    <w:rsid w:val="00DE2186"/>
    <w:rsid w:val="00E07759"/>
    <w:rsid w:val="00E07D76"/>
    <w:rsid w:val="00E37E6F"/>
    <w:rsid w:val="00E42B5D"/>
    <w:rsid w:val="00E72824"/>
    <w:rsid w:val="00E85E96"/>
    <w:rsid w:val="00EA2973"/>
    <w:rsid w:val="00EF4F44"/>
    <w:rsid w:val="00F316DD"/>
    <w:rsid w:val="00F338B8"/>
    <w:rsid w:val="00F52768"/>
    <w:rsid w:val="00F77BFF"/>
    <w:rsid w:val="00F87296"/>
    <w:rsid w:val="00FA660F"/>
    <w:rsid w:val="00FD59A7"/>
    <w:rsid w:val="00FE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90B6E5D"/>
  <w15:docId w15:val="{4EE927F7-0702-4837-A69F-CC4FA671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1C55"/>
    <w:rPr>
      <w:rFonts w:eastAsia="Times New Roman" w:cs="Tahoma"/>
      <w:bCs/>
      <w:color w:val="00000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3919"/>
    <w:pPr>
      <w:keepNext/>
      <w:keepLines/>
      <w:numPr>
        <w:numId w:val="1"/>
      </w:numPr>
      <w:ind w:left="446" w:hanging="446"/>
      <w:contextualSpacing/>
      <w:outlineLvl w:val="0"/>
    </w:pPr>
    <w:rPr>
      <w:rFonts w:ascii="Century Gothic" w:eastAsiaTheme="majorEastAsia" w:hAnsi="Century Gothic" w:cstheme="majorBidi"/>
      <w:caps/>
      <w:color w:val="4F81BD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76833"/>
    <w:pPr>
      <w:keepNext/>
      <w:keepLines/>
      <w:numPr>
        <w:numId w:val="4"/>
      </w:numPr>
      <w:contextualSpacing/>
      <w:outlineLvl w:val="1"/>
    </w:pPr>
    <w:rPr>
      <w:rFonts w:eastAsiaTheme="majorEastAsia" w:cs="Arial"/>
      <w:cap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919"/>
    <w:rPr>
      <w:rFonts w:ascii="Century Gothic" w:eastAsiaTheme="majorEastAsia" w:hAnsi="Century Gothic" w:cstheme="majorBidi"/>
      <w:bCs/>
      <w:caps/>
      <w:color w:val="4F81BD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6833"/>
    <w:rPr>
      <w:rFonts w:eastAsiaTheme="majorEastAsia" w:cs="Arial"/>
      <w:bCs/>
      <w:caps/>
    </w:rPr>
  </w:style>
  <w:style w:type="paragraph" w:styleId="Header">
    <w:name w:val="header"/>
    <w:basedOn w:val="Normal"/>
    <w:link w:val="HeaderChar"/>
    <w:unhideWhenUsed/>
    <w:rsid w:val="009B1C55"/>
    <w:pPr>
      <w:tabs>
        <w:tab w:val="center" w:pos="4680"/>
        <w:tab w:val="right" w:pos="9360"/>
      </w:tabs>
    </w:pPr>
    <w:rPr>
      <w:rFonts w:eastAsiaTheme="minorHAnsi" w:cstheme="minorBidi"/>
      <w:bCs w:val="0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9B1C55"/>
  </w:style>
  <w:style w:type="paragraph" w:styleId="Footer">
    <w:name w:val="footer"/>
    <w:basedOn w:val="Normal"/>
    <w:link w:val="FooterChar"/>
    <w:uiPriority w:val="99"/>
    <w:unhideWhenUsed/>
    <w:rsid w:val="009B1C55"/>
    <w:pPr>
      <w:tabs>
        <w:tab w:val="center" w:pos="4680"/>
        <w:tab w:val="right" w:pos="9360"/>
      </w:tabs>
    </w:pPr>
    <w:rPr>
      <w:rFonts w:eastAsiaTheme="minorHAnsi" w:cstheme="minorBidi"/>
      <w:bCs w:val="0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9B1C55"/>
  </w:style>
  <w:style w:type="character" w:styleId="CommentReference">
    <w:name w:val="annotation reference"/>
    <w:basedOn w:val="DefaultParagraphFont"/>
    <w:uiPriority w:val="99"/>
    <w:semiHidden/>
    <w:unhideWhenUsed/>
    <w:rsid w:val="009B1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C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C55"/>
    <w:rPr>
      <w:rFonts w:eastAsia="Times New Roman" w:cs="Tahoma"/>
      <w:bCs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C55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C55"/>
    <w:rPr>
      <w:rFonts w:eastAsia="Times New Roman" w:cs="Tahoma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C5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55"/>
    <w:rPr>
      <w:rFonts w:ascii="Tahoma" w:eastAsia="Times New Roman" w:hAnsi="Tahoma" w:cs="Tahoma"/>
      <w:bCs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B21735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C58"/>
    <w:pPr>
      <w:ind w:left="720"/>
      <w:contextualSpacing/>
    </w:pPr>
  </w:style>
  <w:style w:type="paragraph" w:customStyle="1" w:styleId="Default">
    <w:name w:val="Default"/>
    <w:rsid w:val="003668C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7F1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74229"/>
    <w:rPr>
      <w:rFonts w:eastAsia="Calibri" w:cs="Times New Roman"/>
      <w:bCs w:val="0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4229"/>
    <w:rPr>
      <w:rFonts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7422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DA3C9E"/>
    <w:rPr>
      <w:rFonts w:eastAsiaTheme="minorHAnsi" w:cstheme="minorBidi"/>
      <w:bCs w:val="0"/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A3C9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3C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6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80C8793D2124E9FA1DC67DBF8C8B3" ma:contentTypeVersion="11" ma:contentTypeDescription="Create a new document." ma:contentTypeScope="" ma:versionID="5d399ad5131ee77cc0050f2e5b297307">
  <xsd:schema xmlns:xsd="http://www.w3.org/2001/XMLSchema" xmlns:xs="http://www.w3.org/2001/XMLSchema" xmlns:p="http://schemas.microsoft.com/office/2006/metadata/properties" xmlns:ns2="da4d3d48-d55f-4c21-8b58-7967dad2c966" xmlns:ns3="5d2d8f29-78a3-4e97-a4b2-e073c8607483" targetNamespace="http://schemas.microsoft.com/office/2006/metadata/properties" ma:root="true" ma:fieldsID="607981a9e185ed832556cce14ae2e7b9" ns2:_="" ns3:_="">
    <xsd:import namespace="da4d3d48-d55f-4c21-8b58-7967dad2c966"/>
    <xsd:import namespace="5d2d8f29-78a3-4e97-a4b2-e073c8607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d3d48-d55f-4c21-8b58-7967dad2c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d8f29-78a3-4e97-a4b2-e073c8607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65B45-D040-415B-9907-A84635D34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d3d48-d55f-4c21-8b58-7967dad2c966"/>
    <ds:schemaRef ds:uri="5d2d8f29-78a3-4e97-a4b2-e073c8607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07B7BA-24FB-418E-BDBD-EFB3B43D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067E9-DFB8-4172-BE2F-EA9A3921C5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A85496-5B49-40C7-8818-6C2A866C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2732</Characters>
  <Application>Microsoft Office Word</Application>
  <DocSecurity>0</DocSecurity>
  <Lines>49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Final Fund Expenditure Plan for the Safe and Affordable Drinking Water Fund Text</dc:title>
  <dc:subject>Change Sheet 1</dc:subject>
  <dc:creator>swrcb</dc:creator>
  <cp:lastModifiedBy>Townsend, Jeanine@Waterboards</cp:lastModifiedBy>
  <cp:revision>6</cp:revision>
  <cp:lastPrinted>2020-07-04T05:55:00Z</cp:lastPrinted>
  <dcterms:created xsi:type="dcterms:W3CDTF">2020-07-04T05:54:00Z</dcterms:created>
  <dcterms:modified xsi:type="dcterms:W3CDTF">2020-07-04T05:56:00Z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0x010100FB180C8793D2124E9FA1DC67DBF8C8B3</vt:lpwstr>
  </property>
</Properties>
</file>