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63D4" w14:textId="41E7AC0F" w:rsidR="0044722F" w:rsidRDefault="0044722F"/>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1125"/>
        <w:gridCol w:w="1710"/>
        <w:gridCol w:w="2520"/>
      </w:tblGrid>
      <w:tr w:rsidR="009B5FE2" w:rsidRPr="00A0784B" w14:paraId="24E970BA" w14:textId="77777777" w:rsidTr="00865409">
        <w:trPr>
          <w:tblHeader/>
          <w:jc w:val="center"/>
        </w:trPr>
        <w:tc>
          <w:tcPr>
            <w:tcW w:w="2835" w:type="dxa"/>
            <w:shd w:val="clear" w:color="auto" w:fill="FFFFFF"/>
            <w:vAlign w:val="center"/>
          </w:tcPr>
          <w:p w14:paraId="4B963942" w14:textId="77777777" w:rsidR="009B5FE2" w:rsidRPr="00A0784B" w:rsidRDefault="009B5FE2" w:rsidP="00865409">
            <w:pPr>
              <w:jc w:val="center"/>
              <w:rPr>
                <w:b/>
                <w:sz w:val="20"/>
                <w:szCs w:val="20"/>
              </w:rPr>
            </w:pPr>
            <w:r w:rsidRPr="00A0784B">
              <w:rPr>
                <w:b/>
                <w:sz w:val="20"/>
                <w:szCs w:val="20"/>
              </w:rPr>
              <w:t>Parameter</w:t>
            </w:r>
          </w:p>
        </w:tc>
        <w:tc>
          <w:tcPr>
            <w:tcW w:w="1125" w:type="dxa"/>
            <w:shd w:val="clear" w:color="auto" w:fill="FFFFFF"/>
            <w:vAlign w:val="center"/>
          </w:tcPr>
          <w:p w14:paraId="5D1F8433" w14:textId="77777777" w:rsidR="009B5FE2" w:rsidRPr="00A0784B" w:rsidRDefault="009B5FE2" w:rsidP="00865409">
            <w:pPr>
              <w:jc w:val="center"/>
              <w:rPr>
                <w:b/>
                <w:sz w:val="20"/>
                <w:szCs w:val="20"/>
              </w:rPr>
            </w:pPr>
            <w:r w:rsidRPr="00A0784B">
              <w:rPr>
                <w:b/>
                <w:sz w:val="20"/>
                <w:szCs w:val="20"/>
              </w:rPr>
              <w:t>Units</w:t>
            </w:r>
          </w:p>
        </w:tc>
        <w:tc>
          <w:tcPr>
            <w:tcW w:w="1710" w:type="dxa"/>
            <w:shd w:val="clear" w:color="auto" w:fill="FFFFFF"/>
            <w:vAlign w:val="center"/>
          </w:tcPr>
          <w:p w14:paraId="1D1F6F99" w14:textId="77777777" w:rsidR="009B5FE2" w:rsidRPr="00A0784B" w:rsidRDefault="009B5FE2" w:rsidP="00865409">
            <w:pPr>
              <w:jc w:val="center"/>
              <w:rPr>
                <w:b/>
                <w:sz w:val="20"/>
                <w:szCs w:val="20"/>
              </w:rPr>
            </w:pPr>
            <w:r w:rsidRPr="00A0784B">
              <w:rPr>
                <w:b/>
                <w:sz w:val="20"/>
                <w:szCs w:val="20"/>
              </w:rPr>
              <w:t>Sample Type</w:t>
            </w:r>
          </w:p>
        </w:tc>
        <w:tc>
          <w:tcPr>
            <w:tcW w:w="2520" w:type="dxa"/>
            <w:shd w:val="clear" w:color="auto" w:fill="FFFFFF"/>
            <w:vAlign w:val="center"/>
          </w:tcPr>
          <w:p w14:paraId="5A08F69B" w14:textId="77777777" w:rsidR="009B5FE2" w:rsidRPr="00A0784B" w:rsidRDefault="009B5FE2" w:rsidP="00865409">
            <w:pPr>
              <w:jc w:val="center"/>
              <w:rPr>
                <w:b/>
                <w:sz w:val="20"/>
                <w:szCs w:val="20"/>
              </w:rPr>
            </w:pPr>
            <w:r w:rsidRPr="00A0784B">
              <w:rPr>
                <w:b/>
                <w:sz w:val="20"/>
                <w:szCs w:val="20"/>
              </w:rPr>
              <w:t>Minimum Sampling</w:t>
            </w:r>
            <w:r w:rsidRPr="00A0784B">
              <w:rPr>
                <w:b/>
                <w:sz w:val="20"/>
                <w:szCs w:val="20"/>
              </w:rPr>
              <w:br/>
              <w:t>Frequency</w:t>
            </w:r>
          </w:p>
        </w:tc>
      </w:tr>
      <w:tr w:rsidR="009B5FE2" w:rsidRPr="00A0784B" w14:paraId="54586FB9"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48994DEB" w14:textId="77777777" w:rsidR="009B5FE2" w:rsidRDefault="009B5FE2" w:rsidP="00865409">
            <w:pPr>
              <w:pStyle w:val="TableText"/>
              <w:jc w:val="left"/>
              <w:rPr>
                <w:rFonts w:cs="Arial"/>
                <w:sz w:val="20"/>
                <w:szCs w:val="20"/>
              </w:rPr>
            </w:pPr>
            <w:proofErr w:type="spellStart"/>
            <w:r>
              <w:rPr>
                <w:rFonts w:cs="Arial"/>
                <w:sz w:val="20"/>
                <w:szCs w:val="20"/>
              </w:rPr>
              <w:t>Chlorodibromomethane</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14:paraId="3C4F1C58" w14:textId="77777777" w:rsidR="009B5FE2" w:rsidRPr="00A0784B" w:rsidRDefault="009B5FE2" w:rsidP="00865409">
            <w:pPr>
              <w:pStyle w:val="TableText"/>
              <w:rPr>
                <w:rFonts w:cs="Arial"/>
                <w:sz w:val="20"/>
                <w:szCs w:val="20"/>
              </w:rPr>
            </w:pPr>
            <w:r>
              <w:rPr>
                <w:rFonts w:cs="Arial"/>
                <w:sz w:val="20"/>
                <w:szCs w:val="20"/>
              </w:rPr>
              <w:t>µg/L</w:t>
            </w:r>
          </w:p>
        </w:tc>
        <w:tc>
          <w:tcPr>
            <w:tcW w:w="1710" w:type="dxa"/>
            <w:tcBorders>
              <w:top w:val="single" w:sz="6" w:space="0" w:color="auto"/>
              <w:left w:val="single" w:sz="6" w:space="0" w:color="auto"/>
              <w:bottom w:val="single" w:sz="6" w:space="0" w:color="auto"/>
              <w:right w:val="single" w:sz="6" w:space="0" w:color="auto"/>
            </w:tcBorders>
            <w:vAlign w:val="center"/>
          </w:tcPr>
          <w:p w14:paraId="41FF2BFE"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Borders>
              <w:top w:val="single" w:sz="6" w:space="0" w:color="auto"/>
              <w:left w:val="single" w:sz="6" w:space="0" w:color="auto"/>
              <w:bottom w:val="single" w:sz="6" w:space="0" w:color="auto"/>
              <w:right w:val="single" w:sz="12" w:space="0" w:color="auto"/>
            </w:tcBorders>
            <w:vAlign w:val="center"/>
          </w:tcPr>
          <w:p w14:paraId="754788CF" w14:textId="77777777" w:rsidR="009B5FE2" w:rsidRPr="00C612E6" w:rsidRDefault="009B5FE2" w:rsidP="00865409">
            <w:pPr>
              <w:pStyle w:val="TableText"/>
              <w:rPr>
                <w:rFonts w:cs="Arial"/>
                <w:strike/>
                <w:sz w:val="20"/>
                <w:szCs w:val="20"/>
              </w:rPr>
            </w:pPr>
            <w:r w:rsidRPr="00C612E6">
              <w:rPr>
                <w:rFonts w:cs="Arial"/>
                <w:strike/>
                <w:sz w:val="20"/>
                <w:szCs w:val="20"/>
              </w:rPr>
              <w:t>1/Month</w:t>
            </w:r>
            <w:r>
              <w:rPr>
                <w:rFonts w:cs="Arial"/>
                <w:strike/>
                <w:sz w:val="20"/>
                <w:szCs w:val="20"/>
              </w:rPr>
              <w:t xml:space="preserve"> </w:t>
            </w:r>
            <w:r>
              <w:rPr>
                <w:rFonts w:cs="Arial"/>
                <w:sz w:val="20"/>
                <w:szCs w:val="20"/>
              </w:rPr>
              <w:t>1/Year</w:t>
            </w:r>
          </w:p>
        </w:tc>
      </w:tr>
      <w:tr w:rsidR="009B5FE2" w:rsidRPr="00A0784B" w14:paraId="3836AA33"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5FC2F63B" w14:textId="77777777" w:rsidR="009B5FE2" w:rsidRDefault="009B5FE2" w:rsidP="00865409">
            <w:pPr>
              <w:pStyle w:val="TableText"/>
              <w:jc w:val="left"/>
              <w:rPr>
                <w:rFonts w:cs="Arial"/>
                <w:sz w:val="20"/>
                <w:szCs w:val="20"/>
              </w:rPr>
            </w:pPr>
            <w:proofErr w:type="spellStart"/>
            <w:r>
              <w:rPr>
                <w:rFonts w:cs="Arial"/>
                <w:sz w:val="20"/>
                <w:szCs w:val="20"/>
              </w:rPr>
              <w:t>Dichlorobromomethane</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14:paraId="556D1019" w14:textId="77777777" w:rsidR="009B5FE2" w:rsidRPr="00A0784B" w:rsidRDefault="009B5FE2" w:rsidP="00865409">
            <w:pPr>
              <w:pStyle w:val="TableText"/>
              <w:rPr>
                <w:rFonts w:cs="Arial"/>
                <w:sz w:val="20"/>
                <w:szCs w:val="20"/>
              </w:rPr>
            </w:pPr>
            <w:r>
              <w:rPr>
                <w:rFonts w:cs="Arial"/>
                <w:sz w:val="20"/>
                <w:szCs w:val="20"/>
              </w:rPr>
              <w:t>µg/L</w:t>
            </w:r>
          </w:p>
        </w:tc>
        <w:tc>
          <w:tcPr>
            <w:tcW w:w="1710" w:type="dxa"/>
            <w:tcBorders>
              <w:top w:val="single" w:sz="6" w:space="0" w:color="auto"/>
              <w:left w:val="single" w:sz="6" w:space="0" w:color="auto"/>
              <w:bottom w:val="single" w:sz="6" w:space="0" w:color="auto"/>
              <w:right w:val="single" w:sz="6" w:space="0" w:color="auto"/>
            </w:tcBorders>
            <w:vAlign w:val="center"/>
          </w:tcPr>
          <w:p w14:paraId="540F60AE"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Borders>
              <w:top w:val="single" w:sz="6" w:space="0" w:color="auto"/>
              <w:left w:val="single" w:sz="6" w:space="0" w:color="auto"/>
              <w:bottom w:val="single" w:sz="6" w:space="0" w:color="auto"/>
              <w:right w:val="single" w:sz="12" w:space="0" w:color="auto"/>
            </w:tcBorders>
            <w:vAlign w:val="center"/>
          </w:tcPr>
          <w:p w14:paraId="6CFCC5A1" w14:textId="77777777" w:rsidR="009B5FE2" w:rsidRPr="00C612E6" w:rsidRDefault="009B5FE2" w:rsidP="00865409">
            <w:pPr>
              <w:pStyle w:val="TableText"/>
              <w:rPr>
                <w:rFonts w:cs="Arial"/>
                <w:sz w:val="20"/>
                <w:szCs w:val="20"/>
              </w:rPr>
            </w:pPr>
            <w:r w:rsidRPr="00C612E6">
              <w:rPr>
                <w:rFonts w:cs="Arial"/>
                <w:strike/>
                <w:sz w:val="20"/>
                <w:szCs w:val="20"/>
              </w:rPr>
              <w:t>1/Mont</w:t>
            </w:r>
            <w:r>
              <w:rPr>
                <w:rFonts w:cs="Arial"/>
                <w:strike/>
                <w:sz w:val="20"/>
                <w:szCs w:val="20"/>
              </w:rPr>
              <w:t>h</w:t>
            </w:r>
            <w:r>
              <w:rPr>
                <w:rFonts w:cs="Arial"/>
                <w:sz w:val="20"/>
                <w:szCs w:val="20"/>
              </w:rPr>
              <w:t xml:space="preserve"> 1/Year</w:t>
            </w:r>
          </w:p>
        </w:tc>
      </w:tr>
      <w:tr w:rsidR="009B5FE2" w:rsidRPr="00A0784B" w14:paraId="08792699" w14:textId="77777777" w:rsidTr="00865409">
        <w:trPr>
          <w:jc w:val="center"/>
        </w:trPr>
        <w:tc>
          <w:tcPr>
            <w:tcW w:w="2835" w:type="dxa"/>
            <w:vAlign w:val="center"/>
          </w:tcPr>
          <w:p w14:paraId="242C31FB" w14:textId="77777777" w:rsidR="009B5FE2" w:rsidRPr="00A0784B" w:rsidRDefault="009B5FE2" w:rsidP="00865409">
            <w:pPr>
              <w:pStyle w:val="TableText"/>
              <w:jc w:val="left"/>
              <w:rPr>
                <w:rFonts w:cs="Arial"/>
                <w:sz w:val="20"/>
                <w:szCs w:val="20"/>
              </w:rPr>
            </w:pPr>
            <w:r>
              <w:rPr>
                <w:rFonts w:cs="Arial"/>
                <w:sz w:val="20"/>
                <w:szCs w:val="20"/>
              </w:rPr>
              <w:t>Nitrite (as N)</w:t>
            </w:r>
          </w:p>
        </w:tc>
        <w:tc>
          <w:tcPr>
            <w:tcW w:w="1125" w:type="dxa"/>
            <w:vAlign w:val="center"/>
          </w:tcPr>
          <w:p w14:paraId="4E8640A6"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0F6B11AD"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1991C682" w14:textId="77777777" w:rsidR="009B5FE2" w:rsidRPr="00A0784B" w:rsidRDefault="009B5FE2" w:rsidP="00865409">
            <w:pPr>
              <w:pStyle w:val="TableText"/>
              <w:rPr>
                <w:rFonts w:cs="Arial"/>
                <w:sz w:val="20"/>
                <w:szCs w:val="20"/>
              </w:rPr>
            </w:pPr>
            <w:r>
              <w:rPr>
                <w:rFonts w:cs="Arial"/>
                <w:sz w:val="20"/>
                <w:szCs w:val="20"/>
              </w:rPr>
              <w:t>1/Month</w:t>
            </w:r>
          </w:p>
        </w:tc>
      </w:tr>
      <w:tr w:rsidR="009B5FE2" w:rsidRPr="00A0784B" w14:paraId="31A2374C" w14:textId="77777777" w:rsidTr="00865409">
        <w:trPr>
          <w:jc w:val="center"/>
        </w:trPr>
        <w:tc>
          <w:tcPr>
            <w:tcW w:w="2835" w:type="dxa"/>
            <w:vAlign w:val="center"/>
          </w:tcPr>
          <w:p w14:paraId="2ACA65FE" w14:textId="77777777" w:rsidR="009B5FE2" w:rsidRPr="00A0784B" w:rsidRDefault="009B5FE2" w:rsidP="00865409">
            <w:pPr>
              <w:pStyle w:val="TableText"/>
              <w:jc w:val="left"/>
              <w:rPr>
                <w:rFonts w:cs="Arial"/>
                <w:sz w:val="20"/>
                <w:szCs w:val="20"/>
              </w:rPr>
            </w:pPr>
            <w:r>
              <w:rPr>
                <w:rFonts w:cs="Arial"/>
                <w:sz w:val="20"/>
                <w:szCs w:val="20"/>
              </w:rPr>
              <w:t>Nitrate (as N)</w:t>
            </w:r>
          </w:p>
        </w:tc>
        <w:tc>
          <w:tcPr>
            <w:tcW w:w="1125" w:type="dxa"/>
            <w:vAlign w:val="center"/>
          </w:tcPr>
          <w:p w14:paraId="31B793C5"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6AACC5E1"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0130365D" w14:textId="77777777" w:rsidR="009B5FE2" w:rsidRPr="00A0784B" w:rsidRDefault="009B5FE2" w:rsidP="00865409">
            <w:pPr>
              <w:pStyle w:val="TableText"/>
              <w:rPr>
                <w:rFonts w:cs="Arial"/>
                <w:sz w:val="20"/>
                <w:szCs w:val="20"/>
              </w:rPr>
            </w:pPr>
            <w:r>
              <w:rPr>
                <w:rFonts w:cs="Arial"/>
                <w:sz w:val="20"/>
                <w:szCs w:val="20"/>
              </w:rPr>
              <w:t>1/Month</w:t>
            </w:r>
          </w:p>
        </w:tc>
      </w:tr>
      <w:tr w:rsidR="009B5FE2" w:rsidRPr="00A0784B" w14:paraId="3D07B3A8" w14:textId="77777777" w:rsidTr="00865409">
        <w:trPr>
          <w:jc w:val="center"/>
        </w:trPr>
        <w:tc>
          <w:tcPr>
            <w:tcW w:w="2835" w:type="dxa"/>
            <w:vAlign w:val="center"/>
          </w:tcPr>
          <w:p w14:paraId="37302A37" w14:textId="77777777" w:rsidR="009B5FE2" w:rsidRPr="00A0784B" w:rsidRDefault="009B5FE2" w:rsidP="00865409">
            <w:pPr>
              <w:pStyle w:val="TableText"/>
              <w:jc w:val="left"/>
              <w:rPr>
                <w:rFonts w:cs="Arial"/>
                <w:sz w:val="20"/>
                <w:szCs w:val="20"/>
              </w:rPr>
            </w:pPr>
            <w:r>
              <w:rPr>
                <w:rFonts w:cs="Arial"/>
                <w:sz w:val="20"/>
                <w:szCs w:val="20"/>
              </w:rPr>
              <w:t>Dissolved Orthophosphate (as P)</w:t>
            </w:r>
          </w:p>
        </w:tc>
        <w:tc>
          <w:tcPr>
            <w:tcW w:w="1125" w:type="dxa"/>
            <w:vAlign w:val="center"/>
          </w:tcPr>
          <w:p w14:paraId="4DD04986"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4AA16B0D"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2D94B59B" w14:textId="77777777" w:rsidR="009B5FE2" w:rsidRPr="00A0784B" w:rsidRDefault="009B5FE2" w:rsidP="00865409">
            <w:pPr>
              <w:pStyle w:val="TableText"/>
              <w:rPr>
                <w:rFonts w:cs="Arial"/>
                <w:sz w:val="20"/>
                <w:szCs w:val="20"/>
              </w:rPr>
            </w:pPr>
            <w:r>
              <w:rPr>
                <w:rFonts w:cs="Arial"/>
                <w:sz w:val="20"/>
                <w:szCs w:val="20"/>
              </w:rPr>
              <w:t>1/Month</w:t>
            </w:r>
          </w:p>
        </w:tc>
      </w:tr>
      <w:tr w:rsidR="009B5FE2" w:rsidRPr="00A0784B" w14:paraId="15F631CA" w14:textId="77777777" w:rsidTr="00865409">
        <w:trPr>
          <w:jc w:val="center"/>
        </w:trPr>
        <w:tc>
          <w:tcPr>
            <w:tcW w:w="2835" w:type="dxa"/>
            <w:vAlign w:val="center"/>
          </w:tcPr>
          <w:p w14:paraId="6B83FE48" w14:textId="77777777" w:rsidR="009B5FE2" w:rsidRPr="00A0784B" w:rsidRDefault="009B5FE2" w:rsidP="00865409">
            <w:pPr>
              <w:pStyle w:val="TableText"/>
              <w:jc w:val="left"/>
              <w:rPr>
                <w:rFonts w:cs="Arial"/>
                <w:sz w:val="20"/>
                <w:szCs w:val="20"/>
              </w:rPr>
            </w:pPr>
            <w:r>
              <w:rPr>
                <w:rFonts w:cs="Arial"/>
                <w:sz w:val="20"/>
                <w:szCs w:val="20"/>
              </w:rPr>
              <w:t>Total Phosphate (as P)</w:t>
            </w:r>
          </w:p>
        </w:tc>
        <w:tc>
          <w:tcPr>
            <w:tcW w:w="1125" w:type="dxa"/>
            <w:vAlign w:val="center"/>
          </w:tcPr>
          <w:p w14:paraId="41BF1095"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59EC0ADB"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4F694E85" w14:textId="77777777" w:rsidR="009B5FE2" w:rsidRPr="00A0784B" w:rsidRDefault="009B5FE2" w:rsidP="00865409">
            <w:pPr>
              <w:pStyle w:val="TableText"/>
              <w:rPr>
                <w:rFonts w:cs="Arial"/>
                <w:sz w:val="20"/>
                <w:szCs w:val="20"/>
              </w:rPr>
            </w:pPr>
            <w:r>
              <w:rPr>
                <w:rFonts w:cs="Arial"/>
                <w:sz w:val="20"/>
                <w:szCs w:val="20"/>
              </w:rPr>
              <w:t>1/Month</w:t>
            </w:r>
          </w:p>
        </w:tc>
      </w:tr>
      <w:tr w:rsidR="009B5FE2" w:rsidRPr="00A0784B" w14:paraId="30397944" w14:textId="77777777" w:rsidTr="00865409">
        <w:trPr>
          <w:jc w:val="center"/>
        </w:trPr>
        <w:tc>
          <w:tcPr>
            <w:tcW w:w="2835" w:type="dxa"/>
            <w:vAlign w:val="center"/>
          </w:tcPr>
          <w:p w14:paraId="20E0D452" w14:textId="77777777" w:rsidR="009B5FE2" w:rsidRPr="00A0784B" w:rsidRDefault="009B5FE2" w:rsidP="00865409">
            <w:pPr>
              <w:pStyle w:val="TableText"/>
              <w:jc w:val="left"/>
              <w:rPr>
                <w:rFonts w:cs="Arial"/>
                <w:sz w:val="20"/>
                <w:szCs w:val="20"/>
              </w:rPr>
            </w:pPr>
            <w:r>
              <w:rPr>
                <w:rFonts w:cs="Arial"/>
                <w:sz w:val="20"/>
                <w:szCs w:val="20"/>
              </w:rPr>
              <w:t>Total Dissolved Solids</w:t>
            </w:r>
          </w:p>
        </w:tc>
        <w:tc>
          <w:tcPr>
            <w:tcW w:w="1125" w:type="dxa"/>
            <w:vAlign w:val="center"/>
          </w:tcPr>
          <w:p w14:paraId="6C3E21A2"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269D2782"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7601702E" w14:textId="77777777" w:rsidR="009B5FE2" w:rsidRPr="00A0784B" w:rsidRDefault="009B5FE2" w:rsidP="00865409">
            <w:pPr>
              <w:pStyle w:val="TableText"/>
              <w:rPr>
                <w:rFonts w:cs="Arial"/>
                <w:sz w:val="20"/>
                <w:szCs w:val="20"/>
              </w:rPr>
            </w:pPr>
            <w:r>
              <w:rPr>
                <w:rFonts w:cs="Arial"/>
                <w:sz w:val="20"/>
                <w:szCs w:val="20"/>
              </w:rPr>
              <w:t>1/Quarter</w:t>
            </w:r>
          </w:p>
        </w:tc>
      </w:tr>
      <w:tr w:rsidR="009B5FE2" w:rsidRPr="00A0784B" w14:paraId="1EF0C7C6"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27EDF68D" w14:textId="77777777" w:rsidR="009B5FE2" w:rsidRDefault="009B5FE2" w:rsidP="00865409">
            <w:pPr>
              <w:pStyle w:val="TableText"/>
              <w:jc w:val="left"/>
              <w:rPr>
                <w:rFonts w:cs="Arial"/>
                <w:sz w:val="20"/>
                <w:szCs w:val="20"/>
              </w:rPr>
            </w:pPr>
            <w:r>
              <w:rPr>
                <w:rFonts w:cs="Arial"/>
                <w:sz w:val="20"/>
                <w:szCs w:val="20"/>
              </w:rPr>
              <w:t>Pentachlorophenol</w:t>
            </w:r>
          </w:p>
        </w:tc>
        <w:tc>
          <w:tcPr>
            <w:tcW w:w="1125" w:type="dxa"/>
            <w:tcBorders>
              <w:top w:val="single" w:sz="6" w:space="0" w:color="auto"/>
              <w:left w:val="single" w:sz="6" w:space="0" w:color="auto"/>
              <w:bottom w:val="single" w:sz="6" w:space="0" w:color="auto"/>
              <w:right w:val="single" w:sz="6" w:space="0" w:color="auto"/>
            </w:tcBorders>
            <w:vAlign w:val="center"/>
          </w:tcPr>
          <w:p w14:paraId="6F1858AF" w14:textId="77777777" w:rsidR="009B5FE2" w:rsidRPr="00A0784B" w:rsidRDefault="009B5FE2" w:rsidP="00865409">
            <w:pPr>
              <w:pStyle w:val="TableText"/>
              <w:rPr>
                <w:rFonts w:cs="Arial"/>
                <w:sz w:val="20"/>
                <w:szCs w:val="20"/>
              </w:rPr>
            </w:pPr>
            <w:r>
              <w:rPr>
                <w:rFonts w:cs="Arial"/>
                <w:sz w:val="20"/>
                <w:szCs w:val="20"/>
              </w:rPr>
              <w:t>µg/L</w:t>
            </w:r>
          </w:p>
        </w:tc>
        <w:tc>
          <w:tcPr>
            <w:tcW w:w="1710" w:type="dxa"/>
            <w:tcBorders>
              <w:top w:val="single" w:sz="6" w:space="0" w:color="auto"/>
              <w:left w:val="single" w:sz="6" w:space="0" w:color="auto"/>
              <w:bottom w:val="single" w:sz="6" w:space="0" w:color="auto"/>
              <w:right w:val="single" w:sz="6" w:space="0" w:color="auto"/>
            </w:tcBorders>
            <w:vAlign w:val="center"/>
          </w:tcPr>
          <w:p w14:paraId="140F2D22"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Borders>
              <w:top w:val="single" w:sz="6" w:space="0" w:color="auto"/>
              <w:left w:val="single" w:sz="6" w:space="0" w:color="auto"/>
              <w:bottom w:val="single" w:sz="6" w:space="0" w:color="auto"/>
              <w:right w:val="single" w:sz="12" w:space="0" w:color="auto"/>
            </w:tcBorders>
            <w:vAlign w:val="center"/>
          </w:tcPr>
          <w:p w14:paraId="2543390F" w14:textId="77777777" w:rsidR="009B5FE2" w:rsidRPr="00A0784B" w:rsidRDefault="009B5FE2" w:rsidP="00865409">
            <w:pPr>
              <w:pStyle w:val="TableText"/>
              <w:rPr>
                <w:rFonts w:cs="Arial"/>
                <w:sz w:val="20"/>
                <w:szCs w:val="20"/>
              </w:rPr>
            </w:pPr>
            <w:r>
              <w:rPr>
                <w:rFonts w:cs="Arial"/>
                <w:sz w:val="20"/>
                <w:szCs w:val="20"/>
              </w:rPr>
              <w:t>1/Quarter</w:t>
            </w:r>
          </w:p>
        </w:tc>
      </w:tr>
      <w:tr w:rsidR="009B5FE2" w:rsidRPr="00A0784B" w14:paraId="3F548AA7"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162CA9CF" w14:textId="77777777" w:rsidR="009B5FE2" w:rsidRDefault="009B5FE2" w:rsidP="00865409">
            <w:pPr>
              <w:pStyle w:val="TableText"/>
              <w:jc w:val="left"/>
              <w:rPr>
                <w:rFonts w:cs="Arial"/>
                <w:sz w:val="20"/>
                <w:szCs w:val="20"/>
              </w:rPr>
            </w:pPr>
            <w:r>
              <w:rPr>
                <w:rFonts w:cs="Arial"/>
                <w:sz w:val="20"/>
                <w:szCs w:val="20"/>
              </w:rPr>
              <w:t>N-</w:t>
            </w:r>
            <w:proofErr w:type="spellStart"/>
            <w:r>
              <w:rPr>
                <w:rFonts w:cs="Arial"/>
                <w:sz w:val="20"/>
                <w:szCs w:val="20"/>
              </w:rPr>
              <w:t>Nitrosodimethylamine</w:t>
            </w:r>
            <w:proofErr w:type="spellEnd"/>
          </w:p>
        </w:tc>
        <w:tc>
          <w:tcPr>
            <w:tcW w:w="1125" w:type="dxa"/>
            <w:tcBorders>
              <w:top w:val="single" w:sz="6" w:space="0" w:color="auto"/>
              <w:left w:val="single" w:sz="6" w:space="0" w:color="auto"/>
              <w:bottom w:val="single" w:sz="6" w:space="0" w:color="auto"/>
              <w:right w:val="single" w:sz="6" w:space="0" w:color="auto"/>
            </w:tcBorders>
            <w:vAlign w:val="center"/>
          </w:tcPr>
          <w:p w14:paraId="4A7B2A7D" w14:textId="77777777" w:rsidR="009B5FE2" w:rsidRPr="00A0784B" w:rsidRDefault="009B5FE2" w:rsidP="00865409">
            <w:pPr>
              <w:pStyle w:val="TableText"/>
              <w:rPr>
                <w:rFonts w:cs="Arial"/>
                <w:sz w:val="20"/>
                <w:szCs w:val="20"/>
              </w:rPr>
            </w:pPr>
            <w:r>
              <w:rPr>
                <w:rFonts w:cs="Arial"/>
                <w:sz w:val="20"/>
                <w:szCs w:val="20"/>
              </w:rPr>
              <w:t>µg/L</w:t>
            </w:r>
          </w:p>
        </w:tc>
        <w:tc>
          <w:tcPr>
            <w:tcW w:w="1710" w:type="dxa"/>
            <w:tcBorders>
              <w:top w:val="single" w:sz="6" w:space="0" w:color="auto"/>
              <w:left w:val="single" w:sz="6" w:space="0" w:color="auto"/>
              <w:bottom w:val="single" w:sz="6" w:space="0" w:color="auto"/>
              <w:right w:val="single" w:sz="6" w:space="0" w:color="auto"/>
            </w:tcBorders>
            <w:vAlign w:val="center"/>
          </w:tcPr>
          <w:p w14:paraId="7219D167"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Borders>
              <w:top w:val="single" w:sz="6" w:space="0" w:color="auto"/>
              <w:left w:val="single" w:sz="6" w:space="0" w:color="auto"/>
              <w:bottom w:val="single" w:sz="6" w:space="0" w:color="auto"/>
              <w:right w:val="single" w:sz="12" w:space="0" w:color="auto"/>
            </w:tcBorders>
            <w:vAlign w:val="center"/>
          </w:tcPr>
          <w:p w14:paraId="63834E02" w14:textId="77777777" w:rsidR="009B5FE2" w:rsidRPr="00A0784B" w:rsidRDefault="009B5FE2" w:rsidP="00865409">
            <w:pPr>
              <w:pStyle w:val="TableText"/>
              <w:rPr>
                <w:rFonts w:cs="Arial"/>
                <w:sz w:val="20"/>
                <w:szCs w:val="20"/>
              </w:rPr>
            </w:pPr>
            <w:r>
              <w:rPr>
                <w:rFonts w:cs="Arial"/>
                <w:sz w:val="20"/>
                <w:szCs w:val="20"/>
              </w:rPr>
              <w:t>1/Quarter</w:t>
            </w:r>
          </w:p>
        </w:tc>
      </w:tr>
      <w:tr w:rsidR="009B5FE2" w:rsidRPr="00A0784B" w14:paraId="30B4E5BB" w14:textId="77777777" w:rsidTr="00865409">
        <w:trPr>
          <w:jc w:val="center"/>
        </w:trPr>
        <w:tc>
          <w:tcPr>
            <w:tcW w:w="2835" w:type="dxa"/>
            <w:vAlign w:val="center"/>
          </w:tcPr>
          <w:p w14:paraId="29580009" w14:textId="77777777" w:rsidR="009B5FE2" w:rsidRPr="00A0784B" w:rsidRDefault="009B5FE2" w:rsidP="00865409">
            <w:pPr>
              <w:pStyle w:val="TableText"/>
              <w:jc w:val="left"/>
              <w:rPr>
                <w:rFonts w:cs="Arial"/>
                <w:sz w:val="20"/>
                <w:szCs w:val="20"/>
              </w:rPr>
            </w:pPr>
            <w:r>
              <w:rPr>
                <w:rFonts w:cs="Arial"/>
                <w:sz w:val="20"/>
                <w:szCs w:val="20"/>
              </w:rPr>
              <w:t>Sodium</w:t>
            </w:r>
          </w:p>
        </w:tc>
        <w:tc>
          <w:tcPr>
            <w:tcW w:w="1125" w:type="dxa"/>
            <w:vAlign w:val="center"/>
          </w:tcPr>
          <w:p w14:paraId="30062B2B"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77B2D88D"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232A8173" w14:textId="77777777" w:rsidR="009B5FE2" w:rsidRPr="00A0784B" w:rsidRDefault="009B5FE2" w:rsidP="00865409">
            <w:pPr>
              <w:pStyle w:val="TableText"/>
              <w:rPr>
                <w:rFonts w:cs="Arial"/>
                <w:sz w:val="20"/>
                <w:szCs w:val="20"/>
              </w:rPr>
            </w:pPr>
            <w:r>
              <w:rPr>
                <w:rFonts w:cs="Arial"/>
                <w:sz w:val="20"/>
                <w:szCs w:val="20"/>
              </w:rPr>
              <w:t>1/Quarter</w:t>
            </w:r>
          </w:p>
        </w:tc>
      </w:tr>
      <w:tr w:rsidR="009B5FE2" w:rsidRPr="00A0784B" w14:paraId="37BBA55F" w14:textId="77777777" w:rsidTr="00865409">
        <w:trPr>
          <w:jc w:val="center"/>
        </w:trPr>
        <w:tc>
          <w:tcPr>
            <w:tcW w:w="2835" w:type="dxa"/>
            <w:vAlign w:val="center"/>
          </w:tcPr>
          <w:p w14:paraId="26DDFF51" w14:textId="77777777" w:rsidR="009B5FE2" w:rsidRPr="00A0784B" w:rsidRDefault="009B5FE2" w:rsidP="00865409">
            <w:pPr>
              <w:pStyle w:val="TableText"/>
              <w:jc w:val="left"/>
              <w:rPr>
                <w:rFonts w:cs="Arial"/>
                <w:sz w:val="20"/>
                <w:szCs w:val="20"/>
              </w:rPr>
            </w:pPr>
            <w:r>
              <w:rPr>
                <w:rFonts w:cs="Arial"/>
                <w:sz w:val="20"/>
                <w:szCs w:val="20"/>
              </w:rPr>
              <w:t>Chloride</w:t>
            </w:r>
          </w:p>
        </w:tc>
        <w:tc>
          <w:tcPr>
            <w:tcW w:w="1125" w:type="dxa"/>
            <w:vAlign w:val="center"/>
          </w:tcPr>
          <w:p w14:paraId="2D988BBC"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503585CF"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305B4039" w14:textId="77777777" w:rsidR="009B5FE2" w:rsidRPr="00A0784B" w:rsidRDefault="009B5FE2" w:rsidP="00865409">
            <w:pPr>
              <w:pStyle w:val="TableText"/>
              <w:rPr>
                <w:rFonts w:cs="Arial"/>
                <w:sz w:val="20"/>
                <w:szCs w:val="20"/>
              </w:rPr>
            </w:pPr>
            <w:r>
              <w:rPr>
                <w:rFonts w:cs="Arial"/>
                <w:sz w:val="20"/>
                <w:szCs w:val="20"/>
              </w:rPr>
              <w:t>1/Quarter</w:t>
            </w:r>
          </w:p>
        </w:tc>
      </w:tr>
      <w:tr w:rsidR="009B5FE2" w:rsidRPr="00A0784B" w14:paraId="4276FA96"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34C3FF1C" w14:textId="77777777" w:rsidR="009B5FE2" w:rsidRPr="00C82054" w:rsidRDefault="009B5FE2" w:rsidP="00865409">
            <w:pPr>
              <w:pStyle w:val="TableText"/>
              <w:jc w:val="left"/>
              <w:rPr>
                <w:rFonts w:cs="Arial"/>
                <w:sz w:val="20"/>
                <w:szCs w:val="20"/>
              </w:rPr>
            </w:pPr>
            <w:r>
              <w:rPr>
                <w:rFonts w:cs="Arial"/>
                <w:sz w:val="20"/>
                <w:szCs w:val="20"/>
              </w:rPr>
              <w:t>Chronic Toxicity</w:t>
            </w:r>
            <w:r w:rsidRPr="00C82054">
              <w:rPr>
                <w:rFonts w:cs="Arial"/>
                <w:sz w:val="20"/>
                <w:szCs w:val="20"/>
                <w:vertAlign w:val="superscript"/>
              </w:rPr>
              <w:t xml:space="preserve"> [</w:t>
            </w:r>
            <w:r>
              <w:rPr>
                <w:rFonts w:cs="Arial"/>
                <w:sz w:val="20"/>
                <w:szCs w:val="20"/>
                <w:vertAlign w:val="superscript"/>
              </w:rPr>
              <w:t>3</w:t>
            </w:r>
            <w:r w:rsidRPr="00C82054">
              <w:rPr>
                <w:rFonts w:cs="Arial"/>
                <w:sz w:val="20"/>
                <w:szCs w:val="20"/>
                <w:vertAlign w:val="superscript"/>
              </w:rPr>
              <w:t>]</w:t>
            </w:r>
          </w:p>
        </w:tc>
        <w:tc>
          <w:tcPr>
            <w:tcW w:w="1125" w:type="dxa"/>
            <w:tcBorders>
              <w:top w:val="single" w:sz="6" w:space="0" w:color="auto"/>
              <w:left w:val="single" w:sz="6" w:space="0" w:color="auto"/>
              <w:bottom w:val="single" w:sz="6" w:space="0" w:color="auto"/>
              <w:right w:val="single" w:sz="6" w:space="0" w:color="auto"/>
            </w:tcBorders>
            <w:vAlign w:val="center"/>
          </w:tcPr>
          <w:p w14:paraId="5E1EA797" w14:textId="77777777" w:rsidR="009B5FE2" w:rsidRPr="00C82054" w:rsidRDefault="009B5FE2" w:rsidP="00865409">
            <w:pPr>
              <w:pStyle w:val="TableText"/>
              <w:rPr>
                <w:rFonts w:cs="Arial"/>
                <w:sz w:val="20"/>
                <w:szCs w:val="20"/>
              </w:rPr>
            </w:pPr>
            <w:proofErr w:type="spellStart"/>
            <w:r>
              <w:rPr>
                <w:rFonts w:cs="Arial"/>
                <w:sz w:val="20"/>
                <w:szCs w:val="20"/>
              </w:rPr>
              <w:t>TU</w:t>
            </w:r>
            <w:r w:rsidRPr="00C82054">
              <w:rPr>
                <w:rFonts w:cs="Arial"/>
                <w:sz w:val="20"/>
                <w:szCs w:val="20"/>
              </w:rPr>
              <w:t>c</w:t>
            </w:r>
            <w:proofErr w:type="spellEnd"/>
          </w:p>
        </w:tc>
        <w:tc>
          <w:tcPr>
            <w:tcW w:w="1710" w:type="dxa"/>
            <w:tcBorders>
              <w:top w:val="single" w:sz="6" w:space="0" w:color="auto"/>
              <w:left w:val="single" w:sz="6" w:space="0" w:color="auto"/>
              <w:bottom w:val="single" w:sz="6" w:space="0" w:color="auto"/>
              <w:right w:val="single" w:sz="6" w:space="0" w:color="auto"/>
            </w:tcBorders>
            <w:vAlign w:val="center"/>
          </w:tcPr>
          <w:p w14:paraId="59104490" w14:textId="77777777" w:rsidR="009B5FE2" w:rsidRPr="00A0784B" w:rsidRDefault="009B5FE2" w:rsidP="00865409">
            <w:pPr>
              <w:pStyle w:val="TableText"/>
              <w:rPr>
                <w:rFonts w:cs="Arial"/>
                <w:sz w:val="20"/>
                <w:szCs w:val="20"/>
              </w:rPr>
            </w:pPr>
            <w:r>
              <w:rPr>
                <w:rFonts w:cs="Arial"/>
                <w:sz w:val="20"/>
                <w:szCs w:val="20"/>
              </w:rPr>
              <w:t>Grab</w:t>
            </w:r>
          </w:p>
        </w:tc>
        <w:tc>
          <w:tcPr>
            <w:tcW w:w="2520" w:type="dxa"/>
            <w:tcBorders>
              <w:top w:val="single" w:sz="6" w:space="0" w:color="auto"/>
              <w:left w:val="single" w:sz="6" w:space="0" w:color="auto"/>
              <w:bottom w:val="single" w:sz="6" w:space="0" w:color="auto"/>
              <w:right w:val="single" w:sz="12" w:space="0" w:color="auto"/>
            </w:tcBorders>
            <w:vAlign w:val="center"/>
          </w:tcPr>
          <w:p w14:paraId="60233A0D" w14:textId="77777777" w:rsidR="009B5FE2" w:rsidRPr="00A0784B" w:rsidRDefault="009B5FE2" w:rsidP="00865409">
            <w:pPr>
              <w:pStyle w:val="TableText"/>
              <w:rPr>
                <w:rFonts w:cs="Arial"/>
                <w:sz w:val="20"/>
                <w:szCs w:val="20"/>
              </w:rPr>
            </w:pPr>
            <w:r>
              <w:rPr>
                <w:rFonts w:cs="Arial"/>
                <w:sz w:val="20"/>
                <w:szCs w:val="20"/>
              </w:rPr>
              <w:t>1/Year (in October)</w:t>
            </w:r>
          </w:p>
        </w:tc>
      </w:tr>
      <w:tr w:rsidR="009B5FE2" w:rsidRPr="00A0784B" w14:paraId="4C1F7F54" w14:textId="77777777" w:rsidTr="00865409">
        <w:trPr>
          <w:jc w:val="center"/>
        </w:trPr>
        <w:tc>
          <w:tcPr>
            <w:tcW w:w="2835" w:type="dxa"/>
            <w:tcBorders>
              <w:top w:val="single" w:sz="6" w:space="0" w:color="auto"/>
              <w:left w:val="single" w:sz="12" w:space="0" w:color="auto"/>
              <w:bottom w:val="single" w:sz="6" w:space="0" w:color="auto"/>
              <w:right w:val="single" w:sz="6" w:space="0" w:color="auto"/>
            </w:tcBorders>
            <w:vAlign w:val="center"/>
          </w:tcPr>
          <w:p w14:paraId="69781B9D" w14:textId="77777777" w:rsidR="009B5FE2" w:rsidRPr="00A0784B" w:rsidRDefault="009B5FE2" w:rsidP="00865409">
            <w:pPr>
              <w:pStyle w:val="TableText"/>
              <w:jc w:val="left"/>
              <w:rPr>
                <w:rFonts w:cs="Arial"/>
                <w:sz w:val="20"/>
                <w:szCs w:val="20"/>
              </w:rPr>
            </w:pPr>
            <w:r>
              <w:rPr>
                <w:rFonts w:cs="Arial"/>
                <w:sz w:val="20"/>
                <w:szCs w:val="20"/>
              </w:rPr>
              <w:t>Acute Toxicity</w:t>
            </w:r>
            <w:r>
              <w:rPr>
                <w:rFonts w:cs="Arial"/>
                <w:sz w:val="20"/>
                <w:szCs w:val="20"/>
                <w:vertAlign w:val="superscript"/>
              </w:rPr>
              <w:t xml:space="preserve"> [3</w:t>
            </w:r>
            <w:r w:rsidRPr="00C82054">
              <w:rPr>
                <w:rFonts w:cs="Arial"/>
                <w:sz w:val="20"/>
                <w:szCs w:val="20"/>
                <w:vertAlign w:val="superscript"/>
              </w:rPr>
              <w:t>]</w:t>
            </w:r>
          </w:p>
        </w:tc>
        <w:tc>
          <w:tcPr>
            <w:tcW w:w="1125" w:type="dxa"/>
            <w:tcBorders>
              <w:top w:val="single" w:sz="6" w:space="0" w:color="auto"/>
              <w:left w:val="single" w:sz="6" w:space="0" w:color="auto"/>
              <w:bottom w:val="single" w:sz="6" w:space="0" w:color="auto"/>
              <w:right w:val="single" w:sz="6" w:space="0" w:color="auto"/>
            </w:tcBorders>
            <w:vAlign w:val="center"/>
          </w:tcPr>
          <w:p w14:paraId="3FC84F0B" w14:textId="77777777" w:rsidR="009B5FE2" w:rsidRPr="00C82054" w:rsidRDefault="009B5FE2" w:rsidP="00865409">
            <w:pPr>
              <w:pStyle w:val="TableText"/>
              <w:rPr>
                <w:rFonts w:cs="Arial"/>
                <w:sz w:val="20"/>
                <w:szCs w:val="20"/>
              </w:rPr>
            </w:pPr>
            <w:proofErr w:type="spellStart"/>
            <w:r>
              <w:rPr>
                <w:rFonts w:cs="Arial"/>
                <w:sz w:val="20"/>
                <w:szCs w:val="20"/>
              </w:rPr>
              <w:t>TU</w:t>
            </w:r>
            <w:r w:rsidRPr="00C82054">
              <w:rPr>
                <w:rFonts w:cs="Arial"/>
                <w:sz w:val="20"/>
                <w:szCs w:val="20"/>
              </w:rPr>
              <w:t>a</w:t>
            </w:r>
            <w:proofErr w:type="spellEnd"/>
          </w:p>
        </w:tc>
        <w:tc>
          <w:tcPr>
            <w:tcW w:w="1710" w:type="dxa"/>
            <w:tcBorders>
              <w:top w:val="single" w:sz="6" w:space="0" w:color="auto"/>
              <w:left w:val="single" w:sz="6" w:space="0" w:color="auto"/>
              <w:bottom w:val="single" w:sz="6" w:space="0" w:color="auto"/>
              <w:right w:val="single" w:sz="6" w:space="0" w:color="auto"/>
            </w:tcBorders>
            <w:vAlign w:val="center"/>
          </w:tcPr>
          <w:p w14:paraId="028D4040" w14:textId="77777777" w:rsidR="009B5FE2" w:rsidRPr="00A0784B" w:rsidRDefault="009B5FE2" w:rsidP="00865409">
            <w:pPr>
              <w:pStyle w:val="TableText"/>
              <w:rPr>
                <w:rFonts w:cs="Arial"/>
                <w:sz w:val="20"/>
                <w:szCs w:val="20"/>
              </w:rPr>
            </w:pPr>
            <w:r>
              <w:rPr>
                <w:rFonts w:cs="Arial"/>
                <w:sz w:val="20"/>
                <w:szCs w:val="20"/>
              </w:rPr>
              <w:t>Grab</w:t>
            </w:r>
          </w:p>
        </w:tc>
        <w:tc>
          <w:tcPr>
            <w:tcW w:w="2520" w:type="dxa"/>
            <w:tcBorders>
              <w:top w:val="single" w:sz="6" w:space="0" w:color="auto"/>
              <w:left w:val="single" w:sz="6" w:space="0" w:color="auto"/>
              <w:bottom w:val="single" w:sz="6" w:space="0" w:color="auto"/>
              <w:right w:val="single" w:sz="12" w:space="0" w:color="auto"/>
            </w:tcBorders>
            <w:vAlign w:val="center"/>
          </w:tcPr>
          <w:p w14:paraId="7FE69643" w14:textId="77777777" w:rsidR="009B5FE2" w:rsidRPr="00A0784B" w:rsidRDefault="009B5FE2" w:rsidP="00865409">
            <w:pPr>
              <w:pStyle w:val="TableText"/>
              <w:rPr>
                <w:rFonts w:cs="Arial"/>
                <w:sz w:val="20"/>
                <w:szCs w:val="20"/>
              </w:rPr>
            </w:pPr>
            <w:r>
              <w:rPr>
                <w:rFonts w:cs="Arial"/>
                <w:sz w:val="20"/>
                <w:szCs w:val="20"/>
              </w:rPr>
              <w:t>1/Year (in October)</w:t>
            </w:r>
          </w:p>
        </w:tc>
      </w:tr>
      <w:tr w:rsidR="009B5FE2" w:rsidRPr="00A0784B" w14:paraId="253B4922" w14:textId="77777777" w:rsidTr="00865409">
        <w:trPr>
          <w:jc w:val="center"/>
        </w:trPr>
        <w:tc>
          <w:tcPr>
            <w:tcW w:w="2835" w:type="dxa"/>
            <w:vAlign w:val="center"/>
          </w:tcPr>
          <w:p w14:paraId="6F649526" w14:textId="77777777" w:rsidR="009B5FE2" w:rsidRDefault="009B5FE2" w:rsidP="00865409">
            <w:pPr>
              <w:pStyle w:val="TableText"/>
              <w:jc w:val="left"/>
              <w:rPr>
                <w:rFonts w:cs="Arial"/>
                <w:sz w:val="20"/>
                <w:szCs w:val="20"/>
              </w:rPr>
            </w:pPr>
            <w:r>
              <w:rPr>
                <w:rFonts w:cs="Arial"/>
                <w:sz w:val="20"/>
                <w:szCs w:val="20"/>
              </w:rPr>
              <w:t>MBAS</w:t>
            </w:r>
          </w:p>
        </w:tc>
        <w:tc>
          <w:tcPr>
            <w:tcW w:w="1125" w:type="dxa"/>
            <w:vAlign w:val="center"/>
          </w:tcPr>
          <w:p w14:paraId="00BAD8A1"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1B155BDA" w14:textId="77777777" w:rsidR="009B5FE2" w:rsidRPr="00A0784B" w:rsidRDefault="009B5FE2" w:rsidP="00865409">
            <w:pPr>
              <w:pStyle w:val="TableText"/>
              <w:rPr>
                <w:rFonts w:cs="Arial"/>
                <w:sz w:val="20"/>
                <w:szCs w:val="20"/>
              </w:rPr>
            </w:pPr>
            <w:r>
              <w:rPr>
                <w:rFonts w:cs="Arial"/>
                <w:sz w:val="20"/>
                <w:szCs w:val="20"/>
              </w:rPr>
              <w:t>Grab</w:t>
            </w:r>
          </w:p>
        </w:tc>
        <w:tc>
          <w:tcPr>
            <w:tcW w:w="2520" w:type="dxa"/>
            <w:vAlign w:val="center"/>
          </w:tcPr>
          <w:p w14:paraId="1D7178FD" w14:textId="77777777" w:rsidR="009B5FE2" w:rsidRPr="00FD1C68" w:rsidRDefault="009B5FE2" w:rsidP="00865409">
            <w:pPr>
              <w:pStyle w:val="TableText"/>
              <w:rPr>
                <w:rFonts w:cs="Arial"/>
                <w:sz w:val="20"/>
                <w:szCs w:val="20"/>
                <w:highlight w:val="yellow"/>
              </w:rPr>
            </w:pPr>
            <w:r>
              <w:rPr>
                <w:rFonts w:cs="Arial"/>
                <w:sz w:val="20"/>
                <w:szCs w:val="20"/>
              </w:rPr>
              <w:t>1/Year (in October)</w:t>
            </w:r>
          </w:p>
        </w:tc>
      </w:tr>
      <w:tr w:rsidR="009B5FE2" w:rsidRPr="00A0784B" w14:paraId="67569257" w14:textId="77777777" w:rsidTr="00865409">
        <w:trPr>
          <w:jc w:val="center"/>
        </w:trPr>
        <w:tc>
          <w:tcPr>
            <w:tcW w:w="2835" w:type="dxa"/>
            <w:vAlign w:val="center"/>
          </w:tcPr>
          <w:p w14:paraId="6E71568F" w14:textId="77777777" w:rsidR="009B5FE2" w:rsidRDefault="009B5FE2" w:rsidP="00865409">
            <w:pPr>
              <w:pStyle w:val="TableText"/>
              <w:jc w:val="left"/>
              <w:rPr>
                <w:rFonts w:cs="Arial"/>
                <w:sz w:val="20"/>
                <w:szCs w:val="20"/>
              </w:rPr>
            </w:pPr>
            <w:r>
              <w:rPr>
                <w:rFonts w:cs="Arial"/>
                <w:sz w:val="20"/>
                <w:szCs w:val="20"/>
              </w:rPr>
              <w:t>Boron</w:t>
            </w:r>
          </w:p>
        </w:tc>
        <w:tc>
          <w:tcPr>
            <w:tcW w:w="1125" w:type="dxa"/>
            <w:vAlign w:val="center"/>
          </w:tcPr>
          <w:p w14:paraId="0D128CCC"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1BB02C14"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5097B70F" w14:textId="77777777" w:rsidR="009B5FE2" w:rsidRDefault="009B5FE2" w:rsidP="00865409">
            <w:pPr>
              <w:jc w:val="center"/>
            </w:pPr>
            <w:r w:rsidRPr="008E3BEF">
              <w:rPr>
                <w:rFonts w:cs="Arial"/>
                <w:sz w:val="20"/>
                <w:szCs w:val="20"/>
              </w:rPr>
              <w:t>1/Year (in October)</w:t>
            </w:r>
          </w:p>
        </w:tc>
      </w:tr>
      <w:tr w:rsidR="009B5FE2" w:rsidRPr="00A0784B" w14:paraId="459933D6" w14:textId="77777777" w:rsidTr="00865409">
        <w:trPr>
          <w:jc w:val="center"/>
        </w:trPr>
        <w:tc>
          <w:tcPr>
            <w:tcW w:w="2835" w:type="dxa"/>
            <w:vAlign w:val="center"/>
          </w:tcPr>
          <w:p w14:paraId="7F38EFEA" w14:textId="77777777" w:rsidR="009B5FE2" w:rsidRDefault="009B5FE2" w:rsidP="00865409">
            <w:pPr>
              <w:pStyle w:val="TableText"/>
              <w:jc w:val="left"/>
              <w:rPr>
                <w:rFonts w:cs="Arial"/>
                <w:sz w:val="20"/>
                <w:szCs w:val="20"/>
              </w:rPr>
            </w:pPr>
            <w:r>
              <w:rPr>
                <w:rFonts w:cs="Arial"/>
                <w:sz w:val="20"/>
                <w:szCs w:val="20"/>
              </w:rPr>
              <w:t>Cobalt</w:t>
            </w:r>
          </w:p>
        </w:tc>
        <w:tc>
          <w:tcPr>
            <w:tcW w:w="1125" w:type="dxa"/>
            <w:vAlign w:val="center"/>
          </w:tcPr>
          <w:p w14:paraId="4658DBD1"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59F5CBD9"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459A2563" w14:textId="77777777" w:rsidR="009B5FE2" w:rsidRDefault="009B5FE2" w:rsidP="00865409">
            <w:pPr>
              <w:jc w:val="center"/>
            </w:pPr>
            <w:r w:rsidRPr="008E3BEF">
              <w:rPr>
                <w:rFonts w:cs="Arial"/>
                <w:sz w:val="20"/>
                <w:szCs w:val="20"/>
              </w:rPr>
              <w:t>1/Year (in October)</w:t>
            </w:r>
          </w:p>
        </w:tc>
      </w:tr>
      <w:tr w:rsidR="009B5FE2" w:rsidRPr="00A0784B" w14:paraId="2FB6BDB2" w14:textId="77777777" w:rsidTr="00865409">
        <w:trPr>
          <w:jc w:val="center"/>
        </w:trPr>
        <w:tc>
          <w:tcPr>
            <w:tcW w:w="2835" w:type="dxa"/>
            <w:vAlign w:val="center"/>
          </w:tcPr>
          <w:p w14:paraId="21666FA9" w14:textId="77777777" w:rsidR="009B5FE2" w:rsidRDefault="009B5FE2" w:rsidP="00865409">
            <w:pPr>
              <w:pStyle w:val="TableText"/>
              <w:jc w:val="left"/>
              <w:rPr>
                <w:rFonts w:cs="Arial"/>
                <w:sz w:val="20"/>
                <w:szCs w:val="20"/>
              </w:rPr>
            </w:pPr>
            <w:r>
              <w:rPr>
                <w:rFonts w:cs="Arial"/>
                <w:sz w:val="20"/>
                <w:szCs w:val="20"/>
              </w:rPr>
              <w:t>Iron</w:t>
            </w:r>
          </w:p>
        </w:tc>
        <w:tc>
          <w:tcPr>
            <w:tcW w:w="1125" w:type="dxa"/>
            <w:vAlign w:val="center"/>
          </w:tcPr>
          <w:p w14:paraId="71D674D7"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4B4D6320"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72E0A8C0" w14:textId="77777777" w:rsidR="009B5FE2" w:rsidRDefault="009B5FE2" w:rsidP="00865409">
            <w:pPr>
              <w:jc w:val="center"/>
            </w:pPr>
            <w:r w:rsidRPr="008E3BEF">
              <w:rPr>
                <w:rFonts w:cs="Arial"/>
                <w:sz w:val="20"/>
                <w:szCs w:val="20"/>
              </w:rPr>
              <w:t>1/Year (in October)</w:t>
            </w:r>
          </w:p>
        </w:tc>
      </w:tr>
      <w:tr w:rsidR="009B5FE2" w:rsidRPr="00A0784B" w14:paraId="6742C7EF" w14:textId="77777777" w:rsidTr="00865409">
        <w:trPr>
          <w:jc w:val="center"/>
        </w:trPr>
        <w:tc>
          <w:tcPr>
            <w:tcW w:w="2835" w:type="dxa"/>
            <w:vAlign w:val="center"/>
          </w:tcPr>
          <w:p w14:paraId="10981787" w14:textId="77777777" w:rsidR="009B5FE2" w:rsidRDefault="009B5FE2" w:rsidP="00865409">
            <w:pPr>
              <w:pStyle w:val="TableText"/>
              <w:jc w:val="left"/>
              <w:rPr>
                <w:rFonts w:cs="Arial"/>
                <w:sz w:val="20"/>
                <w:szCs w:val="20"/>
              </w:rPr>
            </w:pPr>
            <w:r>
              <w:rPr>
                <w:rFonts w:cs="Arial"/>
                <w:sz w:val="20"/>
                <w:szCs w:val="20"/>
              </w:rPr>
              <w:t>Lithium</w:t>
            </w:r>
          </w:p>
        </w:tc>
        <w:tc>
          <w:tcPr>
            <w:tcW w:w="1125" w:type="dxa"/>
            <w:vAlign w:val="center"/>
          </w:tcPr>
          <w:p w14:paraId="35CB62EC"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569EB925"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2231B03D" w14:textId="77777777" w:rsidR="009B5FE2" w:rsidRDefault="009B5FE2" w:rsidP="00865409">
            <w:pPr>
              <w:jc w:val="center"/>
            </w:pPr>
            <w:r w:rsidRPr="008E3BEF">
              <w:rPr>
                <w:rFonts w:cs="Arial"/>
                <w:sz w:val="20"/>
                <w:szCs w:val="20"/>
              </w:rPr>
              <w:t>1/Year (in October)</w:t>
            </w:r>
          </w:p>
        </w:tc>
      </w:tr>
      <w:tr w:rsidR="009B5FE2" w:rsidRPr="00A0784B" w14:paraId="362D8689" w14:textId="77777777" w:rsidTr="00865409">
        <w:trPr>
          <w:jc w:val="center"/>
        </w:trPr>
        <w:tc>
          <w:tcPr>
            <w:tcW w:w="2835" w:type="dxa"/>
            <w:vAlign w:val="center"/>
          </w:tcPr>
          <w:p w14:paraId="07FD0960" w14:textId="77777777" w:rsidR="009B5FE2" w:rsidRDefault="009B5FE2" w:rsidP="00865409">
            <w:pPr>
              <w:pStyle w:val="TableText"/>
              <w:jc w:val="left"/>
              <w:rPr>
                <w:rFonts w:cs="Arial"/>
                <w:sz w:val="20"/>
                <w:szCs w:val="20"/>
              </w:rPr>
            </w:pPr>
            <w:r>
              <w:rPr>
                <w:rFonts w:cs="Arial"/>
                <w:sz w:val="20"/>
                <w:szCs w:val="20"/>
              </w:rPr>
              <w:t>Manganese</w:t>
            </w:r>
          </w:p>
        </w:tc>
        <w:tc>
          <w:tcPr>
            <w:tcW w:w="1125" w:type="dxa"/>
            <w:vAlign w:val="center"/>
          </w:tcPr>
          <w:p w14:paraId="115D4A6C"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42FCBA98"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748F3D3F" w14:textId="77777777" w:rsidR="009B5FE2" w:rsidRDefault="009B5FE2" w:rsidP="00865409">
            <w:pPr>
              <w:jc w:val="center"/>
            </w:pPr>
            <w:r w:rsidRPr="008E3BEF">
              <w:rPr>
                <w:rFonts w:cs="Arial"/>
                <w:sz w:val="20"/>
                <w:szCs w:val="20"/>
              </w:rPr>
              <w:t>1/Year (in October)</w:t>
            </w:r>
          </w:p>
        </w:tc>
      </w:tr>
      <w:tr w:rsidR="009B5FE2" w:rsidRPr="00A0784B" w14:paraId="525DF874" w14:textId="77777777" w:rsidTr="00865409">
        <w:trPr>
          <w:jc w:val="center"/>
        </w:trPr>
        <w:tc>
          <w:tcPr>
            <w:tcW w:w="2835" w:type="dxa"/>
            <w:vAlign w:val="center"/>
          </w:tcPr>
          <w:p w14:paraId="0B8EF7EF" w14:textId="77777777" w:rsidR="009B5FE2" w:rsidRDefault="009B5FE2" w:rsidP="00865409">
            <w:pPr>
              <w:pStyle w:val="TableText"/>
              <w:jc w:val="left"/>
              <w:rPr>
                <w:rFonts w:cs="Arial"/>
                <w:sz w:val="20"/>
                <w:szCs w:val="20"/>
              </w:rPr>
            </w:pPr>
            <w:r>
              <w:rPr>
                <w:rFonts w:cs="Arial"/>
                <w:sz w:val="20"/>
                <w:szCs w:val="20"/>
              </w:rPr>
              <w:t>Molybdenum</w:t>
            </w:r>
          </w:p>
        </w:tc>
        <w:tc>
          <w:tcPr>
            <w:tcW w:w="1125" w:type="dxa"/>
            <w:vAlign w:val="center"/>
          </w:tcPr>
          <w:p w14:paraId="06CA4E37"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1A2744E9"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6F8B6992" w14:textId="77777777" w:rsidR="009B5FE2" w:rsidRDefault="009B5FE2" w:rsidP="00865409">
            <w:pPr>
              <w:jc w:val="center"/>
            </w:pPr>
            <w:r w:rsidRPr="008E3BEF">
              <w:rPr>
                <w:rFonts w:cs="Arial"/>
                <w:sz w:val="20"/>
                <w:szCs w:val="20"/>
              </w:rPr>
              <w:t>1/Year (in October)</w:t>
            </w:r>
          </w:p>
        </w:tc>
      </w:tr>
      <w:tr w:rsidR="009B5FE2" w:rsidRPr="00A0784B" w14:paraId="00CED8C6" w14:textId="77777777" w:rsidTr="00865409">
        <w:trPr>
          <w:jc w:val="center"/>
        </w:trPr>
        <w:tc>
          <w:tcPr>
            <w:tcW w:w="2835" w:type="dxa"/>
            <w:vAlign w:val="center"/>
          </w:tcPr>
          <w:p w14:paraId="7A116210" w14:textId="77777777" w:rsidR="009B5FE2" w:rsidRDefault="009B5FE2" w:rsidP="00865409">
            <w:pPr>
              <w:pStyle w:val="TableText"/>
              <w:jc w:val="left"/>
              <w:rPr>
                <w:rFonts w:cs="Arial"/>
                <w:sz w:val="20"/>
                <w:szCs w:val="20"/>
              </w:rPr>
            </w:pPr>
            <w:r>
              <w:rPr>
                <w:rFonts w:cs="Arial"/>
                <w:sz w:val="20"/>
                <w:szCs w:val="20"/>
              </w:rPr>
              <w:t>Vanadium</w:t>
            </w:r>
          </w:p>
        </w:tc>
        <w:tc>
          <w:tcPr>
            <w:tcW w:w="1125" w:type="dxa"/>
            <w:vAlign w:val="center"/>
          </w:tcPr>
          <w:p w14:paraId="07EBFD8C" w14:textId="77777777" w:rsidR="009B5FE2" w:rsidRPr="00A0784B" w:rsidRDefault="009B5FE2" w:rsidP="00865409">
            <w:pPr>
              <w:pStyle w:val="TableText"/>
              <w:rPr>
                <w:rFonts w:cs="Arial"/>
                <w:sz w:val="20"/>
                <w:szCs w:val="20"/>
              </w:rPr>
            </w:pPr>
            <w:r>
              <w:rPr>
                <w:rFonts w:cs="Arial"/>
                <w:sz w:val="20"/>
                <w:szCs w:val="20"/>
              </w:rPr>
              <w:t>mg/L</w:t>
            </w:r>
          </w:p>
        </w:tc>
        <w:tc>
          <w:tcPr>
            <w:tcW w:w="1710" w:type="dxa"/>
            <w:vAlign w:val="center"/>
          </w:tcPr>
          <w:p w14:paraId="036A8F8C" w14:textId="77777777" w:rsidR="009B5FE2" w:rsidRPr="00A0784B" w:rsidRDefault="009B5FE2" w:rsidP="00865409">
            <w:pPr>
              <w:pStyle w:val="TableText"/>
              <w:rPr>
                <w:rFonts w:cs="Arial"/>
                <w:sz w:val="20"/>
                <w:szCs w:val="20"/>
              </w:rPr>
            </w:pPr>
            <w:r>
              <w:rPr>
                <w:rFonts w:cs="Arial"/>
                <w:sz w:val="20"/>
                <w:szCs w:val="20"/>
              </w:rPr>
              <w:t>Grab</w:t>
            </w:r>
          </w:p>
        </w:tc>
        <w:tc>
          <w:tcPr>
            <w:tcW w:w="2520" w:type="dxa"/>
          </w:tcPr>
          <w:p w14:paraId="2A119D5E" w14:textId="77777777" w:rsidR="009B5FE2" w:rsidRDefault="009B5FE2" w:rsidP="00865409">
            <w:pPr>
              <w:jc w:val="center"/>
            </w:pPr>
            <w:r w:rsidRPr="008E3BEF">
              <w:rPr>
                <w:rFonts w:cs="Arial"/>
                <w:sz w:val="20"/>
                <w:szCs w:val="20"/>
              </w:rPr>
              <w:t>1/Year (in October)</w:t>
            </w:r>
          </w:p>
        </w:tc>
      </w:tr>
      <w:tr w:rsidR="009B5FE2" w:rsidRPr="00A0784B" w14:paraId="183AEFBE" w14:textId="77777777" w:rsidTr="00865409">
        <w:trPr>
          <w:jc w:val="center"/>
        </w:trPr>
        <w:tc>
          <w:tcPr>
            <w:tcW w:w="2835" w:type="dxa"/>
            <w:vAlign w:val="center"/>
          </w:tcPr>
          <w:p w14:paraId="1A5ECB32" w14:textId="77777777" w:rsidR="009B5FE2" w:rsidRPr="002C2437" w:rsidRDefault="009B5FE2" w:rsidP="00865409">
            <w:pPr>
              <w:pStyle w:val="TableText"/>
              <w:jc w:val="left"/>
              <w:rPr>
                <w:rFonts w:cs="Arial"/>
                <w:sz w:val="20"/>
                <w:szCs w:val="20"/>
                <w:vertAlign w:val="superscript"/>
              </w:rPr>
            </w:pPr>
            <w:r>
              <w:rPr>
                <w:rFonts w:cs="Arial"/>
                <w:sz w:val="20"/>
                <w:szCs w:val="20"/>
              </w:rPr>
              <w:t xml:space="preserve">CTR Pollutants </w:t>
            </w:r>
            <w:r>
              <w:rPr>
                <w:rFonts w:cs="Arial"/>
                <w:sz w:val="20"/>
                <w:szCs w:val="20"/>
                <w:vertAlign w:val="superscript"/>
              </w:rPr>
              <w:t>[4], [5]</w:t>
            </w:r>
          </w:p>
        </w:tc>
        <w:tc>
          <w:tcPr>
            <w:tcW w:w="1125" w:type="dxa"/>
            <w:vAlign w:val="center"/>
          </w:tcPr>
          <w:p w14:paraId="41A5F789" w14:textId="77777777" w:rsidR="009B5FE2" w:rsidRPr="00A0784B" w:rsidRDefault="009B5FE2" w:rsidP="00865409">
            <w:pPr>
              <w:pStyle w:val="TableText"/>
              <w:rPr>
                <w:rFonts w:cs="Arial"/>
                <w:sz w:val="20"/>
                <w:szCs w:val="20"/>
              </w:rPr>
            </w:pPr>
            <w:r>
              <w:rPr>
                <w:rFonts w:cs="Arial"/>
                <w:sz w:val="20"/>
                <w:szCs w:val="20"/>
              </w:rPr>
              <w:t>µg/L</w:t>
            </w:r>
          </w:p>
        </w:tc>
        <w:tc>
          <w:tcPr>
            <w:tcW w:w="1710" w:type="dxa"/>
            <w:vAlign w:val="center"/>
          </w:tcPr>
          <w:p w14:paraId="171614DB"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Pr>
          <w:p w14:paraId="452ADBB1" w14:textId="77777777" w:rsidR="009B5FE2" w:rsidRDefault="009B5FE2" w:rsidP="00865409">
            <w:pPr>
              <w:jc w:val="center"/>
            </w:pPr>
            <w:r w:rsidRPr="001235E9">
              <w:rPr>
                <w:rFonts w:cs="Arial"/>
                <w:sz w:val="20"/>
                <w:szCs w:val="20"/>
              </w:rPr>
              <w:t>1/Year (in October)</w:t>
            </w:r>
          </w:p>
        </w:tc>
      </w:tr>
      <w:tr w:rsidR="009B5FE2" w:rsidRPr="00A0784B" w14:paraId="0533E097" w14:textId="77777777" w:rsidTr="00865409">
        <w:trPr>
          <w:jc w:val="center"/>
        </w:trPr>
        <w:tc>
          <w:tcPr>
            <w:tcW w:w="2835" w:type="dxa"/>
            <w:vAlign w:val="center"/>
          </w:tcPr>
          <w:p w14:paraId="280C08B8" w14:textId="77777777" w:rsidR="009B5FE2" w:rsidRDefault="009B5FE2" w:rsidP="00865409">
            <w:pPr>
              <w:pStyle w:val="TableText"/>
              <w:jc w:val="left"/>
              <w:rPr>
                <w:rFonts w:cs="Arial"/>
                <w:sz w:val="20"/>
                <w:szCs w:val="20"/>
              </w:rPr>
            </w:pPr>
            <w:r>
              <w:rPr>
                <w:rFonts w:cs="Arial"/>
                <w:sz w:val="20"/>
                <w:szCs w:val="20"/>
              </w:rPr>
              <w:t xml:space="preserve">Title 22 Pollutants </w:t>
            </w:r>
            <w:r>
              <w:rPr>
                <w:rFonts w:cs="Arial"/>
                <w:sz w:val="20"/>
                <w:szCs w:val="20"/>
                <w:vertAlign w:val="superscript"/>
              </w:rPr>
              <w:t>[6], [7]</w:t>
            </w:r>
          </w:p>
        </w:tc>
        <w:tc>
          <w:tcPr>
            <w:tcW w:w="1125" w:type="dxa"/>
            <w:vAlign w:val="center"/>
          </w:tcPr>
          <w:p w14:paraId="70B73343" w14:textId="77777777" w:rsidR="009B5FE2" w:rsidRPr="00A0784B" w:rsidRDefault="009B5FE2" w:rsidP="00865409">
            <w:pPr>
              <w:pStyle w:val="TableText"/>
              <w:rPr>
                <w:rFonts w:cs="Arial"/>
                <w:sz w:val="20"/>
                <w:szCs w:val="20"/>
              </w:rPr>
            </w:pPr>
            <w:r>
              <w:rPr>
                <w:rFonts w:cs="Arial"/>
                <w:sz w:val="20"/>
                <w:szCs w:val="20"/>
              </w:rPr>
              <w:t>µg/L</w:t>
            </w:r>
          </w:p>
        </w:tc>
        <w:tc>
          <w:tcPr>
            <w:tcW w:w="1710" w:type="dxa"/>
            <w:vAlign w:val="center"/>
          </w:tcPr>
          <w:p w14:paraId="3F3688ED" w14:textId="77777777" w:rsidR="009B5FE2" w:rsidRPr="00A0784B" w:rsidRDefault="009B5FE2" w:rsidP="00865409">
            <w:pPr>
              <w:pStyle w:val="TableText"/>
              <w:rPr>
                <w:rFonts w:cs="Arial"/>
                <w:sz w:val="20"/>
                <w:szCs w:val="20"/>
              </w:rPr>
            </w:pPr>
            <w:r>
              <w:rPr>
                <w:rFonts w:cs="Arial"/>
                <w:sz w:val="20"/>
                <w:szCs w:val="20"/>
              </w:rPr>
              <w:t>24-hr. composite</w:t>
            </w:r>
          </w:p>
        </w:tc>
        <w:tc>
          <w:tcPr>
            <w:tcW w:w="2520" w:type="dxa"/>
          </w:tcPr>
          <w:p w14:paraId="2A2FC20B" w14:textId="77777777" w:rsidR="009B5FE2" w:rsidRDefault="009B5FE2" w:rsidP="00865409">
            <w:pPr>
              <w:jc w:val="center"/>
            </w:pPr>
            <w:r w:rsidRPr="001235E9">
              <w:rPr>
                <w:rFonts w:cs="Arial"/>
                <w:sz w:val="20"/>
                <w:szCs w:val="20"/>
              </w:rPr>
              <w:t>1/Year (in October)</w:t>
            </w:r>
          </w:p>
        </w:tc>
      </w:tr>
    </w:tbl>
    <w:p w14:paraId="43AF4BD2" w14:textId="77777777" w:rsidR="009B5FE2" w:rsidRPr="00EE5684" w:rsidRDefault="009B5FE2" w:rsidP="009B5FE2">
      <w:pPr>
        <w:pStyle w:val="BodyNumber065"/>
        <w:numPr>
          <w:ilvl w:val="0"/>
          <w:numId w:val="0"/>
        </w:numPr>
        <w:tabs>
          <w:tab w:val="left" w:pos="540"/>
        </w:tabs>
        <w:ind w:left="540" w:hanging="360"/>
        <w:jc w:val="both"/>
        <w:rPr>
          <w:sz w:val="18"/>
          <w:szCs w:val="18"/>
        </w:rPr>
      </w:pPr>
      <w:r>
        <w:rPr>
          <w:sz w:val="18"/>
          <w:szCs w:val="18"/>
          <w:vertAlign w:val="superscript"/>
        </w:rPr>
        <w:t>[1]</w:t>
      </w:r>
      <w:r>
        <w:rPr>
          <w:sz w:val="18"/>
          <w:szCs w:val="18"/>
          <w:vertAlign w:val="superscript"/>
        </w:rPr>
        <w:tab/>
      </w:r>
      <w:r>
        <w:rPr>
          <w:sz w:val="18"/>
          <w:szCs w:val="18"/>
        </w:rPr>
        <w:t>Report minimum and maximum pH values and maximum chlorine residual value. Also report if there is natural flow in San Luis Obispo Creek.</w:t>
      </w:r>
    </w:p>
    <w:p w14:paraId="36FC8F7B" w14:textId="77777777" w:rsidR="009B5FE2" w:rsidRPr="00F85D98" w:rsidRDefault="009B5FE2" w:rsidP="009B5FE2">
      <w:pPr>
        <w:pStyle w:val="BodyNumber065"/>
        <w:numPr>
          <w:ilvl w:val="0"/>
          <w:numId w:val="0"/>
        </w:numPr>
        <w:tabs>
          <w:tab w:val="left" w:pos="540"/>
        </w:tabs>
        <w:ind w:left="540" w:hanging="360"/>
        <w:jc w:val="both"/>
        <w:rPr>
          <w:sz w:val="18"/>
          <w:szCs w:val="18"/>
        </w:rPr>
      </w:pPr>
      <w:r>
        <w:rPr>
          <w:sz w:val="18"/>
          <w:szCs w:val="18"/>
          <w:vertAlign w:val="superscript"/>
        </w:rPr>
        <w:t>[2]</w:t>
      </w:r>
      <w:r>
        <w:rPr>
          <w:sz w:val="18"/>
          <w:szCs w:val="18"/>
          <w:vertAlign w:val="superscript"/>
        </w:rPr>
        <w:tab/>
      </w:r>
      <w:r>
        <w:rPr>
          <w:sz w:val="18"/>
          <w:szCs w:val="18"/>
        </w:rPr>
        <w:t xml:space="preserve">Temperature and pH shall be measured simultaneously with the sample taken for measurement of total ammonia. Results shall be used to calculate un-ionized ammonia concentration. </w:t>
      </w:r>
    </w:p>
    <w:p w14:paraId="12193382" w14:textId="77777777" w:rsidR="009B5FE2" w:rsidRDefault="009B5FE2" w:rsidP="009B5FE2">
      <w:pPr>
        <w:pStyle w:val="BodyNumber065"/>
        <w:numPr>
          <w:ilvl w:val="0"/>
          <w:numId w:val="0"/>
        </w:numPr>
        <w:tabs>
          <w:tab w:val="left" w:pos="540"/>
        </w:tabs>
        <w:ind w:left="540" w:hanging="360"/>
        <w:jc w:val="both"/>
        <w:rPr>
          <w:sz w:val="18"/>
          <w:szCs w:val="18"/>
        </w:rPr>
      </w:pPr>
      <w:r>
        <w:rPr>
          <w:sz w:val="18"/>
          <w:szCs w:val="18"/>
          <w:vertAlign w:val="superscript"/>
        </w:rPr>
        <w:t>[3]</w:t>
      </w:r>
      <w:r>
        <w:rPr>
          <w:sz w:val="18"/>
          <w:szCs w:val="18"/>
          <w:vertAlign w:val="superscript"/>
        </w:rPr>
        <w:tab/>
      </w:r>
      <w:r>
        <w:rPr>
          <w:sz w:val="18"/>
          <w:szCs w:val="18"/>
        </w:rPr>
        <w:t>Whole effluent acute and chronic toxicity monitoring shall be conducted according to the requirements established in section V of this Monitoring and Reporting Program.</w:t>
      </w:r>
    </w:p>
    <w:p w14:paraId="6BD9C330" w14:textId="77777777" w:rsidR="009B5FE2" w:rsidRDefault="009B5FE2" w:rsidP="009B5FE2">
      <w:pPr>
        <w:pStyle w:val="BodyNumber065"/>
        <w:numPr>
          <w:ilvl w:val="0"/>
          <w:numId w:val="0"/>
        </w:numPr>
        <w:tabs>
          <w:tab w:val="left" w:pos="540"/>
        </w:tabs>
        <w:ind w:left="540" w:hanging="360"/>
        <w:jc w:val="both"/>
        <w:rPr>
          <w:sz w:val="18"/>
          <w:szCs w:val="18"/>
        </w:rPr>
      </w:pPr>
      <w:r>
        <w:rPr>
          <w:sz w:val="18"/>
          <w:szCs w:val="18"/>
          <w:vertAlign w:val="superscript"/>
        </w:rPr>
        <w:t>[4]</w:t>
      </w:r>
      <w:r>
        <w:rPr>
          <w:sz w:val="18"/>
          <w:szCs w:val="18"/>
          <w:vertAlign w:val="superscript"/>
        </w:rPr>
        <w:tab/>
      </w:r>
      <w:r>
        <w:rPr>
          <w:sz w:val="18"/>
          <w:szCs w:val="18"/>
        </w:rPr>
        <w:t xml:space="preserve">The CTR Priority Pollutants are those listed by the California Toxics Rule at 40 C.F.R. </w:t>
      </w:r>
      <w:r>
        <w:rPr>
          <w:rFonts w:cs="Arial"/>
          <w:sz w:val="18"/>
          <w:szCs w:val="18"/>
        </w:rPr>
        <w:t>§</w:t>
      </w:r>
      <w:r>
        <w:rPr>
          <w:sz w:val="18"/>
          <w:szCs w:val="18"/>
        </w:rPr>
        <w:t xml:space="preserve"> 131.38(b)(1). These pollutants shall be monitored one time per year. Analyses, compliance determination, and reporting for these pollutants shall adhere to applicable provisions of the </w:t>
      </w:r>
      <w:r>
        <w:rPr>
          <w:i/>
          <w:sz w:val="18"/>
          <w:szCs w:val="18"/>
        </w:rPr>
        <w:t xml:space="preserve">Policy for Implementation of Toxics Standards for Inland Surface Waters, Enclosed Bays, and Estuaries of California </w:t>
      </w:r>
      <w:r>
        <w:rPr>
          <w:sz w:val="18"/>
          <w:szCs w:val="18"/>
        </w:rPr>
        <w:t>(SIP). The Discharger shall instruct its analytical laboratory to establish calibration standards so that the Minimum Levels (MLs) presented in Appendix 4 of the SIP are the lowest calibrate standards. The Discharger and its analytical laboratory shall select MLs, which are below applicable water quality criteria of the CTR; and when applicable water quality criteria are below all MLs, the Discharger and is analytical laboratory shall select the lowest ML.</w:t>
      </w:r>
    </w:p>
    <w:p w14:paraId="1C21F4C9" w14:textId="77777777" w:rsidR="009B5FE2" w:rsidRPr="006B5B94" w:rsidRDefault="009B5FE2" w:rsidP="009B5FE2">
      <w:pPr>
        <w:pStyle w:val="BodyNumber065"/>
        <w:numPr>
          <w:ilvl w:val="0"/>
          <w:numId w:val="0"/>
        </w:numPr>
        <w:tabs>
          <w:tab w:val="left" w:pos="540"/>
        </w:tabs>
        <w:ind w:left="540" w:hanging="360"/>
        <w:jc w:val="both"/>
        <w:rPr>
          <w:sz w:val="18"/>
          <w:szCs w:val="18"/>
        </w:rPr>
      </w:pPr>
      <w:r>
        <w:rPr>
          <w:sz w:val="18"/>
          <w:szCs w:val="18"/>
          <w:vertAlign w:val="superscript"/>
        </w:rPr>
        <w:t>[5]</w:t>
      </w:r>
      <w:r>
        <w:rPr>
          <w:sz w:val="18"/>
          <w:szCs w:val="18"/>
          <w:vertAlign w:val="superscript"/>
        </w:rPr>
        <w:tab/>
      </w:r>
      <w:r>
        <w:rPr>
          <w:sz w:val="18"/>
          <w:szCs w:val="18"/>
        </w:rPr>
        <w:t>Monitoring for the CTR pollutant in the effluent shall occur simultaneously with monitoring required for the CTR pollutants in the receiving water.</w:t>
      </w:r>
    </w:p>
    <w:p w14:paraId="07F51BE9" w14:textId="271198ED" w:rsidR="009B5FE2" w:rsidRDefault="009B5FE2" w:rsidP="009B5FE2">
      <w:pPr>
        <w:pStyle w:val="BodyNumber065"/>
        <w:numPr>
          <w:ilvl w:val="0"/>
          <w:numId w:val="0"/>
        </w:numPr>
        <w:tabs>
          <w:tab w:val="left" w:pos="540"/>
        </w:tabs>
        <w:ind w:left="540" w:hanging="360"/>
        <w:jc w:val="both"/>
      </w:pPr>
      <w:r>
        <w:rPr>
          <w:sz w:val="18"/>
          <w:szCs w:val="18"/>
          <w:vertAlign w:val="superscript"/>
        </w:rPr>
        <w:t>[6]</w:t>
      </w:r>
      <w:r>
        <w:rPr>
          <w:sz w:val="18"/>
          <w:szCs w:val="18"/>
        </w:rPr>
        <w:tab/>
        <w:t>The Title 22 Pollutants are those for which primary Maximum Contaminant Levels (MCLs) have been established by the Department of Public Health and which are listed in Tables 64431-A and 64444-A of the California Code of Regulations, Title 22, Division 4, Chapter 15. Where these pollutants are included in other groups of pollutants (CTR Priority Pollutants), monitoring does not need to be duplicated. Analytical methods shall adhere to the Detection Limits for Purposes of Reporting (DLRs) established by Title 22 of the California Code of Regulations, Division 4, Chapter 15, section 64432 and 64445.1.</w:t>
      </w:r>
    </w:p>
    <w:sectPr w:rsidR="009B5F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55CC" w14:textId="77777777" w:rsidR="009B5FE2" w:rsidRDefault="009B5FE2" w:rsidP="009B5FE2">
      <w:r>
        <w:separator/>
      </w:r>
    </w:p>
  </w:endnote>
  <w:endnote w:type="continuationSeparator" w:id="0">
    <w:p w14:paraId="30E3B721" w14:textId="77777777" w:rsidR="009B5FE2" w:rsidRDefault="009B5FE2" w:rsidP="009B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9A88" w14:textId="77777777" w:rsidR="00442203" w:rsidRDefault="00442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14AE2" w14:textId="779A1E63" w:rsidR="009B5FE2" w:rsidRDefault="009B5FE2">
    <w:pPr>
      <w:pStyle w:val="Footer"/>
    </w:pPr>
    <w:r w:rsidRPr="009B5FE2">
      <w:rPr>
        <w:noProof/>
      </w:rPr>
      <w:drawing>
        <wp:inline distT="0" distB="0" distL="0" distR="0" wp14:anchorId="10790970" wp14:editId="1B2BF19F">
          <wp:extent cx="5943600" cy="304800"/>
          <wp:effectExtent l="0" t="0" r="0" b="0"/>
          <wp:docPr id="1" name="Picture 1" descr="Footer stating this is page E-5 of amended Attachment E Monitoring and Report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C619" w14:textId="77777777" w:rsidR="00442203" w:rsidRDefault="0044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7D284" w14:textId="77777777" w:rsidR="009B5FE2" w:rsidRDefault="009B5FE2" w:rsidP="009B5FE2">
      <w:r>
        <w:separator/>
      </w:r>
    </w:p>
  </w:footnote>
  <w:footnote w:type="continuationSeparator" w:id="0">
    <w:p w14:paraId="6C7A14D3" w14:textId="77777777" w:rsidR="009B5FE2" w:rsidRDefault="009B5FE2" w:rsidP="009B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BB38" w14:textId="77777777" w:rsidR="00442203" w:rsidRDefault="00442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C880B" w14:textId="77777777" w:rsidR="009B5FE2" w:rsidRPr="004C48C6" w:rsidRDefault="009B5FE2" w:rsidP="009B5FE2">
    <w:pPr>
      <w:tabs>
        <w:tab w:val="right" w:pos="10080"/>
      </w:tabs>
      <w:rPr>
        <w:sz w:val="20"/>
        <w:szCs w:val="20"/>
      </w:rPr>
    </w:pPr>
    <w:r>
      <w:rPr>
        <w:sz w:val="20"/>
        <w:szCs w:val="20"/>
      </w:rPr>
      <w:t>CITY OF SAN LUIS OBISPO</w:t>
    </w:r>
    <w:r w:rsidRPr="004C48C6">
      <w:rPr>
        <w:sz w:val="20"/>
        <w:szCs w:val="20"/>
      </w:rPr>
      <w:tab/>
      <w:t>ORDER</w:t>
    </w:r>
    <w:r>
      <w:rPr>
        <w:sz w:val="20"/>
        <w:szCs w:val="20"/>
      </w:rPr>
      <w:t xml:space="preserve"> NO.</w:t>
    </w:r>
    <w:r w:rsidRPr="004C48C6">
      <w:rPr>
        <w:sz w:val="20"/>
        <w:szCs w:val="20"/>
      </w:rPr>
      <w:t xml:space="preserve"> </w:t>
    </w:r>
    <w:r>
      <w:rPr>
        <w:sz w:val="20"/>
        <w:szCs w:val="20"/>
      </w:rPr>
      <w:t>R3</w:t>
    </w:r>
    <w:r w:rsidRPr="004C48C6">
      <w:rPr>
        <w:sz w:val="20"/>
        <w:szCs w:val="20"/>
      </w:rPr>
      <w:t>-</w:t>
    </w:r>
    <w:r>
      <w:rPr>
        <w:sz w:val="20"/>
        <w:szCs w:val="20"/>
      </w:rPr>
      <w:t>2014</w:t>
    </w:r>
    <w:r w:rsidRPr="004C48C6">
      <w:rPr>
        <w:sz w:val="20"/>
        <w:szCs w:val="20"/>
      </w:rPr>
      <w:t>-</w:t>
    </w:r>
    <w:r>
      <w:rPr>
        <w:sz w:val="20"/>
        <w:szCs w:val="20"/>
      </w:rPr>
      <w:t>0033</w:t>
    </w:r>
  </w:p>
  <w:p w14:paraId="1F1BF2B4" w14:textId="77777777" w:rsidR="009B5FE2" w:rsidRPr="002A030E" w:rsidRDefault="009B5FE2" w:rsidP="009B5FE2">
    <w:pPr>
      <w:tabs>
        <w:tab w:val="right" w:pos="10080"/>
      </w:tabs>
      <w:rPr>
        <w:sz w:val="20"/>
        <w:szCs w:val="20"/>
      </w:rPr>
    </w:pPr>
    <w:r>
      <w:rPr>
        <w:sz w:val="20"/>
        <w:szCs w:val="20"/>
      </w:rPr>
      <w:t>WATER RESOURCE RECOVERY FACILITY</w:t>
    </w:r>
    <w:r w:rsidRPr="004C48C6">
      <w:rPr>
        <w:sz w:val="20"/>
        <w:szCs w:val="20"/>
      </w:rPr>
      <w:tab/>
      <w:t>NPDES NO. CA</w:t>
    </w:r>
    <w:r>
      <w:rPr>
        <w:sz w:val="20"/>
        <w:szCs w:val="20"/>
      </w:rPr>
      <w:t>0049224</w:t>
    </w:r>
  </w:p>
  <w:p w14:paraId="4BD5D87D" w14:textId="77777777" w:rsidR="009B5FE2" w:rsidRDefault="009B5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C7686" w14:textId="77777777" w:rsidR="00442203" w:rsidRDefault="00442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76A28"/>
    <w:multiLevelType w:val="hybridMultilevel"/>
    <w:tmpl w:val="2C4A691E"/>
    <w:lvl w:ilvl="0" w:tplc="DB2A9420">
      <w:start w:val="1"/>
      <w:numFmt w:val="decimal"/>
      <w:pStyle w:val="BodyNumber065"/>
      <w:lvlText w:val="%1."/>
      <w:lvlJc w:val="left"/>
      <w:pPr>
        <w:tabs>
          <w:tab w:val="num" w:pos="1404"/>
        </w:tabs>
        <w:ind w:left="1404" w:hanging="468"/>
      </w:pPr>
      <w:rPr>
        <w:rFonts w:hint="default"/>
        <w:b w:val="0"/>
        <w:i w:val="0"/>
        <w:kern w:val="32"/>
        <w:sz w:val="22"/>
        <w:szCs w:val="22"/>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E2"/>
    <w:rsid w:val="00442203"/>
    <w:rsid w:val="0044722F"/>
    <w:rsid w:val="009B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C332"/>
  <w15:chartTrackingRefBased/>
  <w15:docId w15:val="{2AB33093-84B3-46E2-A051-BDA348E7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5FE2"/>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link w:val="TableTextChar"/>
    <w:rsid w:val="009B5FE2"/>
    <w:pPr>
      <w:spacing w:before="20" w:after="20" w:line="240" w:lineRule="auto"/>
      <w:jc w:val="center"/>
    </w:pPr>
    <w:rPr>
      <w:rFonts w:ascii="Arial" w:eastAsia="Times New Roman" w:hAnsi="Arial" w:cs="Times New Roman"/>
    </w:rPr>
  </w:style>
  <w:style w:type="character" w:customStyle="1" w:styleId="TableTextChar">
    <w:name w:val="Table Text Char"/>
    <w:link w:val="TableText"/>
    <w:rsid w:val="009B5FE2"/>
    <w:rPr>
      <w:rFonts w:ascii="Arial" w:eastAsia="Times New Roman" w:hAnsi="Arial" w:cs="Times New Roman"/>
    </w:rPr>
  </w:style>
  <w:style w:type="paragraph" w:customStyle="1" w:styleId="BodyNumber065">
    <w:name w:val="Body Number 0.65"/>
    <w:basedOn w:val="BodyText"/>
    <w:rsid w:val="009B5FE2"/>
    <w:pPr>
      <w:numPr>
        <w:numId w:val="1"/>
      </w:numPr>
      <w:tabs>
        <w:tab w:val="clear" w:pos="1404"/>
        <w:tab w:val="num" w:pos="360"/>
      </w:tabs>
      <w:ind w:left="0" w:firstLine="0"/>
    </w:pPr>
  </w:style>
  <w:style w:type="paragraph" w:styleId="BodyText">
    <w:name w:val="Body Text"/>
    <w:basedOn w:val="Normal"/>
    <w:link w:val="BodyTextChar"/>
    <w:uiPriority w:val="99"/>
    <w:semiHidden/>
    <w:unhideWhenUsed/>
    <w:rsid w:val="009B5FE2"/>
    <w:pPr>
      <w:spacing w:after="120"/>
    </w:pPr>
  </w:style>
  <w:style w:type="character" w:customStyle="1" w:styleId="BodyTextChar">
    <w:name w:val="Body Text Char"/>
    <w:basedOn w:val="DefaultParagraphFont"/>
    <w:link w:val="BodyText"/>
    <w:uiPriority w:val="99"/>
    <w:semiHidden/>
    <w:rsid w:val="009B5FE2"/>
    <w:rPr>
      <w:rFonts w:ascii="Arial" w:eastAsia="Times New Roman" w:hAnsi="Arial" w:cs="Times New Roman"/>
    </w:rPr>
  </w:style>
  <w:style w:type="paragraph" w:styleId="Header">
    <w:name w:val="header"/>
    <w:basedOn w:val="Normal"/>
    <w:link w:val="HeaderChar"/>
    <w:uiPriority w:val="99"/>
    <w:unhideWhenUsed/>
    <w:rsid w:val="009B5FE2"/>
    <w:pPr>
      <w:tabs>
        <w:tab w:val="center" w:pos="4680"/>
        <w:tab w:val="right" w:pos="9360"/>
      </w:tabs>
    </w:pPr>
  </w:style>
  <w:style w:type="character" w:customStyle="1" w:styleId="HeaderChar">
    <w:name w:val="Header Char"/>
    <w:basedOn w:val="DefaultParagraphFont"/>
    <w:link w:val="Header"/>
    <w:uiPriority w:val="99"/>
    <w:rsid w:val="009B5FE2"/>
    <w:rPr>
      <w:rFonts w:ascii="Arial" w:eastAsia="Times New Roman" w:hAnsi="Arial" w:cs="Times New Roman"/>
    </w:rPr>
  </w:style>
  <w:style w:type="paragraph" w:styleId="Footer">
    <w:name w:val="footer"/>
    <w:basedOn w:val="Normal"/>
    <w:link w:val="FooterChar"/>
    <w:uiPriority w:val="99"/>
    <w:unhideWhenUsed/>
    <w:rsid w:val="009B5FE2"/>
    <w:pPr>
      <w:tabs>
        <w:tab w:val="center" w:pos="4680"/>
        <w:tab w:val="right" w:pos="9360"/>
      </w:tabs>
    </w:pPr>
  </w:style>
  <w:style w:type="character" w:customStyle="1" w:styleId="FooterChar">
    <w:name w:val="Footer Char"/>
    <w:basedOn w:val="DefaultParagraphFont"/>
    <w:link w:val="Footer"/>
    <w:uiPriority w:val="99"/>
    <w:rsid w:val="009B5FE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2729</Characters>
  <Application>Microsoft Office Word</Application>
  <DocSecurity>0</DocSecurity>
  <Lines>22</Lines>
  <Paragraphs>6</Paragraphs>
  <ScaleCrop>false</ScaleCrop>
  <Company>SWRCB</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Phillip@Waterboards</dc:creator>
  <cp:keywords/>
  <dc:description/>
  <cp:lastModifiedBy>Hammer, Phillip@Waterboards</cp:lastModifiedBy>
  <cp:revision>2</cp:revision>
  <dcterms:created xsi:type="dcterms:W3CDTF">2020-09-16T15:21:00Z</dcterms:created>
  <dcterms:modified xsi:type="dcterms:W3CDTF">2020-09-16T15:32:00Z</dcterms:modified>
</cp:coreProperties>
</file>