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55BB" w14:textId="77777777" w:rsidR="00DA3C2C" w:rsidRPr="00DA3C2C" w:rsidRDefault="00DA3C2C" w:rsidP="00DA3C2C">
      <w:pPr>
        <w:keepNext/>
        <w:spacing w:before="60" w:after="0" w:line="240" w:lineRule="auto"/>
        <w:outlineLvl w:val="1"/>
        <w:rPr>
          <w:rFonts w:ascii="Arial" w:eastAsia="Times New Roman" w:hAnsi="Arial" w:cs="Arial"/>
          <w:b/>
          <w:color w:val="0000FF"/>
          <w:sz w:val="32"/>
          <w:szCs w:val="24"/>
          <w:vertAlign w:val="superscript"/>
        </w:rPr>
      </w:pPr>
      <w:bookmarkStart w:id="0" w:name="_Toc63413048"/>
      <w:r w:rsidRPr="00DA3C2C">
        <w:rPr>
          <w:rFonts w:ascii="Arial" w:eastAsia="Times New Roman" w:hAnsi="Arial" w:cs="Arial"/>
          <w:b/>
          <w:color w:val="0000FF"/>
          <w:sz w:val="32"/>
          <w:szCs w:val="24"/>
        </w:rPr>
        <w:t>APPENDIX B:  Regulated Contaminants with Secondary Drinking Water Standards</w:t>
      </w:r>
      <w:bookmarkEnd w:id="0"/>
    </w:p>
    <w:p w14:paraId="5DB64F81" w14:textId="77777777" w:rsidR="0073134F" w:rsidRPr="009E272B" w:rsidRDefault="0073134F" w:rsidP="0073134F">
      <w:pPr>
        <w:rPr>
          <w:rFonts w:ascii="Arial" w:hAnsi="Arial" w:cs="Arial"/>
          <w:sz w:val="24"/>
          <w:szCs w:val="28"/>
        </w:rPr>
      </w:pPr>
      <w:r w:rsidRPr="009E272B">
        <w:rPr>
          <w:rFonts w:ascii="Arial" w:hAnsi="Arial" w:cs="Arial"/>
          <w:sz w:val="24"/>
          <w:szCs w:val="28"/>
        </w:rPr>
        <w:t>Monitoring required by section 64449 of the California Code of Regulations, Title 22.</w:t>
      </w:r>
    </w:p>
    <w:tbl>
      <w:tblPr>
        <w:tblStyle w:val="TableGrid"/>
        <w:tblW w:w="9337" w:type="dxa"/>
        <w:tblLayout w:type="fixed"/>
        <w:tblLook w:val="0020" w:firstRow="1" w:lastRow="0" w:firstColumn="0" w:lastColumn="0" w:noHBand="0" w:noVBand="0"/>
      </w:tblPr>
      <w:tblGrid>
        <w:gridCol w:w="1705"/>
        <w:gridCol w:w="1530"/>
        <w:gridCol w:w="1350"/>
        <w:gridCol w:w="1350"/>
        <w:gridCol w:w="3402"/>
      </w:tblGrid>
      <w:tr w:rsidR="0073134F" w:rsidRPr="009E272B" w14:paraId="48B023E1" w14:textId="77777777" w:rsidTr="009E272B">
        <w:trPr>
          <w:tblHeader/>
        </w:trPr>
        <w:tc>
          <w:tcPr>
            <w:tcW w:w="1705" w:type="dxa"/>
          </w:tcPr>
          <w:p w14:paraId="3614EF31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72B">
              <w:rPr>
                <w:rFonts w:ascii="Arial" w:hAnsi="Arial" w:cs="Arial"/>
                <w:b/>
                <w:bCs/>
                <w:sz w:val="24"/>
                <w:szCs w:val="24"/>
              </w:rPr>
              <w:t>Constituent</w:t>
            </w:r>
          </w:p>
        </w:tc>
        <w:tc>
          <w:tcPr>
            <w:tcW w:w="1530" w:type="dxa"/>
          </w:tcPr>
          <w:p w14:paraId="5C28F0C8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72B">
              <w:rPr>
                <w:rFonts w:ascii="Arial" w:hAnsi="Arial" w:cs="Arial"/>
                <w:b/>
                <w:bCs/>
                <w:sz w:val="24"/>
                <w:szCs w:val="24"/>
              </w:rPr>
              <w:t>Secondary MCL</w:t>
            </w:r>
            <w:r w:rsidRPr="009E272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(units)</w:t>
            </w:r>
          </w:p>
        </w:tc>
        <w:tc>
          <w:tcPr>
            <w:tcW w:w="1350" w:type="dxa"/>
          </w:tcPr>
          <w:p w14:paraId="29AA1B86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72B">
              <w:rPr>
                <w:rFonts w:ascii="Arial" w:hAnsi="Arial" w:cs="Arial"/>
                <w:b/>
                <w:bCs/>
                <w:sz w:val="24"/>
                <w:szCs w:val="24"/>
              </w:rPr>
              <w:t>To convert to CCR, multiply by</w:t>
            </w:r>
          </w:p>
        </w:tc>
        <w:tc>
          <w:tcPr>
            <w:tcW w:w="1350" w:type="dxa"/>
          </w:tcPr>
          <w:p w14:paraId="7DEEA89C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72B">
              <w:rPr>
                <w:rFonts w:ascii="Arial" w:hAnsi="Arial" w:cs="Arial"/>
                <w:b/>
                <w:bCs/>
                <w:sz w:val="24"/>
                <w:szCs w:val="24"/>
              </w:rPr>
              <w:t>MCL in CCR units</w:t>
            </w:r>
          </w:p>
        </w:tc>
        <w:tc>
          <w:tcPr>
            <w:tcW w:w="3402" w:type="dxa"/>
          </w:tcPr>
          <w:p w14:paraId="47C76D12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72B">
              <w:rPr>
                <w:rFonts w:ascii="Arial" w:hAnsi="Arial" w:cs="Arial"/>
                <w:b/>
                <w:bCs/>
                <w:sz w:val="24"/>
                <w:szCs w:val="24"/>
              </w:rPr>
              <w:t>Typical Source of Contaminant</w:t>
            </w:r>
          </w:p>
        </w:tc>
      </w:tr>
      <w:tr w:rsidR="0073134F" w:rsidRPr="009E272B" w14:paraId="7D2E5B7F" w14:textId="77777777" w:rsidTr="007B3247">
        <w:tc>
          <w:tcPr>
            <w:tcW w:w="1705" w:type="dxa"/>
          </w:tcPr>
          <w:p w14:paraId="285D4E80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Aluminum</w:t>
            </w:r>
          </w:p>
        </w:tc>
        <w:tc>
          <w:tcPr>
            <w:tcW w:w="1530" w:type="dxa"/>
          </w:tcPr>
          <w:p w14:paraId="1E993D39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0.2 mg/L</w:t>
            </w:r>
          </w:p>
        </w:tc>
        <w:tc>
          <w:tcPr>
            <w:tcW w:w="1350" w:type="dxa"/>
          </w:tcPr>
          <w:p w14:paraId="77CE7A70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50" w:type="dxa"/>
          </w:tcPr>
          <w:p w14:paraId="473C0682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200 µg/L</w:t>
            </w:r>
          </w:p>
        </w:tc>
        <w:tc>
          <w:tcPr>
            <w:tcW w:w="3402" w:type="dxa"/>
          </w:tcPr>
          <w:p w14:paraId="64D291C0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Erosion of natural deposits; residual from some surface water treatment processes</w:t>
            </w:r>
          </w:p>
        </w:tc>
      </w:tr>
      <w:tr w:rsidR="0073134F" w:rsidRPr="009E272B" w14:paraId="5914B94D" w14:textId="77777777" w:rsidTr="007B3247">
        <w:tc>
          <w:tcPr>
            <w:tcW w:w="1705" w:type="dxa"/>
          </w:tcPr>
          <w:p w14:paraId="767914CA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Color</w:t>
            </w:r>
          </w:p>
        </w:tc>
        <w:tc>
          <w:tcPr>
            <w:tcW w:w="1530" w:type="dxa"/>
          </w:tcPr>
          <w:p w14:paraId="1E1F7AC0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15 Units</w:t>
            </w:r>
          </w:p>
        </w:tc>
        <w:tc>
          <w:tcPr>
            <w:tcW w:w="1350" w:type="dxa"/>
          </w:tcPr>
          <w:p w14:paraId="38B4EAD9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0FA24B2B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15 Units</w:t>
            </w:r>
          </w:p>
        </w:tc>
        <w:tc>
          <w:tcPr>
            <w:tcW w:w="3402" w:type="dxa"/>
          </w:tcPr>
          <w:p w14:paraId="602A7D45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Naturally-occurring organic materials</w:t>
            </w:r>
          </w:p>
        </w:tc>
      </w:tr>
      <w:tr w:rsidR="0073134F" w:rsidRPr="009E272B" w14:paraId="646110B1" w14:textId="77777777" w:rsidTr="007B3247">
        <w:tc>
          <w:tcPr>
            <w:tcW w:w="1705" w:type="dxa"/>
          </w:tcPr>
          <w:p w14:paraId="0B1594C5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Copper</w:t>
            </w:r>
          </w:p>
        </w:tc>
        <w:tc>
          <w:tcPr>
            <w:tcW w:w="1530" w:type="dxa"/>
          </w:tcPr>
          <w:p w14:paraId="55F8FC38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1.0 mg/L</w:t>
            </w:r>
          </w:p>
        </w:tc>
        <w:tc>
          <w:tcPr>
            <w:tcW w:w="1350" w:type="dxa"/>
          </w:tcPr>
          <w:p w14:paraId="4BF0C217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6E52CCB6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1.0 mg/L</w:t>
            </w:r>
          </w:p>
        </w:tc>
        <w:tc>
          <w:tcPr>
            <w:tcW w:w="3402" w:type="dxa"/>
          </w:tcPr>
          <w:p w14:paraId="79845295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Internal corrosion of household plumbing systems; erosion of natural deposits; leaching from wood preservatives</w:t>
            </w:r>
          </w:p>
        </w:tc>
      </w:tr>
      <w:tr w:rsidR="0073134F" w:rsidRPr="009E272B" w14:paraId="27C2B558" w14:textId="77777777" w:rsidTr="007B3247">
        <w:trPr>
          <w:trHeight w:val="242"/>
        </w:trPr>
        <w:tc>
          <w:tcPr>
            <w:tcW w:w="1705" w:type="dxa"/>
          </w:tcPr>
          <w:p w14:paraId="7ACA4C29" w14:textId="77777777" w:rsidR="0073134F" w:rsidRPr="009E272B" w:rsidRDefault="0073134F" w:rsidP="007B3247">
            <w:pPr>
              <w:pStyle w:val="TOC1"/>
              <w:tabs>
                <w:tab w:val="clear" w:pos="432"/>
                <w:tab w:val="clear" w:pos="9350"/>
              </w:tabs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9E272B">
              <w:rPr>
                <w:rFonts w:ascii="Arial" w:hAnsi="Arial" w:cs="Arial"/>
                <w:szCs w:val="24"/>
              </w:rPr>
              <w:t>Foaming Agents [MBAS]</w:t>
            </w:r>
          </w:p>
        </w:tc>
        <w:tc>
          <w:tcPr>
            <w:tcW w:w="1530" w:type="dxa"/>
          </w:tcPr>
          <w:p w14:paraId="3DD8B662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0.5 mg/L</w:t>
            </w:r>
          </w:p>
        </w:tc>
        <w:tc>
          <w:tcPr>
            <w:tcW w:w="1350" w:type="dxa"/>
          </w:tcPr>
          <w:p w14:paraId="3DD9A03F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50" w:type="dxa"/>
          </w:tcPr>
          <w:p w14:paraId="60E57823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500 µg/L</w:t>
            </w:r>
          </w:p>
        </w:tc>
        <w:tc>
          <w:tcPr>
            <w:tcW w:w="3402" w:type="dxa"/>
          </w:tcPr>
          <w:p w14:paraId="5E3EBC17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Municipal and industrial waste discharges</w:t>
            </w:r>
          </w:p>
        </w:tc>
      </w:tr>
      <w:tr w:rsidR="0073134F" w:rsidRPr="009E272B" w14:paraId="209CE15C" w14:textId="77777777" w:rsidTr="007B3247">
        <w:tc>
          <w:tcPr>
            <w:tcW w:w="1705" w:type="dxa"/>
          </w:tcPr>
          <w:p w14:paraId="73B3B586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1530" w:type="dxa"/>
          </w:tcPr>
          <w:p w14:paraId="5047DD99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0.3 mg/L</w:t>
            </w:r>
          </w:p>
        </w:tc>
        <w:tc>
          <w:tcPr>
            <w:tcW w:w="1350" w:type="dxa"/>
          </w:tcPr>
          <w:p w14:paraId="700D239A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50" w:type="dxa"/>
          </w:tcPr>
          <w:p w14:paraId="431BAFCD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300 µg/L</w:t>
            </w:r>
          </w:p>
        </w:tc>
        <w:tc>
          <w:tcPr>
            <w:tcW w:w="3402" w:type="dxa"/>
          </w:tcPr>
          <w:p w14:paraId="183411D5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Leaching from natural deposits; industrial wastes</w:t>
            </w:r>
          </w:p>
        </w:tc>
      </w:tr>
      <w:tr w:rsidR="0073134F" w:rsidRPr="009E272B" w14:paraId="29D50CB4" w14:textId="77777777" w:rsidTr="007B3247">
        <w:tc>
          <w:tcPr>
            <w:tcW w:w="1705" w:type="dxa"/>
          </w:tcPr>
          <w:p w14:paraId="3D7E5D1D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Manganese</w:t>
            </w:r>
          </w:p>
        </w:tc>
        <w:tc>
          <w:tcPr>
            <w:tcW w:w="1530" w:type="dxa"/>
          </w:tcPr>
          <w:p w14:paraId="33C70172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0.05 mg/L</w:t>
            </w:r>
          </w:p>
        </w:tc>
        <w:tc>
          <w:tcPr>
            <w:tcW w:w="1350" w:type="dxa"/>
          </w:tcPr>
          <w:p w14:paraId="748F3912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50" w:type="dxa"/>
          </w:tcPr>
          <w:p w14:paraId="358D4C65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50 µg/L</w:t>
            </w:r>
          </w:p>
        </w:tc>
        <w:tc>
          <w:tcPr>
            <w:tcW w:w="3402" w:type="dxa"/>
          </w:tcPr>
          <w:p w14:paraId="08B8850E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Leaching from natural deposits</w:t>
            </w:r>
          </w:p>
        </w:tc>
      </w:tr>
      <w:tr w:rsidR="0073134F" w:rsidRPr="009E272B" w14:paraId="46817272" w14:textId="77777777" w:rsidTr="007B3247">
        <w:tc>
          <w:tcPr>
            <w:tcW w:w="1705" w:type="dxa"/>
          </w:tcPr>
          <w:p w14:paraId="6D552C15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Methyl-</w:t>
            </w:r>
            <w:r w:rsidRPr="009E272B">
              <w:rPr>
                <w:rFonts w:ascii="Arial" w:hAnsi="Arial" w:cs="Arial"/>
                <w:i/>
                <w:sz w:val="24"/>
                <w:szCs w:val="24"/>
              </w:rPr>
              <w:t>tert</w:t>
            </w:r>
            <w:r w:rsidRPr="009E272B">
              <w:rPr>
                <w:rFonts w:ascii="Arial" w:hAnsi="Arial" w:cs="Arial"/>
                <w:sz w:val="24"/>
                <w:szCs w:val="24"/>
              </w:rPr>
              <w:t>-butyl ether [MTBE]</w:t>
            </w:r>
          </w:p>
        </w:tc>
        <w:tc>
          <w:tcPr>
            <w:tcW w:w="1530" w:type="dxa"/>
          </w:tcPr>
          <w:p w14:paraId="77890189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0.005 mg/L</w:t>
            </w:r>
          </w:p>
        </w:tc>
        <w:tc>
          <w:tcPr>
            <w:tcW w:w="1350" w:type="dxa"/>
          </w:tcPr>
          <w:p w14:paraId="5E0CD1CA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50" w:type="dxa"/>
          </w:tcPr>
          <w:p w14:paraId="2CD91750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 µg/L</w:t>
            </w:r>
          </w:p>
        </w:tc>
        <w:tc>
          <w:tcPr>
            <w:tcW w:w="3402" w:type="dxa"/>
          </w:tcPr>
          <w:p w14:paraId="1F60253E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 xml:space="preserve">Leaking underground storage tanks; discharge from petroleum and chemical factories </w:t>
            </w:r>
          </w:p>
        </w:tc>
      </w:tr>
      <w:tr w:rsidR="0073134F" w:rsidRPr="009E272B" w14:paraId="04ADB68F" w14:textId="77777777" w:rsidTr="007B3247">
        <w:tc>
          <w:tcPr>
            <w:tcW w:w="1705" w:type="dxa"/>
          </w:tcPr>
          <w:p w14:paraId="6F105EB8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Odor---Threshold</w:t>
            </w:r>
          </w:p>
        </w:tc>
        <w:tc>
          <w:tcPr>
            <w:tcW w:w="1530" w:type="dxa"/>
          </w:tcPr>
          <w:p w14:paraId="620EBAD8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3 Units</w:t>
            </w:r>
          </w:p>
        </w:tc>
        <w:tc>
          <w:tcPr>
            <w:tcW w:w="1350" w:type="dxa"/>
          </w:tcPr>
          <w:p w14:paraId="6A22D000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5492808B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3 Units</w:t>
            </w:r>
          </w:p>
        </w:tc>
        <w:tc>
          <w:tcPr>
            <w:tcW w:w="3402" w:type="dxa"/>
          </w:tcPr>
          <w:p w14:paraId="135A2798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Naturally-occurring organic materials</w:t>
            </w:r>
          </w:p>
        </w:tc>
      </w:tr>
      <w:tr w:rsidR="0073134F" w:rsidRPr="009E272B" w14:paraId="521FB961" w14:textId="77777777" w:rsidTr="007B3247">
        <w:tc>
          <w:tcPr>
            <w:tcW w:w="1705" w:type="dxa"/>
          </w:tcPr>
          <w:p w14:paraId="1741323E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Silver</w:t>
            </w:r>
          </w:p>
        </w:tc>
        <w:tc>
          <w:tcPr>
            <w:tcW w:w="1530" w:type="dxa"/>
          </w:tcPr>
          <w:p w14:paraId="3B312108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0.1 mg/L</w:t>
            </w:r>
          </w:p>
        </w:tc>
        <w:tc>
          <w:tcPr>
            <w:tcW w:w="1350" w:type="dxa"/>
          </w:tcPr>
          <w:p w14:paraId="66CD05B2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50" w:type="dxa"/>
          </w:tcPr>
          <w:p w14:paraId="62607D0A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100 µg/L</w:t>
            </w:r>
          </w:p>
        </w:tc>
        <w:tc>
          <w:tcPr>
            <w:tcW w:w="3402" w:type="dxa"/>
          </w:tcPr>
          <w:p w14:paraId="2AA9E0BF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Industrial discharges</w:t>
            </w:r>
          </w:p>
        </w:tc>
      </w:tr>
      <w:tr w:rsidR="0073134F" w:rsidRPr="009E272B" w14:paraId="3D63C728" w14:textId="77777777" w:rsidTr="007B3247">
        <w:tc>
          <w:tcPr>
            <w:tcW w:w="1705" w:type="dxa"/>
          </w:tcPr>
          <w:p w14:paraId="2617AEB5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272B">
              <w:rPr>
                <w:rFonts w:ascii="Arial" w:hAnsi="Arial" w:cs="Arial"/>
                <w:sz w:val="24"/>
                <w:szCs w:val="24"/>
              </w:rPr>
              <w:t>Thiobencarb</w:t>
            </w:r>
            <w:proofErr w:type="spellEnd"/>
          </w:p>
        </w:tc>
        <w:tc>
          <w:tcPr>
            <w:tcW w:w="1530" w:type="dxa"/>
          </w:tcPr>
          <w:p w14:paraId="759621E1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0.001 mg/L</w:t>
            </w:r>
          </w:p>
        </w:tc>
        <w:tc>
          <w:tcPr>
            <w:tcW w:w="1350" w:type="dxa"/>
          </w:tcPr>
          <w:p w14:paraId="1B9EA38F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350" w:type="dxa"/>
          </w:tcPr>
          <w:p w14:paraId="2FF5714D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 µg/L</w:t>
            </w:r>
          </w:p>
        </w:tc>
        <w:tc>
          <w:tcPr>
            <w:tcW w:w="3402" w:type="dxa"/>
          </w:tcPr>
          <w:p w14:paraId="76087455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Runoff/leaching from rice herbicide</w:t>
            </w:r>
          </w:p>
        </w:tc>
      </w:tr>
      <w:tr w:rsidR="0073134F" w:rsidRPr="009E272B" w14:paraId="6BB8A0C2" w14:textId="77777777" w:rsidTr="007B3247">
        <w:tc>
          <w:tcPr>
            <w:tcW w:w="1705" w:type="dxa"/>
          </w:tcPr>
          <w:p w14:paraId="37DC2120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Turbidity</w:t>
            </w:r>
          </w:p>
        </w:tc>
        <w:tc>
          <w:tcPr>
            <w:tcW w:w="1530" w:type="dxa"/>
          </w:tcPr>
          <w:p w14:paraId="12EF8911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 Units</w:t>
            </w:r>
          </w:p>
        </w:tc>
        <w:tc>
          <w:tcPr>
            <w:tcW w:w="1350" w:type="dxa"/>
          </w:tcPr>
          <w:p w14:paraId="0A6A0CBF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2177BE60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 Units</w:t>
            </w:r>
          </w:p>
        </w:tc>
        <w:tc>
          <w:tcPr>
            <w:tcW w:w="3402" w:type="dxa"/>
          </w:tcPr>
          <w:p w14:paraId="09CF2B31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Soil runoff</w:t>
            </w:r>
          </w:p>
        </w:tc>
      </w:tr>
      <w:tr w:rsidR="0073134F" w:rsidRPr="009E272B" w14:paraId="19FAB0B7" w14:textId="77777777" w:rsidTr="007B3247">
        <w:tc>
          <w:tcPr>
            <w:tcW w:w="1705" w:type="dxa"/>
          </w:tcPr>
          <w:p w14:paraId="24FC27E4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Zinc</w:t>
            </w:r>
          </w:p>
        </w:tc>
        <w:tc>
          <w:tcPr>
            <w:tcW w:w="1530" w:type="dxa"/>
          </w:tcPr>
          <w:p w14:paraId="78932194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5.0 mg/L</w:t>
            </w:r>
          </w:p>
        </w:tc>
        <w:tc>
          <w:tcPr>
            <w:tcW w:w="1350" w:type="dxa"/>
          </w:tcPr>
          <w:p w14:paraId="3F7C1D1B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177575D8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5.0 mg/L</w:t>
            </w:r>
          </w:p>
        </w:tc>
        <w:tc>
          <w:tcPr>
            <w:tcW w:w="3402" w:type="dxa"/>
          </w:tcPr>
          <w:p w14:paraId="10369B91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Runoff/leaching from natural deposits; industrial wastes</w:t>
            </w:r>
          </w:p>
        </w:tc>
      </w:tr>
      <w:tr w:rsidR="0073134F" w:rsidRPr="009E272B" w14:paraId="78CD9769" w14:textId="77777777" w:rsidTr="007B3247">
        <w:tc>
          <w:tcPr>
            <w:tcW w:w="1705" w:type="dxa"/>
          </w:tcPr>
          <w:p w14:paraId="415A284F" w14:textId="77777777" w:rsidR="0073134F" w:rsidRPr="009E272B" w:rsidRDefault="0073134F" w:rsidP="007B3247">
            <w:pPr>
              <w:pStyle w:val="TOC1"/>
              <w:tabs>
                <w:tab w:val="clear" w:pos="432"/>
                <w:tab w:val="clear" w:pos="9350"/>
              </w:tabs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9E272B">
              <w:rPr>
                <w:rFonts w:ascii="Arial" w:hAnsi="Arial" w:cs="Arial"/>
                <w:szCs w:val="24"/>
              </w:rPr>
              <w:t>Total Dissolved Solids [TDS]</w:t>
            </w:r>
          </w:p>
        </w:tc>
        <w:tc>
          <w:tcPr>
            <w:tcW w:w="1530" w:type="dxa"/>
          </w:tcPr>
          <w:p w14:paraId="3AC931A5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1,000 mg/L</w:t>
            </w:r>
          </w:p>
        </w:tc>
        <w:tc>
          <w:tcPr>
            <w:tcW w:w="1350" w:type="dxa"/>
          </w:tcPr>
          <w:p w14:paraId="538263B4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4C37C549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1,000 mg/L</w:t>
            </w:r>
          </w:p>
        </w:tc>
        <w:tc>
          <w:tcPr>
            <w:tcW w:w="3402" w:type="dxa"/>
          </w:tcPr>
          <w:p w14:paraId="129853A5" w14:textId="77777777" w:rsidR="0073134F" w:rsidRPr="009E272B" w:rsidRDefault="0073134F" w:rsidP="007B3247">
            <w:pPr>
              <w:pStyle w:val="TOC1"/>
              <w:tabs>
                <w:tab w:val="clear" w:pos="432"/>
                <w:tab w:val="clear" w:pos="9350"/>
              </w:tabs>
              <w:spacing w:before="40" w:after="40"/>
              <w:jc w:val="left"/>
              <w:rPr>
                <w:rFonts w:ascii="Arial" w:hAnsi="Arial" w:cs="Arial"/>
                <w:szCs w:val="24"/>
              </w:rPr>
            </w:pPr>
            <w:r w:rsidRPr="009E272B">
              <w:rPr>
                <w:rFonts w:ascii="Arial" w:hAnsi="Arial" w:cs="Arial"/>
                <w:szCs w:val="24"/>
              </w:rPr>
              <w:t>Runoff/leaching from natural deposits</w:t>
            </w:r>
          </w:p>
        </w:tc>
      </w:tr>
      <w:tr w:rsidR="0073134F" w:rsidRPr="009E272B" w14:paraId="593CB6CA" w14:textId="77777777" w:rsidTr="007B3247">
        <w:tc>
          <w:tcPr>
            <w:tcW w:w="1705" w:type="dxa"/>
          </w:tcPr>
          <w:p w14:paraId="02369960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lastRenderedPageBreak/>
              <w:t>Specific Conductance</w:t>
            </w:r>
          </w:p>
        </w:tc>
        <w:tc>
          <w:tcPr>
            <w:tcW w:w="1530" w:type="dxa"/>
          </w:tcPr>
          <w:p w14:paraId="03A69FAA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1,600 µS/cm</w:t>
            </w:r>
          </w:p>
        </w:tc>
        <w:tc>
          <w:tcPr>
            <w:tcW w:w="1350" w:type="dxa"/>
          </w:tcPr>
          <w:p w14:paraId="2A48018C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27701897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1,600 µS/cm</w:t>
            </w:r>
          </w:p>
        </w:tc>
        <w:tc>
          <w:tcPr>
            <w:tcW w:w="3402" w:type="dxa"/>
          </w:tcPr>
          <w:p w14:paraId="126C210D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Substances that form ions when in water; seawater influence</w:t>
            </w:r>
          </w:p>
        </w:tc>
      </w:tr>
      <w:tr w:rsidR="0073134F" w:rsidRPr="009E272B" w14:paraId="4B3944EF" w14:textId="77777777" w:rsidTr="007B3247">
        <w:tc>
          <w:tcPr>
            <w:tcW w:w="1705" w:type="dxa"/>
          </w:tcPr>
          <w:p w14:paraId="093D5B62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Chloride</w:t>
            </w:r>
          </w:p>
        </w:tc>
        <w:tc>
          <w:tcPr>
            <w:tcW w:w="1530" w:type="dxa"/>
          </w:tcPr>
          <w:p w14:paraId="11E7814A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500 mg/L</w:t>
            </w:r>
          </w:p>
        </w:tc>
        <w:tc>
          <w:tcPr>
            <w:tcW w:w="1350" w:type="dxa"/>
          </w:tcPr>
          <w:p w14:paraId="7957C0AE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3687DA62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500 mg/L</w:t>
            </w:r>
          </w:p>
        </w:tc>
        <w:tc>
          <w:tcPr>
            <w:tcW w:w="3402" w:type="dxa"/>
          </w:tcPr>
          <w:p w14:paraId="14D1AF28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Runoff/leaching from natural deposits; seawater influence</w:t>
            </w:r>
          </w:p>
        </w:tc>
      </w:tr>
      <w:tr w:rsidR="0073134F" w:rsidRPr="009E272B" w14:paraId="0371B0C1" w14:textId="77777777" w:rsidTr="007B3247">
        <w:trPr>
          <w:trHeight w:val="233"/>
        </w:trPr>
        <w:tc>
          <w:tcPr>
            <w:tcW w:w="1705" w:type="dxa"/>
          </w:tcPr>
          <w:p w14:paraId="6F164F86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Sulfate</w:t>
            </w:r>
          </w:p>
        </w:tc>
        <w:tc>
          <w:tcPr>
            <w:tcW w:w="1530" w:type="dxa"/>
          </w:tcPr>
          <w:p w14:paraId="45F5CB8E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500 mg/L</w:t>
            </w:r>
          </w:p>
        </w:tc>
        <w:tc>
          <w:tcPr>
            <w:tcW w:w="1350" w:type="dxa"/>
          </w:tcPr>
          <w:p w14:paraId="018ED471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14:paraId="5F789BF6" w14:textId="77777777" w:rsidR="0073134F" w:rsidRPr="009E272B" w:rsidRDefault="0073134F" w:rsidP="007B324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500 mg/L</w:t>
            </w:r>
          </w:p>
        </w:tc>
        <w:tc>
          <w:tcPr>
            <w:tcW w:w="3402" w:type="dxa"/>
          </w:tcPr>
          <w:p w14:paraId="31040CF4" w14:textId="77777777" w:rsidR="0073134F" w:rsidRPr="009E272B" w:rsidRDefault="0073134F" w:rsidP="007B3247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E272B">
              <w:rPr>
                <w:rFonts w:ascii="Arial" w:hAnsi="Arial" w:cs="Arial"/>
                <w:sz w:val="24"/>
                <w:szCs w:val="24"/>
              </w:rPr>
              <w:t>Runoff/leaching from natural deposits; industrial wastes</w:t>
            </w:r>
          </w:p>
        </w:tc>
      </w:tr>
    </w:tbl>
    <w:p w14:paraId="3B9693DC" w14:textId="77777777" w:rsidR="0073134F" w:rsidRPr="009E272B" w:rsidRDefault="0073134F" w:rsidP="0073134F">
      <w:pPr>
        <w:spacing w:after="0"/>
        <w:rPr>
          <w:rFonts w:ascii="Arial" w:hAnsi="Arial" w:cs="Arial"/>
          <w:sz w:val="24"/>
          <w:szCs w:val="24"/>
        </w:rPr>
      </w:pPr>
    </w:p>
    <w:p w14:paraId="1AB33E29" w14:textId="77777777" w:rsidR="0073134F" w:rsidRPr="009E272B" w:rsidRDefault="0073134F" w:rsidP="0073134F">
      <w:pPr>
        <w:rPr>
          <w:rFonts w:ascii="Arial" w:hAnsi="Arial" w:cs="Arial"/>
          <w:sz w:val="24"/>
          <w:szCs w:val="24"/>
        </w:rPr>
      </w:pPr>
      <w:r w:rsidRPr="009E272B">
        <w:rPr>
          <w:rFonts w:ascii="Arial" w:hAnsi="Arial" w:cs="Arial"/>
          <w:sz w:val="24"/>
          <w:szCs w:val="24"/>
          <w:u w:val="single"/>
        </w:rPr>
        <w:t>Note:</w:t>
      </w:r>
      <w:r w:rsidRPr="009E272B">
        <w:rPr>
          <w:rFonts w:ascii="Arial" w:hAnsi="Arial" w:cs="Arial"/>
          <w:sz w:val="24"/>
          <w:szCs w:val="24"/>
        </w:rPr>
        <w:t xml:space="preserve">  There are no PHGs, MCLGs, or mandatory standard health effects language for these constituents because secondary MCLs are set on the basis of aesthetic concerns. </w:t>
      </w:r>
    </w:p>
    <w:p w14:paraId="2BA6386E" w14:textId="77777777" w:rsidR="00DA3C2C" w:rsidRDefault="00DA3C2C" w:rsidP="0073134F">
      <w:pPr>
        <w:tabs>
          <w:tab w:val="left" w:pos="720"/>
          <w:tab w:val="center" w:pos="4320"/>
          <w:tab w:val="right" w:pos="8640"/>
        </w:tabs>
        <w:spacing w:before="240" w:after="240" w:line="240" w:lineRule="auto"/>
        <w:jc w:val="both"/>
      </w:pPr>
    </w:p>
    <w:sectPr w:rsidR="00DA3C2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AEEBC" w14:textId="77777777" w:rsidR="0023113B" w:rsidRDefault="0023113B" w:rsidP="00DA3C2C">
      <w:pPr>
        <w:spacing w:after="0" w:line="240" w:lineRule="auto"/>
      </w:pPr>
      <w:r>
        <w:separator/>
      </w:r>
    </w:p>
  </w:endnote>
  <w:endnote w:type="continuationSeparator" w:id="0">
    <w:p w14:paraId="33416824" w14:textId="77777777" w:rsidR="0023113B" w:rsidRDefault="0023113B" w:rsidP="00DA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">
    <w:altName w:val="Microsoft JhengHei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6B6C" w14:textId="420B87FF" w:rsidR="00DA3C2C" w:rsidRPr="00595781" w:rsidRDefault="00DA3C2C">
    <w:pPr>
      <w:pStyle w:val="Footer"/>
      <w:jc w:val="right"/>
      <w:rPr>
        <w:rFonts w:ascii="Arial" w:hAnsi="Arial" w:cs="Arial"/>
        <w:sz w:val="24"/>
        <w:szCs w:val="24"/>
      </w:rPr>
    </w:pPr>
    <w:r w:rsidRPr="00595781">
      <w:rPr>
        <w:rFonts w:ascii="Arial" w:hAnsi="Arial" w:cs="Arial"/>
        <w:sz w:val="24"/>
        <w:szCs w:val="24"/>
      </w:rPr>
      <w:t>B-</w:t>
    </w:r>
    <w:sdt>
      <w:sdtPr>
        <w:rPr>
          <w:rFonts w:ascii="Arial" w:hAnsi="Arial" w:cs="Arial"/>
          <w:sz w:val="24"/>
          <w:szCs w:val="24"/>
        </w:rPr>
        <w:id w:val="17063587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95781">
          <w:rPr>
            <w:rFonts w:ascii="Arial" w:hAnsi="Arial" w:cs="Arial"/>
            <w:sz w:val="24"/>
            <w:szCs w:val="24"/>
          </w:rPr>
          <w:fldChar w:fldCharType="begin"/>
        </w:r>
        <w:r w:rsidRPr="0059578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95781">
          <w:rPr>
            <w:rFonts w:ascii="Arial" w:hAnsi="Arial" w:cs="Arial"/>
            <w:sz w:val="24"/>
            <w:szCs w:val="24"/>
          </w:rPr>
          <w:fldChar w:fldCharType="separate"/>
        </w:r>
        <w:r w:rsidRPr="00595781">
          <w:rPr>
            <w:rFonts w:ascii="Arial" w:hAnsi="Arial" w:cs="Arial"/>
            <w:noProof/>
            <w:sz w:val="24"/>
            <w:szCs w:val="24"/>
          </w:rPr>
          <w:t>2</w:t>
        </w:r>
        <w:r w:rsidRPr="00595781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1E08EDFF" w14:textId="6334DC10" w:rsidR="00DA3C2C" w:rsidRDefault="00DA3C2C" w:rsidP="00DA3C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CCBA0" w14:textId="77777777" w:rsidR="0023113B" w:rsidRDefault="0023113B" w:rsidP="00DA3C2C">
      <w:pPr>
        <w:spacing w:after="0" w:line="240" w:lineRule="auto"/>
      </w:pPr>
      <w:r>
        <w:separator/>
      </w:r>
    </w:p>
  </w:footnote>
  <w:footnote w:type="continuationSeparator" w:id="0">
    <w:p w14:paraId="4934F62A" w14:textId="77777777" w:rsidR="0023113B" w:rsidRDefault="0023113B" w:rsidP="00DA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25284" w14:textId="2FAA0138" w:rsidR="007D3558" w:rsidRPr="007D3558" w:rsidRDefault="007D3558" w:rsidP="007D3558">
    <w:pPr>
      <w:tabs>
        <w:tab w:val="center" w:pos="0"/>
        <w:tab w:val="center" w:pos="4680"/>
        <w:tab w:val="right" w:pos="9360"/>
      </w:tabs>
      <w:spacing w:after="0" w:line="240" w:lineRule="auto"/>
      <w:rPr>
        <w:rFonts w:ascii="Arial" w:eastAsiaTheme="minorEastAsia" w:hAnsi="Arial" w:cs="Arial"/>
        <w:i/>
        <w:sz w:val="24"/>
        <w:szCs w:val="24"/>
      </w:rPr>
    </w:pPr>
    <w:r w:rsidRPr="007D3558">
      <w:rPr>
        <w:rFonts w:ascii="Arial" w:eastAsiaTheme="minorEastAsia" w:hAnsi="Arial" w:cs="Arial"/>
        <w:i/>
        <w:sz w:val="24"/>
        <w:szCs w:val="24"/>
      </w:rPr>
      <w:t xml:space="preserve">Reference Manual, Appendix </w:t>
    </w:r>
    <w:r>
      <w:rPr>
        <w:rFonts w:ascii="Arial" w:eastAsiaTheme="minorEastAsia" w:hAnsi="Arial" w:cs="Arial"/>
        <w:i/>
        <w:sz w:val="24"/>
        <w:szCs w:val="24"/>
      </w:rPr>
      <w:t>B</w:t>
    </w:r>
  </w:p>
  <w:p w14:paraId="6BF02698" w14:textId="4622FB39" w:rsidR="00DA3C2C" w:rsidRPr="007D3558" w:rsidRDefault="007D3558" w:rsidP="007D3558">
    <w:pPr>
      <w:tabs>
        <w:tab w:val="center" w:pos="4680"/>
        <w:tab w:val="right" w:pos="9360"/>
      </w:tabs>
      <w:spacing w:after="0" w:line="240" w:lineRule="auto"/>
      <w:jc w:val="both"/>
      <w:rPr>
        <w:rFonts w:ascii="Arial" w:eastAsiaTheme="minorEastAsia" w:hAnsi="Arial" w:cs="Arial"/>
        <w:i/>
        <w:sz w:val="24"/>
        <w:szCs w:val="24"/>
      </w:rPr>
    </w:pPr>
    <w:r w:rsidRPr="007D3558">
      <w:rPr>
        <w:rFonts w:ascii="Arial" w:eastAsiaTheme="minorEastAsia" w:hAnsi="Arial" w:cs="Arial"/>
        <w:i/>
        <w:sz w:val="24"/>
        <w:szCs w:val="24"/>
      </w:rPr>
      <w:t xml:space="preserve">Revised </w:t>
    </w:r>
    <w:r w:rsidR="00C510FA">
      <w:rPr>
        <w:rFonts w:ascii="Arial" w:eastAsiaTheme="minorEastAsia" w:hAnsi="Arial" w:cs="Arial"/>
        <w:i/>
        <w:sz w:val="24"/>
        <w:szCs w:val="24"/>
        <w:highlight w:val="yellow"/>
      </w:rPr>
      <w:t xml:space="preserve">February </w:t>
    </w:r>
    <w:r w:rsidRPr="007D3558">
      <w:rPr>
        <w:rFonts w:ascii="Arial" w:eastAsiaTheme="minorEastAsia" w:hAnsi="Arial" w:cs="Arial"/>
        <w:i/>
        <w:sz w:val="24"/>
        <w:szCs w:val="24"/>
        <w:highlight w:val="yellow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2C"/>
    <w:rsid w:val="0023113B"/>
    <w:rsid w:val="00595781"/>
    <w:rsid w:val="006256F0"/>
    <w:rsid w:val="0073134F"/>
    <w:rsid w:val="007D3558"/>
    <w:rsid w:val="00940236"/>
    <w:rsid w:val="009E272B"/>
    <w:rsid w:val="00A47EBB"/>
    <w:rsid w:val="00C510FA"/>
    <w:rsid w:val="00D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9E3C"/>
  <w15:chartTrackingRefBased/>
  <w15:docId w15:val="{F32FFEEC-89DB-48BD-9B5B-77A7566D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C2C"/>
  </w:style>
  <w:style w:type="paragraph" w:styleId="Footer">
    <w:name w:val="footer"/>
    <w:basedOn w:val="Normal"/>
    <w:link w:val="FooterChar"/>
    <w:uiPriority w:val="99"/>
    <w:unhideWhenUsed/>
    <w:rsid w:val="00DA3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2C"/>
  </w:style>
  <w:style w:type="paragraph" w:styleId="BodyText">
    <w:name w:val="Body Text"/>
    <w:basedOn w:val="Normal"/>
    <w:link w:val="BodyTextChar"/>
    <w:uiPriority w:val="99"/>
    <w:semiHidden/>
    <w:unhideWhenUsed/>
    <w:rsid w:val="00DA3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3C2C"/>
  </w:style>
  <w:style w:type="paragraph" w:styleId="TOC1">
    <w:name w:val="toc 1"/>
    <w:basedOn w:val="Normal"/>
    <w:next w:val="Normal"/>
    <w:autoRedefine/>
    <w:uiPriority w:val="39"/>
    <w:rsid w:val="0073134F"/>
    <w:pPr>
      <w:tabs>
        <w:tab w:val="left" w:pos="432"/>
        <w:tab w:val="right" w:leader="dot" w:pos="9350"/>
      </w:tabs>
      <w:spacing w:after="120" w:line="240" w:lineRule="auto"/>
      <w:jc w:val="both"/>
    </w:pPr>
    <w:rPr>
      <w:rFonts w:ascii="Times New Roman" w:eastAsia="???" w:hAnsi="Times New Roman" w:cs="Times New Roman"/>
      <w:noProof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Alison@Waterboards</dc:creator>
  <cp:keywords/>
  <dc:description/>
  <cp:lastModifiedBy>Sim, Alison@Waterboards</cp:lastModifiedBy>
  <cp:revision>9</cp:revision>
  <dcterms:created xsi:type="dcterms:W3CDTF">2021-02-05T19:00:00Z</dcterms:created>
  <dcterms:modified xsi:type="dcterms:W3CDTF">2021-02-17T19:57:00Z</dcterms:modified>
</cp:coreProperties>
</file>