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15B48" w14:textId="77777777" w:rsidR="001A2BFC" w:rsidRPr="001A2BFC" w:rsidRDefault="001A2BFC" w:rsidP="001A2BFC">
      <w:pPr>
        <w:keepNext/>
        <w:spacing w:before="60" w:after="0" w:line="240" w:lineRule="auto"/>
        <w:outlineLvl w:val="1"/>
        <w:rPr>
          <w:rFonts w:ascii="Arial" w:eastAsia="Times New Roman" w:hAnsi="Arial" w:cs="Arial"/>
          <w:b/>
          <w:color w:val="0000FF"/>
          <w:sz w:val="32"/>
          <w:szCs w:val="24"/>
        </w:rPr>
      </w:pPr>
      <w:bookmarkStart w:id="0" w:name="_Toc277681652"/>
      <w:bookmarkStart w:id="1" w:name="_Toc535417404"/>
      <w:bookmarkStart w:id="2" w:name="_Toc63413049"/>
      <w:r w:rsidRPr="001A2BFC">
        <w:rPr>
          <w:rFonts w:ascii="Arial" w:eastAsia="Times New Roman" w:hAnsi="Arial" w:cs="Arial"/>
          <w:b/>
          <w:color w:val="0000FF"/>
          <w:sz w:val="32"/>
          <w:szCs w:val="24"/>
        </w:rPr>
        <w:t>APPENDIX C:  Monitored Contaminants with No MCLs</w:t>
      </w:r>
      <w:bookmarkEnd w:id="0"/>
      <w:bookmarkEnd w:id="1"/>
      <w:bookmarkEnd w:id="2"/>
    </w:p>
    <w:p w14:paraId="6877983E"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3" w:name="_Toc535417405"/>
      <w:bookmarkStart w:id="4" w:name="_Toc536185596"/>
      <w:bookmarkStart w:id="5" w:name="_Toc63413050"/>
      <w:r w:rsidRPr="001A2BFC">
        <w:rPr>
          <w:rFonts w:ascii="Arial" w:eastAsia="Times New Roman" w:hAnsi="Arial" w:cs="Times New Roman"/>
          <w:b/>
          <w:bCs/>
          <w:color w:val="0000FF"/>
          <w:sz w:val="28"/>
          <w:szCs w:val="20"/>
        </w:rPr>
        <w:t>Background</w:t>
      </w:r>
      <w:bookmarkEnd w:id="3"/>
      <w:bookmarkEnd w:id="4"/>
      <w:bookmarkEnd w:id="5"/>
    </w:p>
    <w:p w14:paraId="4F18807A"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1996 Amendments to the SDWA required the U.S. EPA to establish criteria for a monitoring program for unregulated contaminants, and to publish, once every five years, a list of no more than 30 contaminants to be monitored by public water systems (PWS).</w:t>
      </w:r>
    </w:p>
    <w:p w14:paraId="7A05AF1E"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Section 64450 of the California Code of Regulations also required certain water systems to monitor a number of unregulated contaminants, with contaminant lists that were published or revised in 1990, 1996, 2000, and 2003.  This section of the California Code of Regulations was repealed effective October 18, 2007.  Water systems that continued to monitor for state unregulated contaminants are encouraged, but not required, to include the information regarding detected contaminants in the CCR.</w:t>
      </w:r>
    </w:p>
    <w:p w14:paraId="471C1A31"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Although Section 64450 of the California Code of Regulations was repealed, the State Water Board may request water systems to monitor for specific contaminants per HSC section 116375(b).  </w:t>
      </w:r>
    </w:p>
    <w:p w14:paraId="1C25B33A"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6" w:name="_Toc535417406"/>
      <w:bookmarkStart w:id="7" w:name="_Toc536185597"/>
      <w:bookmarkStart w:id="8" w:name="_Toc63413051"/>
      <w:r w:rsidRPr="001A2BFC">
        <w:rPr>
          <w:rFonts w:ascii="Arial" w:eastAsia="Times New Roman" w:hAnsi="Arial" w:cs="Times New Roman"/>
          <w:b/>
          <w:bCs/>
          <w:color w:val="0000FF"/>
          <w:sz w:val="28"/>
          <w:szCs w:val="20"/>
        </w:rPr>
        <w:t>Federal UCMR 1 (2001 – 2003 Monitoring)</w:t>
      </w:r>
      <w:bookmarkEnd w:id="6"/>
      <w:bookmarkEnd w:id="7"/>
      <w:bookmarkEnd w:id="8"/>
    </w:p>
    <w:p w14:paraId="6D598159"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U.S. EPA published the first list of contaminants to monitor as part of the UCMR in September 1999.  Contaminants were divided into two lists:  Assessment Monitoring (List 1), and Screening Survey (List 2).</w:t>
      </w:r>
    </w:p>
    <w:p w14:paraId="1DC425E6"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Assessment Monitoring of List 1 contaminants was conducted by large PWS serving more than 10,000 people and 800 representative small PWS serving 10,000 or fewer people.  Assessment Monitoring was conducted by each PWS over a 12-month period between 2001 and 2003.</w:t>
      </w:r>
    </w:p>
    <w:p w14:paraId="08EEB80F"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Screening Survey was conducted by a randomly selected set of 300 large and small PWSs for List 2 contaminants.  Screening Survey for chemical contaminants was conducted in 2001 and 2002 for small and large PWS, respectively.  Screening Survey for </w:t>
      </w:r>
      <w:r w:rsidRPr="001A2BFC">
        <w:rPr>
          <w:rFonts w:ascii="Arial" w:eastAsia="Times New Roman" w:hAnsi="Arial" w:cs="Arial"/>
          <w:i/>
          <w:iCs/>
          <w:sz w:val="24"/>
          <w:szCs w:val="24"/>
        </w:rPr>
        <w:t>Aeromonas</w:t>
      </w:r>
      <w:r w:rsidRPr="001A2BFC">
        <w:rPr>
          <w:rFonts w:ascii="Arial" w:eastAsia="Times New Roman" w:hAnsi="Arial" w:cs="Arial"/>
          <w:sz w:val="24"/>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1A2BFC" w:rsidRPr="001A2BFC" w14:paraId="38D1B397" w14:textId="77777777" w:rsidTr="00BC6FFF">
        <w:trPr>
          <w:tblHeader/>
        </w:trPr>
        <w:tc>
          <w:tcPr>
            <w:tcW w:w="4680" w:type="dxa"/>
          </w:tcPr>
          <w:p w14:paraId="4917C036"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1 List 1 – Assessment Monitoring</w:t>
            </w:r>
          </w:p>
        </w:tc>
        <w:tc>
          <w:tcPr>
            <w:tcW w:w="4630" w:type="dxa"/>
            <w:vAlign w:val="center"/>
          </w:tcPr>
          <w:p w14:paraId="2F35AA44"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1 List 2 – Screening Survey</w:t>
            </w:r>
          </w:p>
        </w:tc>
      </w:tr>
      <w:tr w:rsidR="001A2BFC" w:rsidRPr="001A2BFC" w14:paraId="642527F5" w14:textId="77777777" w:rsidTr="00E00084">
        <w:tc>
          <w:tcPr>
            <w:tcW w:w="4680" w:type="dxa"/>
          </w:tcPr>
          <w:p w14:paraId="5FE38D3B"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2,4-dinitrotoluene</w:t>
            </w:r>
          </w:p>
          <w:p w14:paraId="37AE076C"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2,6-dinitrotoluene</w:t>
            </w:r>
          </w:p>
          <w:p w14:paraId="2A5F7ECC"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Acetochlor</w:t>
            </w:r>
          </w:p>
          <w:p w14:paraId="2C90134E"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 xml:space="preserve">DCPA mono-acid </w:t>
            </w:r>
            <w:proofErr w:type="spellStart"/>
            <w:r w:rsidRPr="00994B87">
              <w:rPr>
                <w:rFonts w:ascii="Arial" w:hAnsi="Arial" w:cs="Arial"/>
                <w:sz w:val="24"/>
                <w:szCs w:val="24"/>
              </w:rPr>
              <w:t>degradate</w:t>
            </w:r>
            <w:proofErr w:type="spellEnd"/>
          </w:p>
          <w:p w14:paraId="2E415DD8"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 xml:space="preserve">DCPA di-acid </w:t>
            </w:r>
            <w:proofErr w:type="spellStart"/>
            <w:r w:rsidRPr="00994B87">
              <w:rPr>
                <w:rFonts w:ascii="Arial" w:hAnsi="Arial" w:cs="Arial"/>
                <w:sz w:val="24"/>
                <w:szCs w:val="24"/>
              </w:rPr>
              <w:t>degradate</w:t>
            </w:r>
            <w:proofErr w:type="spellEnd"/>
          </w:p>
          <w:p w14:paraId="1CB9FE63"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4,4’-DDE</w:t>
            </w:r>
          </w:p>
          <w:p w14:paraId="2660EA6B"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EPTC</w:t>
            </w:r>
          </w:p>
          <w:p w14:paraId="6F0DC52A"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Molinate</w:t>
            </w:r>
          </w:p>
          <w:p w14:paraId="7E51C23B"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MTBE</w:t>
            </w:r>
          </w:p>
          <w:p w14:paraId="219559E1"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Nitrobenzene</w:t>
            </w:r>
          </w:p>
          <w:p w14:paraId="79A5DDBC"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Perchlorate</w:t>
            </w:r>
          </w:p>
          <w:p w14:paraId="6B385CB2" w14:textId="77777777" w:rsidR="001A2BFC" w:rsidRPr="00994B87" w:rsidRDefault="001A2BFC" w:rsidP="001A2BFC">
            <w:pPr>
              <w:numPr>
                <w:ilvl w:val="0"/>
                <w:numId w:val="3"/>
              </w:numPr>
              <w:spacing w:after="20"/>
              <w:contextualSpacing/>
              <w:rPr>
                <w:rFonts w:ascii="Arial" w:hAnsi="Arial" w:cs="Arial"/>
                <w:b/>
                <w:sz w:val="24"/>
                <w:szCs w:val="24"/>
                <w:u w:val="single"/>
              </w:rPr>
            </w:pPr>
            <w:proofErr w:type="spellStart"/>
            <w:r w:rsidRPr="00994B87">
              <w:rPr>
                <w:rFonts w:ascii="Arial" w:hAnsi="Arial" w:cs="Arial"/>
                <w:sz w:val="24"/>
                <w:szCs w:val="24"/>
              </w:rPr>
              <w:lastRenderedPageBreak/>
              <w:t>Terbacil</w:t>
            </w:r>
            <w:proofErr w:type="spellEnd"/>
          </w:p>
        </w:tc>
        <w:tc>
          <w:tcPr>
            <w:tcW w:w="4630" w:type="dxa"/>
          </w:tcPr>
          <w:p w14:paraId="6C490BFA"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lastRenderedPageBreak/>
              <w:t>1,2-diphenylhydrazine</w:t>
            </w:r>
          </w:p>
          <w:p w14:paraId="495D64A4"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2-methyl-phenol</w:t>
            </w:r>
          </w:p>
          <w:p w14:paraId="1EEAB3EF"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2,4-dichlorophenol</w:t>
            </w:r>
          </w:p>
          <w:p w14:paraId="2D058ED3"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2,4-dinitrophenol</w:t>
            </w:r>
          </w:p>
          <w:p w14:paraId="4944F491"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2,4,6-trichlorophenol</w:t>
            </w:r>
          </w:p>
          <w:p w14:paraId="75673630" w14:textId="77777777" w:rsidR="001A2BFC" w:rsidRPr="00994B87" w:rsidRDefault="001A2BFC" w:rsidP="001A2BFC">
            <w:pPr>
              <w:numPr>
                <w:ilvl w:val="0"/>
                <w:numId w:val="3"/>
              </w:numPr>
              <w:spacing w:after="20"/>
              <w:contextualSpacing/>
              <w:rPr>
                <w:rFonts w:ascii="Arial" w:hAnsi="Arial" w:cs="Arial"/>
                <w:sz w:val="24"/>
                <w:szCs w:val="24"/>
                <w:lang w:val="es-MX"/>
              </w:rPr>
            </w:pPr>
            <w:proofErr w:type="spellStart"/>
            <w:r w:rsidRPr="00994B87">
              <w:rPr>
                <w:rFonts w:ascii="Arial" w:hAnsi="Arial" w:cs="Arial"/>
                <w:i/>
                <w:iCs/>
                <w:sz w:val="24"/>
                <w:szCs w:val="24"/>
                <w:lang w:val="es-MX"/>
              </w:rPr>
              <w:t>Aeromonas</w:t>
            </w:r>
            <w:proofErr w:type="spellEnd"/>
          </w:p>
          <w:p w14:paraId="1396D5A3" w14:textId="77777777" w:rsidR="001A2BFC" w:rsidRPr="00994B87" w:rsidRDefault="001A2BFC" w:rsidP="001A2BFC">
            <w:pPr>
              <w:numPr>
                <w:ilvl w:val="0"/>
                <w:numId w:val="3"/>
              </w:numPr>
              <w:spacing w:after="20"/>
              <w:contextualSpacing/>
              <w:rPr>
                <w:rFonts w:ascii="Arial" w:hAnsi="Arial" w:cs="Arial"/>
                <w:sz w:val="24"/>
                <w:szCs w:val="24"/>
                <w:lang w:val="es-MX"/>
              </w:rPr>
            </w:pPr>
            <w:proofErr w:type="spellStart"/>
            <w:r w:rsidRPr="00994B87">
              <w:rPr>
                <w:rFonts w:ascii="Arial" w:hAnsi="Arial" w:cs="Arial"/>
                <w:sz w:val="24"/>
                <w:szCs w:val="24"/>
                <w:lang w:val="es-MX"/>
              </w:rPr>
              <w:t>Alachlor</w:t>
            </w:r>
            <w:proofErr w:type="spellEnd"/>
            <w:r w:rsidRPr="00994B87">
              <w:rPr>
                <w:rFonts w:ascii="Arial" w:hAnsi="Arial" w:cs="Arial"/>
                <w:sz w:val="24"/>
                <w:szCs w:val="24"/>
                <w:lang w:val="es-MX"/>
              </w:rPr>
              <w:t xml:space="preserve"> ESA</w:t>
            </w:r>
          </w:p>
          <w:p w14:paraId="1C8E8DFB"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Diazinon</w:t>
            </w:r>
          </w:p>
          <w:p w14:paraId="23E99FC4" w14:textId="77777777" w:rsidR="001A2BFC" w:rsidRPr="00994B87" w:rsidRDefault="001A2BFC" w:rsidP="001A2BFC">
            <w:pPr>
              <w:numPr>
                <w:ilvl w:val="0"/>
                <w:numId w:val="3"/>
              </w:numPr>
              <w:spacing w:after="20"/>
              <w:contextualSpacing/>
              <w:rPr>
                <w:rFonts w:ascii="Arial" w:hAnsi="Arial" w:cs="Arial"/>
                <w:sz w:val="24"/>
                <w:szCs w:val="24"/>
                <w:lang w:val="fr-CA"/>
              </w:rPr>
            </w:pPr>
            <w:proofErr w:type="spellStart"/>
            <w:r w:rsidRPr="00994B87">
              <w:rPr>
                <w:rFonts w:ascii="Arial" w:hAnsi="Arial" w:cs="Arial"/>
                <w:sz w:val="24"/>
                <w:szCs w:val="24"/>
                <w:lang w:val="fr-CA"/>
              </w:rPr>
              <w:t>Disulfoton</w:t>
            </w:r>
            <w:proofErr w:type="spellEnd"/>
          </w:p>
          <w:p w14:paraId="54A2E3EA"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Diuron</w:t>
            </w:r>
          </w:p>
          <w:p w14:paraId="080E6D51"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Fonofos</w:t>
            </w:r>
          </w:p>
          <w:p w14:paraId="2C845FB8"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lastRenderedPageBreak/>
              <w:t>Linuron</w:t>
            </w:r>
          </w:p>
          <w:p w14:paraId="6D58DE86" w14:textId="77777777" w:rsidR="001A2BFC" w:rsidRPr="00994B87" w:rsidRDefault="001A2BFC" w:rsidP="001A2BFC">
            <w:pPr>
              <w:numPr>
                <w:ilvl w:val="0"/>
                <w:numId w:val="3"/>
              </w:numPr>
              <w:spacing w:after="20"/>
              <w:contextualSpacing/>
              <w:rPr>
                <w:rFonts w:ascii="Arial" w:hAnsi="Arial" w:cs="Arial"/>
                <w:sz w:val="24"/>
                <w:szCs w:val="24"/>
                <w:lang w:val="fr-CA"/>
              </w:rPr>
            </w:pPr>
            <w:proofErr w:type="spellStart"/>
            <w:r w:rsidRPr="00994B87">
              <w:rPr>
                <w:rFonts w:ascii="Arial" w:hAnsi="Arial" w:cs="Arial"/>
                <w:sz w:val="24"/>
                <w:szCs w:val="24"/>
                <w:lang w:val="fr-CA"/>
              </w:rPr>
              <w:t>Nitrobenzene</w:t>
            </w:r>
            <w:proofErr w:type="spellEnd"/>
          </w:p>
          <w:p w14:paraId="055D9BDE"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Prometon</w:t>
            </w:r>
          </w:p>
          <w:p w14:paraId="73313763"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Hexahydro-1,3,5-trinitro-1-3-5-triazine [RDX]</w:t>
            </w:r>
          </w:p>
          <w:p w14:paraId="4226C375" w14:textId="77777777" w:rsidR="001A2BFC" w:rsidRPr="00994B87" w:rsidRDefault="001A2BFC" w:rsidP="001A2BFC">
            <w:pPr>
              <w:numPr>
                <w:ilvl w:val="0"/>
                <w:numId w:val="3"/>
              </w:numPr>
              <w:spacing w:after="20"/>
              <w:contextualSpacing/>
              <w:rPr>
                <w:rFonts w:ascii="Arial" w:hAnsi="Arial" w:cs="Arial"/>
                <w:b/>
                <w:sz w:val="24"/>
                <w:szCs w:val="24"/>
                <w:u w:val="single"/>
              </w:rPr>
            </w:pPr>
            <w:proofErr w:type="spellStart"/>
            <w:r w:rsidRPr="00994B87">
              <w:rPr>
                <w:rFonts w:ascii="Arial" w:hAnsi="Arial" w:cs="Arial"/>
                <w:sz w:val="24"/>
                <w:szCs w:val="24"/>
              </w:rPr>
              <w:t>Terbufos</w:t>
            </w:r>
            <w:proofErr w:type="spellEnd"/>
          </w:p>
        </w:tc>
      </w:tr>
    </w:tbl>
    <w:p w14:paraId="007AD4A6" w14:textId="77777777" w:rsidR="001A2BFC" w:rsidRPr="001A2BFC" w:rsidRDefault="001A2BFC" w:rsidP="001A2BFC">
      <w:pPr>
        <w:spacing w:after="0" w:line="240" w:lineRule="auto"/>
        <w:rPr>
          <w:rFonts w:ascii="Arial" w:eastAsia="Times New Roman" w:hAnsi="Arial" w:cs="Arial"/>
          <w:sz w:val="20"/>
          <w:szCs w:val="24"/>
        </w:rPr>
      </w:pPr>
      <w:bookmarkStart w:id="9" w:name="_Toc535417407"/>
    </w:p>
    <w:p w14:paraId="033C9456"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0" w:name="_Toc536185598"/>
      <w:bookmarkStart w:id="11" w:name="_Toc63413052"/>
      <w:r w:rsidRPr="001A2BFC">
        <w:rPr>
          <w:rFonts w:ascii="Arial" w:eastAsia="Times New Roman" w:hAnsi="Arial" w:cs="Times New Roman"/>
          <w:b/>
          <w:bCs/>
          <w:color w:val="0000FF"/>
          <w:sz w:val="28"/>
          <w:szCs w:val="20"/>
        </w:rPr>
        <w:t>Federal UCMR 2 (2008 – 2010 Monitoring)</w:t>
      </w:r>
      <w:bookmarkEnd w:id="9"/>
      <w:bookmarkEnd w:id="10"/>
      <w:bookmarkEnd w:id="11"/>
    </w:p>
    <w:p w14:paraId="46136B47"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 xml:space="preserve">The U.S. EPA published the second list of contaminants to monitor as part of the UCMR in January 2007. </w:t>
      </w:r>
    </w:p>
    <w:p w14:paraId="7207656E"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Assessment Monitoring was required of all PWS serving more than 10,000 people and 800 representative PWS serving 10,000 or fewer people for List 1 contaminants.  Assessment Monitoring was required of each PWS during a 12-month period from January 2008 to December 2010.</w:t>
      </w:r>
    </w:p>
    <w:p w14:paraId="20CB2E5D"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Screening Survey was required of all PWS serving more than 100,000 people, 320 representative PWS serving 10,001 to 100,000 people, and 480 representative PWS serving 10,000 or fewer people for List 2 contaminants.  Screening Survey was required of each PWS during a 12-month period from January 2008 to December 2010.</w:t>
      </w:r>
    </w:p>
    <w:tbl>
      <w:tblPr>
        <w:tblStyle w:val="TableGrid"/>
        <w:tblW w:w="0" w:type="auto"/>
        <w:tblLook w:val="01E0" w:firstRow="1" w:lastRow="1" w:firstColumn="1" w:lastColumn="1" w:noHBand="0" w:noVBand="0"/>
      </w:tblPr>
      <w:tblGrid>
        <w:gridCol w:w="4680"/>
        <w:gridCol w:w="4630"/>
      </w:tblGrid>
      <w:tr w:rsidR="001A2BFC" w:rsidRPr="001A2BFC" w14:paraId="0A175A8F" w14:textId="77777777" w:rsidTr="00E00084">
        <w:tc>
          <w:tcPr>
            <w:tcW w:w="4680" w:type="dxa"/>
            <w:vAlign w:val="center"/>
          </w:tcPr>
          <w:p w14:paraId="2DBE73F0"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2 List 1 – Assessment Monitoring</w:t>
            </w:r>
          </w:p>
        </w:tc>
        <w:tc>
          <w:tcPr>
            <w:tcW w:w="4630" w:type="dxa"/>
            <w:vAlign w:val="center"/>
          </w:tcPr>
          <w:p w14:paraId="7E7282F8"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2 List 2 – Screening Survey</w:t>
            </w:r>
          </w:p>
        </w:tc>
      </w:tr>
      <w:tr w:rsidR="001A2BFC" w:rsidRPr="001A2BFC" w14:paraId="7B97F974" w14:textId="77777777" w:rsidTr="00E00084">
        <w:tc>
          <w:tcPr>
            <w:tcW w:w="4680" w:type="dxa"/>
          </w:tcPr>
          <w:p w14:paraId="3CF9DA2B" w14:textId="77777777" w:rsidR="001A2BFC" w:rsidRPr="00994B87" w:rsidRDefault="001A2BFC" w:rsidP="001A2BFC">
            <w:pPr>
              <w:numPr>
                <w:ilvl w:val="0"/>
                <w:numId w:val="1"/>
              </w:numPr>
              <w:contextualSpacing/>
              <w:rPr>
                <w:rFonts w:ascii="Arial" w:hAnsi="Arial" w:cs="Arial"/>
                <w:sz w:val="24"/>
                <w:szCs w:val="24"/>
              </w:rPr>
            </w:pPr>
            <w:bookmarkStart w:id="12" w:name="_Toc472841100"/>
            <w:r w:rsidRPr="00994B87">
              <w:rPr>
                <w:rFonts w:ascii="Arial" w:hAnsi="Arial" w:cs="Arial"/>
                <w:sz w:val="24"/>
                <w:szCs w:val="24"/>
              </w:rPr>
              <w:t>Dimethoate</w:t>
            </w:r>
          </w:p>
          <w:p w14:paraId="583382A1" w14:textId="77777777" w:rsidR="001A2BFC" w:rsidRPr="00994B87" w:rsidRDefault="001A2BFC" w:rsidP="001A2BFC">
            <w:pPr>
              <w:numPr>
                <w:ilvl w:val="0"/>
                <w:numId w:val="1"/>
              </w:numPr>
              <w:contextualSpacing/>
              <w:rPr>
                <w:rFonts w:ascii="Arial" w:hAnsi="Arial" w:cs="Arial"/>
                <w:sz w:val="24"/>
                <w:szCs w:val="24"/>
              </w:rPr>
            </w:pPr>
            <w:proofErr w:type="spellStart"/>
            <w:r w:rsidRPr="00994B87">
              <w:rPr>
                <w:rFonts w:ascii="Arial" w:hAnsi="Arial" w:cs="Arial"/>
                <w:sz w:val="24"/>
                <w:szCs w:val="24"/>
              </w:rPr>
              <w:t>Terbufos</w:t>
            </w:r>
            <w:proofErr w:type="spellEnd"/>
            <w:r w:rsidRPr="00994B87">
              <w:rPr>
                <w:rFonts w:ascii="Arial" w:hAnsi="Arial" w:cs="Arial"/>
                <w:sz w:val="24"/>
                <w:szCs w:val="24"/>
              </w:rPr>
              <w:t xml:space="preserve"> sulfone</w:t>
            </w:r>
          </w:p>
          <w:p w14:paraId="4B27409D"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2,2',4,4'-tetrabromodiphenyl ether</w:t>
            </w:r>
          </w:p>
          <w:p w14:paraId="3BE6B6F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2,2',4,4',5-pentabromodiphenyl ether</w:t>
            </w:r>
          </w:p>
          <w:p w14:paraId="1D067CE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2,2',4,4',5,5'-hexabromobiphenyl</w:t>
            </w:r>
          </w:p>
          <w:p w14:paraId="1CF2427F"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2,2',4,4',5,5'-hexabromodiphenyl ether</w:t>
            </w:r>
          </w:p>
          <w:p w14:paraId="14EDCBC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2,2',4,4',6-pentabromodiphenyl ether</w:t>
            </w:r>
          </w:p>
          <w:p w14:paraId="01AFF36E"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1,3-dinitrobenzene</w:t>
            </w:r>
          </w:p>
          <w:p w14:paraId="561A7DC7"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2,4,6-trinitrotoluene (TNT)</w:t>
            </w:r>
          </w:p>
          <w:p w14:paraId="51582BB0"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Hexahydro-1,3,5-trinitro-1,3,5-trazine (RDX)</w:t>
            </w:r>
          </w:p>
        </w:tc>
        <w:tc>
          <w:tcPr>
            <w:tcW w:w="4630" w:type="dxa"/>
          </w:tcPr>
          <w:p w14:paraId="3E90DB1A"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 ethane sulfonic acid</w:t>
            </w:r>
          </w:p>
          <w:p w14:paraId="563237F4"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 oxanilic acid</w:t>
            </w:r>
          </w:p>
          <w:p w14:paraId="5F997EB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 ethane sulfonic acid</w:t>
            </w:r>
          </w:p>
          <w:p w14:paraId="1E9FA5C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 oxanilic acid</w:t>
            </w:r>
          </w:p>
          <w:p w14:paraId="6DA76E9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 ethane sulfonic acid</w:t>
            </w:r>
          </w:p>
          <w:p w14:paraId="4B4AE35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 oxanilic acid</w:t>
            </w:r>
          </w:p>
          <w:p w14:paraId="1300288C"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w:t>
            </w:r>
          </w:p>
          <w:p w14:paraId="08202F38"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w:t>
            </w:r>
          </w:p>
          <w:p w14:paraId="55C03F33"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w:t>
            </w:r>
          </w:p>
          <w:p w14:paraId="4B4568C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nitrosodiethylamine</w:t>
            </w:r>
            <w:proofErr w:type="spellEnd"/>
            <w:r w:rsidRPr="00994B87">
              <w:rPr>
                <w:rFonts w:ascii="Arial" w:hAnsi="Arial" w:cs="Arial"/>
                <w:sz w:val="24"/>
                <w:szCs w:val="24"/>
              </w:rPr>
              <w:t xml:space="preserve"> (NDEA)</w:t>
            </w:r>
          </w:p>
          <w:p w14:paraId="40D1B804"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nitrosodimethylamine</w:t>
            </w:r>
            <w:proofErr w:type="spellEnd"/>
            <w:r w:rsidRPr="00994B87">
              <w:rPr>
                <w:rFonts w:ascii="Arial" w:hAnsi="Arial" w:cs="Arial"/>
                <w:sz w:val="24"/>
                <w:szCs w:val="24"/>
              </w:rPr>
              <w:t xml:space="preserve"> (NDMA)</w:t>
            </w:r>
          </w:p>
          <w:p w14:paraId="488D58D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N-nitroso-di-n-butylamine (NDBA)</w:t>
            </w:r>
          </w:p>
          <w:p w14:paraId="71969682"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N-nitroso-di-n-propylamine (NDPA)</w:t>
            </w:r>
          </w:p>
          <w:p w14:paraId="3918E7F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nitrosomethylethylamine</w:t>
            </w:r>
            <w:proofErr w:type="spellEnd"/>
            <w:r w:rsidRPr="00994B87">
              <w:rPr>
                <w:rFonts w:ascii="Arial" w:hAnsi="Arial" w:cs="Arial"/>
                <w:sz w:val="24"/>
                <w:szCs w:val="24"/>
              </w:rPr>
              <w:t xml:space="preserve"> (NMEA)</w:t>
            </w:r>
          </w:p>
          <w:p w14:paraId="0B8800EB" w14:textId="77777777" w:rsidR="001A2BFC" w:rsidRPr="00994B87" w:rsidRDefault="001A2BFC" w:rsidP="001A2BFC">
            <w:pPr>
              <w:numPr>
                <w:ilvl w:val="0"/>
                <w:numId w:val="1"/>
              </w:numPr>
              <w:contextualSpacing/>
              <w:rPr>
                <w:rFonts w:ascii="Arial" w:hAnsi="Arial" w:cs="Arial"/>
                <w:b/>
                <w:sz w:val="24"/>
                <w:szCs w:val="24"/>
              </w:rPr>
            </w:pPr>
            <w:r w:rsidRPr="00994B87">
              <w:rPr>
                <w:rFonts w:ascii="Arial" w:hAnsi="Arial" w:cs="Arial"/>
                <w:sz w:val="24"/>
                <w:szCs w:val="24"/>
              </w:rPr>
              <w:t>N-</w:t>
            </w:r>
            <w:proofErr w:type="spellStart"/>
            <w:r w:rsidRPr="00994B87">
              <w:rPr>
                <w:rFonts w:ascii="Arial" w:hAnsi="Arial" w:cs="Arial"/>
                <w:sz w:val="24"/>
                <w:szCs w:val="24"/>
              </w:rPr>
              <w:t>nitrosopyrrolidine</w:t>
            </w:r>
            <w:proofErr w:type="spellEnd"/>
            <w:r w:rsidRPr="00994B87">
              <w:rPr>
                <w:rFonts w:ascii="Arial" w:hAnsi="Arial" w:cs="Arial"/>
                <w:sz w:val="24"/>
                <w:szCs w:val="24"/>
              </w:rPr>
              <w:t xml:space="preserve"> (NPYR)</w:t>
            </w:r>
          </w:p>
        </w:tc>
      </w:tr>
    </w:tbl>
    <w:p w14:paraId="1049DF4A" w14:textId="77777777" w:rsidR="001A2BFC" w:rsidRPr="001A2BFC" w:rsidRDefault="001A2BFC" w:rsidP="001A2BFC">
      <w:pPr>
        <w:spacing w:after="0" w:line="240" w:lineRule="auto"/>
        <w:rPr>
          <w:rFonts w:ascii="Arial" w:eastAsia="Times New Roman" w:hAnsi="Arial" w:cs="Arial"/>
          <w:sz w:val="20"/>
          <w:szCs w:val="24"/>
        </w:rPr>
      </w:pPr>
    </w:p>
    <w:p w14:paraId="7D07CF01"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3" w:name="_Toc535417408"/>
      <w:bookmarkStart w:id="14" w:name="_Toc536185599"/>
      <w:bookmarkStart w:id="15" w:name="_Toc63413053"/>
      <w:r w:rsidRPr="001A2BFC">
        <w:rPr>
          <w:rFonts w:ascii="Arial" w:eastAsia="Times New Roman" w:hAnsi="Arial" w:cs="Times New Roman"/>
          <w:b/>
          <w:bCs/>
          <w:color w:val="0000FF"/>
          <w:sz w:val="28"/>
          <w:szCs w:val="20"/>
        </w:rPr>
        <w:lastRenderedPageBreak/>
        <w:t>Federal UCMR 3 (2013 – 2015 Monitoring)</w:t>
      </w:r>
      <w:bookmarkEnd w:id="13"/>
      <w:bookmarkEnd w:id="14"/>
      <w:bookmarkEnd w:id="15"/>
    </w:p>
    <w:p w14:paraId="2F9D5140" w14:textId="77777777" w:rsidR="001A2BFC" w:rsidRPr="001A2BFC" w:rsidRDefault="001A2BFC" w:rsidP="001A2BFC">
      <w:pPr>
        <w:keepNext/>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third UCMR list of contaminants was published in May 2012.</w:t>
      </w:r>
    </w:p>
    <w:p w14:paraId="4142CFB4"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Assessment Monitoring (List 1 Contaminants) was required of all PWS serving more than 10,000 people and 800 representative PWS serving 10,000 or fewer people.  Assessment Monitoring was required of each PWS during a 12-month period from January 2013 to December 2015.</w:t>
      </w:r>
    </w:p>
    <w:p w14:paraId="3B2702DC"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Screening Survey (List 2 Contaminants) was required of all PWS serving more than 100,000 people, 320 representative PWS serving 10,001 to 100,000 people, and 480 representative PWS serving 10,000 or fewer people.  Screening Survey was required of each PWS during a 12</w:t>
      </w:r>
      <w:r w:rsidRPr="001A2BFC">
        <w:rPr>
          <w:rFonts w:ascii="Arial" w:eastAsia="Times New Roman" w:hAnsi="Arial" w:cs="Arial"/>
          <w:sz w:val="24"/>
          <w:szCs w:val="24"/>
        </w:rPr>
        <w:noBreakHyphen/>
        <w:t>month period from January 2013 to December 2015.</w:t>
      </w:r>
    </w:p>
    <w:p w14:paraId="62A57CEC"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Pre-screen Testing (List 3 Contaminants) was required from a selection of 800 representative PWS serving 1,000 or fewer people that do not disinfect.  These PWS were selected because they have groundwater wells that were located in areas of karst or fractured bedrock.  Monitored lasted 12 months between January 2013 and December 2015.</w:t>
      </w:r>
    </w:p>
    <w:tbl>
      <w:tblPr>
        <w:tblStyle w:val="TableGrid"/>
        <w:tblW w:w="0" w:type="auto"/>
        <w:tblLook w:val="01E0" w:firstRow="1" w:lastRow="1" w:firstColumn="1" w:lastColumn="1" w:noHBand="0" w:noVBand="0"/>
      </w:tblPr>
      <w:tblGrid>
        <w:gridCol w:w="3960"/>
        <w:gridCol w:w="2700"/>
        <w:gridCol w:w="2430"/>
      </w:tblGrid>
      <w:tr w:rsidR="001A2BFC" w:rsidRPr="001A2BFC" w14:paraId="463061D7" w14:textId="77777777" w:rsidTr="00E00084">
        <w:trPr>
          <w:trHeight w:val="683"/>
        </w:trPr>
        <w:tc>
          <w:tcPr>
            <w:tcW w:w="3960" w:type="dxa"/>
          </w:tcPr>
          <w:p w14:paraId="01B6631F"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1 – Assessment Monitoring</w:t>
            </w:r>
          </w:p>
        </w:tc>
        <w:tc>
          <w:tcPr>
            <w:tcW w:w="2700" w:type="dxa"/>
          </w:tcPr>
          <w:p w14:paraId="4D0559A1"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2 – Screening Survey</w:t>
            </w:r>
          </w:p>
        </w:tc>
        <w:tc>
          <w:tcPr>
            <w:tcW w:w="2430" w:type="dxa"/>
          </w:tcPr>
          <w:p w14:paraId="614C4643"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3 – Pre-Screen Testing</w:t>
            </w:r>
          </w:p>
        </w:tc>
      </w:tr>
      <w:tr w:rsidR="001A2BFC" w:rsidRPr="001A2BFC" w14:paraId="31746222" w14:textId="77777777" w:rsidTr="00E00084">
        <w:trPr>
          <w:trHeight w:val="980"/>
        </w:trPr>
        <w:tc>
          <w:tcPr>
            <w:tcW w:w="3960" w:type="dxa"/>
          </w:tcPr>
          <w:p w14:paraId="4926455A" w14:textId="77777777" w:rsidR="001A2BFC" w:rsidRPr="00994B87" w:rsidRDefault="001A2BFC" w:rsidP="001A2BFC">
            <w:pPr>
              <w:numPr>
                <w:ilvl w:val="0"/>
                <w:numId w:val="2"/>
              </w:numPr>
              <w:spacing w:before="60" w:after="60"/>
              <w:contextualSpacing/>
              <w:rPr>
                <w:rFonts w:ascii="Arial" w:hAnsi="Arial" w:cs="Arial"/>
                <w:b/>
                <w:sz w:val="24"/>
                <w:szCs w:val="24"/>
              </w:rPr>
            </w:pPr>
            <w:r w:rsidRPr="00994B87">
              <w:rPr>
                <w:rFonts w:ascii="Arial" w:hAnsi="Arial" w:cs="Arial"/>
                <w:sz w:val="24"/>
                <w:szCs w:val="24"/>
              </w:rPr>
              <w:t>1,2,3-trichloropropane</w:t>
            </w:r>
          </w:p>
          <w:p w14:paraId="5C3F7C2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1,3-butadiene</w:t>
            </w:r>
          </w:p>
          <w:p w14:paraId="0A8A40E1"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Chloromethane (methyl chloride)</w:t>
            </w:r>
          </w:p>
          <w:p w14:paraId="74E7BC5F"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1,2-dichloroethane</w:t>
            </w:r>
          </w:p>
          <w:p w14:paraId="79327109"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Bromomethane (methyl bromide)</w:t>
            </w:r>
          </w:p>
          <w:p w14:paraId="1F274F19"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Chlorodifluoromethane (HCFC-22)</w:t>
            </w:r>
          </w:p>
          <w:p w14:paraId="42122A0E"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Bromochloromethane (halon 1011)</w:t>
            </w:r>
          </w:p>
          <w:p w14:paraId="4DE428DC"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1,4-dioxane</w:t>
            </w:r>
          </w:p>
          <w:p w14:paraId="45006E97"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Vanadium</w:t>
            </w:r>
          </w:p>
          <w:p w14:paraId="3C9F7B8F"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Molybdenum</w:t>
            </w:r>
          </w:p>
          <w:p w14:paraId="4D53FB95"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Cobalt</w:t>
            </w:r>
          </w:p>
          <w:p w14:paraId="29E76CC8"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Strontium</w:t>
            </w:r>
          </w:p>
          <w:p w14:paraId="2E44EC7B"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Chromium (total)</w:t>
            </w:r>
          </w:p>
          <w:p w14:paraId="2530EA86"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Chromium-6</w:t>
            </w:r>
          </w:p>
          <w:p w14:paraId="60A1E73A"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Chlorate</w:t>
            </w:r>
          </w:p>
          <w:p w14:paraId="3E30800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Perfluorooctanesulfonate</w:t>
            </w:r>
            <w:proofErr w:type="spellEnd"/>
            <w:r w:rsidRPr="00994B87">
              <w:rPr>
                <w:rFonts w:ascii="Arial" w:hAnsi="Arial" w:cs="Arial"/>
                <w:sz w:val="24"/>
                <w:szCs w:val="24"/>
              </w:rPr>
              <w:t xml:space="preserve"> acid (PFOS)</w:t>
            </w:r>
          </w:p>
          <w:p w14:paraId="65AC4BDB"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Perfluorooctanoic acid (PFOA)</w:t>
            </w:r>
          </w:p>
          <w:p w14:paraId="1DE6FD0F"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Perfluorononanoic</w:t>
            </w:r>
            <w:proofErr w:type="spellEnd"/>
            <w:r w:rsidRPr="00994B87">
              <w:rPr>
                <w:rFonts w:ascii="Arial" w:hAnsi="Arial" w:cs="Arial"/>
                <w:sz w:val="24"/>
                <w:szCs w:val="24"/>
              </w:rPr>
              <w:t xml:space="preserve"> acid (PFNA)</w:t>
            </w:r>
          </w:p>
          <w:p w14:paraId="4186DC8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Perfluorohexanesulfonic</w:t>
            </w:r>
            <w:proofErr w:type="spellEnd"/>
            <w:r w:rsidRPr="00994B87">
              <w:rPr>
                <w:rFonts w:ascii="Arial" w:hAnsi="Arial" w:cs="Arial"/>
                <w:sz w:val="24"/>
                <w:szCs w:val="24"/>
              </w:rPr>
              <w:t xml:space="preserve"> acid (</w:t>
            </w:r>
            <w:proofErr w:type="spellStart"/>
            <w:r w:rsidRPr="00994B87">
              <w:rPr>
                <w:rFonts w:ascii="Arial" w:hAnsi="Arial" w:cs="Arial"/>
                <w:sz w:val="24"/>
                <w:szCs w:val="24"/>
              </w:rPr>
              <w:t>PFHxS</w:t>
            </w:r>
            <w:proofErr w:type="spellEnd"/>
            <w:r w:rsidRPr="00994B87">
              <w:rPr>
                <w:rFonts w:ascii="Arial" w:hAnsi="Arial" w:cs="Arial"/>
                <w:sz w:val="24"/>
                <w:szCs w:val="24"/>
              </w:rPr>
              <w:t>)</w:t>
            </w:r>
          </w:p>
          <w:p w14:paraId="6DC6E3BB"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lastRenderedPageBreak/>
              <w:t>Perfluoroheptanoic</w:t>
            </w:r>
            <w:proofErr w:type="spellEnd"/>
            <w:r w:rsidRPr="00994B87">
              <w:rPr>
                <w:rFonts w:ascii="Arial" w:hAnsi="Arial" w:cs="Arial"/>
                <w:sz w:val="24"/>
                <w:szCs w:val="24"/>
              </w:rPr>
              <w:t xml:space="preserve"> acid (</w:t>
            </w:r>
            <w:proofErr w:type="spellStart"/>
            <w:r w:rsidRPr="00994B87">
              <w:rPr>
                <w:rFonts w:ascii="Arial" w:hAnsi="Arial" w:cs="Arial"/>
                <w:sz w:val="24"/>
                <w:szCs w:val="24"/>
              </w:rPr>
              <w:t>PFHpA</w:t>
            </w:r>
            <w:proofErr w:type="spellEnd"/>
            <w:r w:rsidRPr="00994B87">
              <w:rPr>
                <w:rFonts w:ascii="Arial" w:hAnsi="Arial" w:cs="Arial"/>
                <w:sz w:val="24"/>
                <w:szCs w:val="24"/>
              </w:rPr>
              <w:t>)</w:t>
            </w:r>
          </w:p>
          <w:p w14:paraId="021B821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Perfluorobutanesulfonic</w:t>
            </w:r>
            <w:proofErr w:type="spellEnd"/>
            <w:r w:rsidRPr="00994B87">
              <w:rPr>
                <w:rFonts w:ascii="Arial" w:hAnsi="Arial" w:cs="Arial"/>
                <w:sz w:val="24"/>
                <w:szCs w:val="24"/>
              </w:rPr>
              <w:t xml:space="preserve"> acid (PFBS)</w:t>
            </w:r>
          </w:p>
        </w:tc>
        <w:tc>
          <w:tcPr>
            <w:tcW w:w="2700" w:type="dxa"/>
          </w:tcPr>
          <w:p w14:paraId="745A30EC"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lastRenderedPageBreak/>
              <w:t>17-β-estradiol</w:t>
            </w:r>
          </w:p>
          <w:p w14:paraId="4313D10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17-α-</w:t>
            </w:r>
            <w:proofErr w:type="spellStart"/>
            <w:r w:rsidRPr="00994B87">
              <w:rPr>
                <w:rFonts w:ascii="Arial" w:hAnsi="Arial" w:cs="Arial"/>
                <w:sz w:val="24"/>
                <w:szCs w:val="24"/>
              </w:rPr>
              <w:t>ethynylestradiol</w:t>
            </w:r>
            <w:proofErr w:type="spellEnd"/>
            <w:r w:rsidRPr="00994B87">
              <w:rPr>
                <w:rFonts w:ascii="Arial" w:hAnsi="Arial" w:cs="Arial"/>
                <w:sz w:val="24"/>
                <w:szCs w:val="24"/>
              </w:rPr>
              <w:t xml:space="preserve"> (ethinyl estradiol)</w:t>
            </w:r>
          </w:p>
          <w:p w14:paraId="6A4633A2" w14:textId="77777777" w:rsidR="001A2BFC" w:rsidRPr="00994B87" w:rsidRDefault="001A2BFC" w:rsidP="001A2BFC">
            <w:pPr>
              <w:numPr>
                <w:ilvl w:val="0"/>
                <w:numId w:val="2"/>
              </w:numPr>
              <w:contextualSpacing/>
              <w:rPr>
                <w:rFonts w:ascii="Arial" w:hAnsi="Arial" w:cs="Arial"/>
                <w:sz w:val="24"/>
                <w:szCs w:val="24"/>
                <w:lang w:val="es-MX"/>
              </w:rPr>
            </w:pPr>
            <w:r w:rsidRPr="00994B87">
              <w:rPr>
                <w:rFonts w:ascii="Arial" w:hAnsi="Arial" w:cs="Arial"/>
                <w:sz w:val="24"/>
                <w:szCs w:val="24"/>
                <w:lang w:val="es-MX"/>
              </w:rPr>
              <w:t>16-</w:t>
            </w:r>
            <w:r w:rsidRPr="00994B87">
              <w:rPr>
                <w:rFonts w:ascii="Arial" w:hAnsi="Arial" w:cs="Arial"/>
                <w:sz w:val="24"/>
                <w:szCs w:val="24"/>
              </w:rPr>
              <w:t>α</w:t>
            </w:r>
            <w:r w:rsidRPr="00994B87">
              <w:rPr>
                <w:rFonts w:ascii="Arial" w:hAnsi="Arial" w:cs="Arial"/>
                <w:sz w:val="24"/>
                <w:szCs w:val="24"/>
                <w:lang w:val="es-MX"/>
              </w:rPr>
              <w:t>-</w:t>
            </w:r>
            <w:proofErr w:type="spellStart"/>
            <w:r w:rsidRPr="00994B87">
              <w:rPr>
                <w:rFonts w:ascii="Arial" w:hAnsi="Arial" w:cs="Arial"/>
                <w:sz w:val="24"/>
                <w:szCs w:val="24"/>
                <w:lang w:val="es-MX"/>
              </w:rPr>
              <w:t>hydroxyestradiol</w:t>
            </w:r>
            <w:proofErr w:type="spellEnd"/>
            <w:r w:rsidRPr="00994B87">
              <w:rPr>
                <w:rFonts w:ascii="Arial" w:hAnsi="Arial" w:cs="Arial"/>
                <w:sz w:val="24"/>
                <w:szCs w:val="24"/>
                <w:lang w:val="es-MX"/>
              </w:rPr>
              <w:t xml:space="preserve"> (estriol)</w:t>
            </w:r>
          </w:p>
          <w:p w14:paraId="2237BC00"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Equilin</w:t>
            </w:r>
            <w:proofErr w:type="spellEnd"/>
          </w:p>
          <w:p w14:paraId="4F33FFED"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Estrone</w:t>
            </w:r>
            <w:proofErr w:type="spellEnd"/>
          </w:p>
          <w:p w14:paraId="18EDFC38"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Testosterone</w:t>
            </w:r>
            <w:proofErr w:type="spellEnd"/>
          </w:p>
          <w:p w14:paraId="7CF1B101" w14:textId="77777777" w:rsidR="001A2BFC" w:rsidRPr="00994B87" w:rsidRDefault="001A2BFC" w:rsidP="001A2BFC">
            <w:pPr>
              <w:numPr>
                <w:ilvl w:val="0"/>
                <w:numId w:val="2"/>
              </w:numPr>
              <w:contextualSpacing/>
              <w:rPr>
                <w:rFonts w:ascii="Arial" w:hAnsi="Arial" w:cs="Arial"/>
                <w:b/>
                <w:sz w:val="24"/>
                <w:szCs w:val="24"/>
              </w:rPr>
            </w:pPr>
            <w:r w:rsidRPr="00994B87">
              <w:rPr>
                <w:rFonts w:ascii="Arial" w:hAnsi="Arial" w:cs="Arial"/>
                <w:sz w:val="24"/>
                <w:szCs w:val="24"/>
              </w:rPr>
              <w:t>4-anderostene-3,17-dione</w:t>
            </w:r>
          </w:p>
        </w:tc>
        <w:tc>
          <w:tcPr>
            <w:tcW w:w="2430" w:type="dxa"/>
          </w:tcPr>
          <w:p w14:paraId="5F206A3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Enteroviruses</w:t>
            </w:r>
          </w:p>
          <w:p w14:paraId="799703A9" w14:textId="77777777" w:rsidR="001A2BFC" w:rsidRPr="00994B87" w:rsidRDefault="001A2BFC" w:rsidP="001A2BFC">
            <w:pPr>
              <w:numPr>
                <w:ilvl w:val="0"/>
                <w:numId w:val="2"/>
              </w:numPr>
              <w:spacing w:before="60" w:after="60"/>
              <w:contextualSpacing/>
              <w:rPr>
                <w:rFonts w:ascii="Arial" w:hAnsi="Arial" w:cs="Arial"/>
                <w:b/>
                <w:sz w:val="24"/>
                <w:szCs w:val="24"/>
              </w:rPr>
            </w:pPr>
            <w:r w:rsidRPr="00994B87">
              <w:rPr>
                <w:rFonts w:ascii="Arial" w:hAnsi="Arial" w:cs="Arial"/>
                <w:sz w:val="24"/>
                <w:szCs w:val="24"/>
              </w:rPr>
              <w:t>Noroviruses</w:t>
            </w:r>
          </w:p>
        </w:tc>
      </w:tr>
    </w:tbl>
    <w:p w14:paraId="58E57004" w14:textId="77777777" w:rsidR="001A2BFC" w:rsidRPr="001A2BFC" w:rsidRDefault="001A2BFC" w:rsidP="001A2BFC">
      <w:pPr>
        <w:spacing w:after="0" w:line="240" w:lineRule="auto"/>
        <w:rPr>
          <w:rFonts w:ascii="Arial" w:eastAsia="Times New Roman" w:hAnsi="Arial" w:cs="Arial"/>
          <w:sz w:val="20"/>
          <w:szCs w:val="20"/>
        </w:rPr>
      </w:pPr>
    </w:p>
    <w:p w14:paraId="75073619"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6" w:name="_Toc535417409"/>
      <w:bookmarkStart w:id="17" w:name="_Toc536185600"/>
      <w:bookmarkStart w:id="18" w:name="_Toc63413054"/>
      <w:r w:rsidRPr="001A2BFC">
        <w:rPr>
          <w:rFonts w:ascii="Arial" w:eastAsia="Times New Roman" w:hAnsi="Arial" w:cs="Times New Roman"/>
          <w:b/>
          <w:bCs/>
          <w:color w:val="0000FF"/>
          <w:sz w:val="28"/>
          <w:szCs w:val="20"/>
        </w:rPr>
        <w:t>Federal UCMR 4 (2018 – 2020 Monitoring)</w:t>
      </w:r>
      <w:bookmarkEnd w:id="16"/>
      <w:bookmarkEnd w:id="17"/>
      <w:bookmarkEnd w:id="18"/>
    </w:p>
    <w:p w14:paraId="30B34575" w14:textId="77777777" w:rsidR="001A2BFC" w:rsidRPr="001A2BFC" w:rsidRDefault="001A2BFC" w:rsidP="001A2BFC">
      <w:pPr>
        <w:keepNext/>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The fourth list of contaminants to monitor as part of the UCMR was published by the U.S. EPA in December 2016.</w:t>
      </w:r>
    </w:p>
    <w:p w14:paraId="687C7464"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PWSs are required to monitor for 10 cyanotoxins at the entry point to the distribution system during a 4-consecutive month period from March 2018 through November 2020, according to the table below.  PWSs are also required to monitor for 20 additional chemical contaminants and indicators during a 12</w:t>
      </w:r>
      <w:r w:rsidRPr="001A2BFC">
        <w:rPr>
          <w:rFonts w:ascii="Arial" w:eastAsia="Times New Roman" w:hAnsi="Arial" w:cs="Arial"/>
          <w:sz w:val="24"/>
          <w:szCs w:val="20"/>
        </w:rPr>
        <w:noBreakHyphen/>
        <w:t xml:space="preserve">month period from January 2018 through December 2020.  The sampling site for these additional chemicals is the entry point to the distribution system, except for HAAs that need to be monitored at the Stage 2 D/DBPR sampling sites.  The two indicators, </w:t>
      </w:r>
      <w:r w:rsidRPr="001A2BFC">
        <w:rPr>
          <w:rFonts w:ascii="Arial" w:eastAsia="Times New Roman" w:hAnsi="Arial" w:cs="Arial"/>
          <w:i/>
          <w:sz w:val="24"/>
          <w:szCs w:val="20"/>
        </w:rPr>
        <w:t>i.e.</w:t>
      </w:r>
      <w:r w:rsidRPr="001A2BFC">
        <w:rPr>
          <w:rFonts w:ascii="Arial" w:eastAsia="Times New Roman" w:hAnsi="Arial" w:cs="Arial"/>
          <w:sz w:val="24"/>
          <w:szCs w:val="20"/>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1A2BFC" w:rsidRPr="001A2BFC" w14:paraId="3422A8B5" w14:textId="77777777" w:rsidTr="00E00084">
        <w:tc>
          <w:tcPr>
            <w:tcW w:w="3325" w:type="dxa"/>
            <w:vAlign w:val="center"/>
          </w:tcPr>
          <w:p w14:paraId="098A06D5"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System Size (Population Served)</w:t>
            </w:r>
          </w:p>
        </w:tc>
        <w:tc>
          <w:tcPr>
            <w:tcW w:w="3012" w:type="dxa"/>
            <w:vAlign w:val="center"/>
          </w:tcPr>
          <w:p w14:paraId="0F34DF71"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10 Cyanotoxins</w:t>
            </w:r>
          </w:p>
        </w:tc>
        <w:tc>
          <w:tcPr>
            <w:tcW w:w="3013" w:type="dxa"/>
            <w:vAlign w:val="center"/>
          </w:tcPr>
          <w:p w14:paraId="7A6C9F28"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20 Chemicals</w:t>
            </w:r>
          </w:p>
        </w:tc>
      </w:tr>
      <w:tr w:rsidR="001A2BFC" w:rsidRPr="001A2BFC" w14:paraId="3F9A7024" w14:textId="77777777" w:rsidTr="00E00084">
        <w:tc>
          <w:tcPr>
            <w:tcW w:w="3325" w:type="dxa"/>
          </w:tcPr>
          <w:p w14:paraId="30AF063D"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Small Systems (25 – 10,000)</w:t>
            </w:r>
          </w:p>
        </w:tc>
        <w:tc>
          <w:tcPr>
            <w:tcW w:w="3012" w:type="dxa"/>
          </w:tcPr>
          <w:p w14:paraId="458F2DDF"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800 randomly selected surface water or ground water under the direct influence of surface water (GWUDI) systems</w:t>
            </w:r>
          </w:p>
        </w:tc>
        <w:tc>
          <w:tcPr>
            <w:tcW w:w="3013" w:type="dxa"/>
          </w:tcPr>
          <w:p w14:paraId="20DFAA71"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 different group of 800 randomly selected surface water systems, GWUDI and groundwater systems</w:t>
            </w:r>
          </w:p>
        </w:tc>
      </w:tr>
      <w:tr w:rsidR="001A2BFC" w:rsidRPr="001A2BFC" w14:paraId="2B95181C" w14:textId="77777777" w:rsidTr="00E00084">
        <w:tc>
          <w:tcPr>
            <w:tcW w:w="3325" w:type="dxa"/>
          </w:tcPr>
          <w:p w14:paraId="22CCECAC"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Large Systems (10,001 or more)</w:t>
            </w:r>
          </w:p>
        </w:tc>
        <w:tc>
          <w:tcPr>
            <w:tcW w:w="3012" w:type="dxa"/>
          </w:tcPr>
          <w:p w14:paraId="2AA042ED"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All surface water and GWUDI systems</w:t>
            </w:r>
          </w:p>
        </w:tc>
        <w:tc>
          <w:tcPr>
            <w:tcW w:w="3013" w:type="dxa"/>
          </w:tcPr>
          <w:p w14:paraId="613439AA"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All surface water, groundwater and GWUDI systems</w:t>
            </w:r>
          </w:p>
        </w:tc>
      </w:tr>
    </w:tbl>
    <w:p w14:paraId="11CAAC7D" w14:textId="77777777" w:rsidR="001A2BFC" w:rsidRPr="001A2BFC" w:rsidRDefault="001A2BFC" w:rsidP="001A2BFC">
      <w:pPr>
        <w:spacing w:after="0" w:line="240" w:lineRule="auto"/>
        <w:rPr>
          <w:rFonts w:ascii="Arial" w:eastAsia="Times New Roman" w:hAnsi="Arial" w:cs="Arial"/>
          <w:sz w:val="24"/>
          <w:szCs w:val="20"/>
        </w:rPr>
      </w:pPr>
    </w:p>
    <w:p w14:paraId="2747E15F"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The 10 cyanotoxins and 20 additional chemical contaminants and indicators are listed in the table below.</w:t>
      </w:r>
    </w:p>
    <w:p w14:paraId="0B9DC891" w14:textId="77777777" w:rsidR="001A2BFC" w:rsidRPr="001A2BFC" w:rsidRDefault="001A2BFC" w:rsidP="001A2BFC">
      <w:pPr>
        <w:spacing w:after="240" w:line="240" w:lineRule="auto"/>
        <w:jc w:val="both"/>
        <w:rPr>
          <w:rFonts w:ascii="Arial" w:eastAsia="Times New Roman" w:hAnsi="Arial" w:cs="Arial"/>
          <w:b/>
          <w:bCs/>
          <w:sz w:val="24"/>
          <w:szCs w:val="20"/>
        </w:rPr>
      </w:pPr>
      <w:r w:rsidRPr="001A2BFC">
        <w:rPr>
          <w:rFonts w:ascii="Arial" w:eastAsia="Times New Roman" w:hAnsi="Arial" w:cs="Arial"/>
          <w:b/>
          <w:bCs/>
          <w:sz w:val="24"/>
          <w:szCs w:val="20"/>
        </w:rPr>
        <w:t>UCMR 4 Chemical Contaminants and Indicators</w:t>
      </w:r>
    </w:p>
    <w:tbl>
      <w:tblPr>
        <w:tblStyle w:val="TableGrid"/>
        <w:tblW w:w="0" w:type="auto"/>
        <w:tblLook w:val="04A0" w:firstRow="1" w:lastRow="0" w:firstColumn="1" w:lastColumn="0" w:noHBand="0" w:noVBand="1"/>
      </w:tblPr>
      <w:tblGrid>
        <w:gridCol w:w="4675"/>
        <w:gridCol w:w="4675"/>
      </w:tblGrid>
      <w:tr w:rsidR="001A2BFC" w:rsidRPr="00994B87" w14:paraId="6DA18F28" w14:textId="77777777" w:rsidTr="00E00084">
        <w:tc>
          <w:tcPr>
            <w:tcW w:w="4675" w:type="dxa"/>
            <w:vAlign w:val="center"/>
          </w:tcPr>
          <w:p w14:paraId="3F2407FE" w14:textId="77777777" w:rsidR="001A2BFC" w:rsidRPr="00994B87" w:rsidRDefault="001A2BFC" w:rsidP="001A2BFC">
            <w:pPr>
              <w:spacing w:before="60" w:after="60"/>
              <w:jc w:val="center"/>
              <w:rPr>
                <w:rFonts w:ascii="Arial" w:hAnsi="Arial" w:cs="Arial"/>
                <w:sz w:val="24"/>
                <w:szCs w:val="24"/>
                <w:vertAlign w:val="superscript"/>
              </w:rPr>
            </w:pPr>
            <w:r w:rsidRPr="00994B87">
              <w:rPr>
                <w:rFonts w:ascii="Arial" w:hAnsi="Arial" w:cs="Arial"/>
                <w:b/>
                <w:sz w:val="24"/>
                <w:szCs w:val="24"/>
              </w:rPr>
              <w:t>Cyanotoxins</w:t>
            </w:r>
          </w:p>
        </w:tc>
        <w:tc>
          <w:tcPr>
            <w:tcW w:w="4675" w:type="dxa"/>
            <w:vAlign w:val="center"/>
          </w:tcPr>
          <w:p w14:paraId="64536048" w14:textId="77777777" w:rsidR="001A2BFC" w:rsidRPr="00994B87" w:rsidRDefault="001A2BFC" w:rsidP="001A2BFC">
            <w:pPr>
              <w:spacing w:before="60" w:after="60"/>
              <w:jc w:val="center"/>
              <w:rPr>
                <w:rFonts w:ascii="Arial" w:hAnsi="Arial" w:cs="Arial"/>
                <w:sz w:val="24"/>
                <w:szCs w:val="24"/>
                <w:vertAlign w:val="superscript"/>
              </w:rPr>
            </w:pPr>
            <w:r w:rsidRPr="00994B87">
              <w:rPr>
                <w:rFonts w:ascii="Arial" w:hAnsi="Arial" w:cs="Arial"/>
                <w:b/>
                <w:sz w:val="24"/>
                <w:szCs w:val="24"/>
              </w:rPr>
              <w:t>Minimum Reporting Level</w:t>
            </w:r>
          </w:p>
        </w:tc>
      </w:tr>
      <w:tr w:rsidR="001A2BFC" w:rsidRPr="00994B87" w14:paraId="540E95AA" w14:textId="77777777" w:rsidTr="00E00084">
        <w:tc>
          <w:tcPr>
            <w:tcW w:w="4675" w:type="dxa"/>
          </w:tcPr>
          <w:p w14:paraId="69FDEC09"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Total Microcystin</w:t>
            </w:r>
          </w:p>
        </w:tc>
        <w:tc>
          <w:tcPr>
            <w:tcW w:w="4675" w:type="dxa"/>
          </w:tcPr>
          <w:p w14:paraId="4D5514DF"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0.3 µg/L</w:t>
            </w:r>
          </w:p>
        </w:tc>
      </w:tr>
      <w:tr w:rsidR="001A2BFC" w:rsidRPr="00994B87" w14:paraId="0D07CA89" w14:textId="77777777" w:rsidTr="00E00084">
        <w:tc>
          <w:tcPr>
            <w:tcW w:w="4675" w:type="dxa"/>
          </w:tcPr>
          <w:p w14:paraId="4E906EC0"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Microcystin-LA</w:t>
            </w:r>
          </w:p>
        </w:tc>
        <w:tc>
          <w:tcPr>
            <w:tcW w:w="4675" w:type="dxa"/>
          </w:tcPr>
          <w:p w14:paraId="15F5AD58"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0.008 µg/L</w:t>
            </w:r>
          </w:p>
        </w:tc>
      </w:tr>
      <w:tr w:rsidR="001A2BFC" w:rsidRPr="00994B87" w14:paraId="388DE006" w14:textId="77777777" w:rsidTr="00E00084">
        <w:tc>
          <w:tcPr>
            <w:tcW w:w="4675" w:type="dxa"/>
          </w:tcPr>
          <w:p w14:paraId="7EF19AC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Microcystin-LF</w:t>
            </w:r>
          </w:p>
        </w:tc>
        <w:tc>
          <w:tcPr>
            <w:tcW w:w="4675" w:type="dxa"/>
          </w:tcPr>
          <w:p w14:paraId="15CB6FD4"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0.006 µg/L</w:t>
            </w:r>
          </w:p>
        </w:tc>
      </w:tr>
      <w:tr w:rsidR="001A2BFC" w:rsidRPr="00994B87" w14:paraId="60747C9E" w14:textId="77777777" w:rsidTr="00E00084">
        <w:tc>
          <w:tcPr>
            <w:tcW w:w="4675" w:type="dxa"/>
          </w:tcPr>
          <w:p w14:paraId="35D80F03"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Microcystin-LR</w:t>
            </w:r>
          </w:p>
        </w:tc>
        <w:tc>
          <w:tcPr>
            <w:tcW w:w="4675" w:type="dxa"/>
          </w:tcPr>
          <w:p w14:paraId="3CC4AED9"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0.02 µg/L</w:t>
            </w:r>
          </w:p>
        </w:tc>
      </w:tr>
      <w:tr w:rsidR="001A2BFC" w:rsidRPr="00994B87" w14:paraId="43ADF1DF" w14:textId="77777777" w:rsidTr="00E00084">
        <w:tc>
          <w:tcPr>
            <w:tcW w:w="4675" w:type="dxa"/>
          </w:tcPr>
          <w:p w14:paraId="6FDDA5AB"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Microcystin-LY</w:t>
            </w:r>
          </w:p>
        </w:tc>
        <w:tc>
          <w:tcPr>
            <w:tcW w:w="4675" w:type="dxa"/>
          </w:tcPr>
          <w:p w14:paraId="25297D0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0.009 µg/L</w:t>
            </w:r>
          </w:p>
        </w:tc>
      </w:tr>
      <w:tr w:rsidR="001A2BFC" w:rsidRPr="00994B87" w14:paraId="48585B77" w14:textId="77777777" w:rsidTr="00E00084">
        <w:tc>
          <w:tcPr>
            <w:tcW w:w="4675" w:type="dxa"/>
          </w:tcPr>
          <w:p w14:paraId="0324D5AD"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Microcystin-RR</w:t>
            </w:r>
          </w:p>
        </w:tc>
        <w:tc>
          <w:tcPr>
            <w:tcW w:w="4675" w:type="dxa"/>
          </w:tcPr>
          <w:p w14:paraId="37260346"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0.006 µg/L</w:t>
            </w:r>
          </w:p>
        </w:tc>
      </w:tr>
      <w:tr w:rsidR="001A2BFC" w:rsidRPr="00994B87" w14:paraId="778AA47C" w14:textId="77777777" w:rsidTr="00E00084">
        <w:tc>
          <w:tcPr>
            <w:tcW w:w="4675" w:type="dxa"/>
          </w:tcPr>
          <w:p w14:paraId="00B9B63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lastRenderedPageBreak/>
              <w:t>Microcystin-YR</w:t>
            </w:r>
          </w:p>
        </w:tc>
        <w:tc>
          <w:tcPr>
            <w:tcW w:w="4675" w:type="dxa"/>
          </w:tcPr>
          <w:p w14:paraId="6F8FB7CA"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0.02 µg/L</w:t>
            </w:r>
          </w:p>
        </w:tc>
      </w:tr>
      <w:tr w:rsidR="001A2BFC" w:rsidRPr="00994B87" w14:paraId="578F4586" w14:textId="77777777" w:rsidTr="00E00084">
        <w:tc>
          <w:tcPr>
            <w:tcW w:w="4675" w:type="dxa"/>
          </w:tcPr>
          <w:p w14:paraId="1CD52834"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Nodularin</w:t>
            </w:r>
          </w:p>
        </w:tc>
        <w:tc>
          <w:tcPr>
            <w:tcW w:w="4675" w:type="dxa"/>
          </w:tcPr>
          <w:p w14:paraId="38740FCF"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0.005 µg/L</w:t>
            </w:r>
          </w:p>
        </w:tc>
      </w:tr>
      <w:tr w:rsidR="001A2BFC" w:rsidRPr="00994B87" w14:paraId="738753EE" w14:textId="77777777" w:rsidTr="00E00084">
        <w:tc>
          <w:tcPr>
            <w:tcW w:w="4675" w:type="dxa"/>
          </w:tcPr>
          <w:p w14:paraId="2E6B10E7"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Anatoxin-a</w:t>
            </w:r>
          </w:p>
        </w:tc>
        <w:tc>
          <w:tcPr>
            <w:tcW w:w="4675" w:type="dxa"/>
          </w:tcPr>
          <w:p w14:paraId="5C7444FC"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0.03 µg/L</w:t>
            </w:r>
          </w:p>
        </w:tc>
      </w:tr>
      <w:tr w:rsidR="001A2BFC" w:rsidRPr="00994B87" w14:paraId="7822D16D" w14:textId="77777777" w:rsidTr="00E00084">
        <w:tc>
          <w:tcPr>
            <w:tcW w:w="4675" w:type="dxa"/>
          </w:tcPr>
          <w:p w14:paraId="29ABD03E" w14:textId="77777777" w:rsidR="001A2BFC" w:rsidRPr="00994B87" w:rsidRDefault="001A2BFC" w:rsidP="001A2BFC">
            <w:pPr>
              <w:spacing w:before="60" w:after="60"/>
              <w:jc w:val="both"/>
              <w:rPr>
                <w:rFonts w:ascii="Arial" w:hAnsi="Arial" w:cs="Arial"/>
                <w:sz w:val="24"/>
                <w:szCs w:val="24"/>
              </w:rPr>
            </w:pPr>
            <w:proofErr w:type="spellStart"/>
            <w:r w:rsidRPr="00994B87">
              <w:rPr>
                <w:rFonts w:ascii="Arial" w:hAnsi="Arial" w:cs="Arial"/>
                <w:sz w:val="24"/>
                <w:szCs w:val="24"/>
              </w:rPr>
              <w:t>Cylindrospermopsin</w:t>
            </w:r>
            <w:proofErr w:type="spellEnd"/>
          </w:p>
        </w:tc>
        <w:tc>
          <w:tcPr>
            <w:tcW w:w="4675" w:type="dxa"/>
          </w:tcPr>
          <w:p w14:paraId="3F609AE3"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0.09 µg/L</w:t>
            </w:r>
          </w:p>
        </w:tc>
      </w:tr>
    </w:tbl>
    <w:p w14:paraId="6AC93011" w14:textId="77777777" w:rsidR="001A2BFC" w:rsidRPr="00994B87" w:rsidRDefault="001A2BFC" w:rsidP="001A2BFC">
      <w:pPr>
        <w:spacing w:after="0" w:line="240" w:lineRule="auto"/>
        <w:rPr>
          <w:rFonts w:ascii="Arial" w:eastAsia="Times New Roman" w:hAnsi="Arial" w:cs="Arial"/>
          <w:sz w:val="24"/>
          <w:szCs w:val="24"/>
        </w:rPr>
      </w:pPr>
    </w:p>
    <w:p w14:paraId="4345E48D" w14:textId="77777777" w:rsidR="001A2BFC" w:rsidRPr="00994B87" w:rsidRDefault="001A2BFC" w:rsidP="001A2BFC">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675"/>
        <w:gridCol w:w="4675"/>
      </w:tblGrid>
      <w:tr w:rsidR="001A2BFC" w:rsidRPr="00994B87" w14:paraId="3924BAE8" w14:textId="77777777" w:rsidTr="00E00084">
        <w:trPr>
          <w:trHeight w:val="413"/>
          <w:tblHeader/>
        </w:trPr>
        <w:tc>
          <w:tcPr>
            <w:tcW w:w="4675" w:type="dxa"/>
            <w:vAlign w:val="center"/>
          </w:tcPr>
          <w:p w14:paraId="6B5DD01C" w14:textId="77777777" w:rsidR="001A2BFC" w:rsidRPr="00994B87" w:rsidRDefault="001A2BFC" w:rsidP="001A2BFC">
            <w:pPr>
              <w:jc w:val="center"/>
              <w:rPr>
                <w:rFonts w:ascii="Arial" w:hAnsi="Arial" w:cs="Arial"/>
                <w:sz w:val="24"/>
                <w:szCs w:val="24"/>
              </w:rPr>
            </w:pPr>
            <w:r w:rsidRPr="00994B87">
              <w:rPr>
                <w:rFonts w:ascii="Arial" w:hAnsi="Arial" w:cs="Arial"/>
                <w:b/>
                <w:sz w:val="24"/>
                <w:szCs w:val="24"/>
              </w:rPr>
              <w:t>Additional Chemicals</w:t>
            </w:r>
          </w:p>
        </w:tc>
        <w:tc>
          <w:tcPr>
            <w:tcW w:w="4675" w:type="dxa"/>
            <w:vAlign w:val="center"/>
          </w:tcPr>
          <w:p w14:paraId="0905A8AD" w14:textId="77777777" w:rsidR="001A2BFC" w:rsidRPr="00994B87" w:rsidRDefault="001A2BFC" w:rsidP="001A2BFC">
            <w:pPr>
              <w:jc w:val="center"/>
              <w:rPr>
                <w:rFonts w:ascii="Arial" w:hAnsi="Arial" w:cs="Arial"/>
                <w:sz w:val="24"/>
                <w:szCs w:val="24"/>
              </w:rPr>
            </w:pPr>
            <w:r w:rsidRPr="00994B87">
              <w:rPr>
                <w:rFonts w:ascii="Arial" w:hAnsi="Arial" w:cs="Arial"/>
                <w:b/>
                <w:sz w:val="24"/>
                <w:szCs w:val="24"/>
              </w:rPr>
              <w:t>Minimum Reporting Level</w:t>
            </w:r>
          </w:p>
        </w:tc>
      </w:tr>
      <w:tr w:rsidR="001A2BFC" w:rsidRPr="00994B87" w14:paraId="69BC0F81" w14:textId="77777777" w:rsidTr="00E00084">
        <w:trPr>
          <w:trHeight w:val="413"/>
          <w:tblHeader/>
        </w:trPr>
        <w:tc>
          <w:tcPr>
            <w:tcW w:w="4675" w:type="dxa"/>
            <w:vAlign w:val="center"/>
          </w:tcPr>
          <w:p w14:paraId="512329C0"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Germanium</w:t>
            </w:r>
          </w:p>
        </w:tc>
        <w:tc>
          <w:tcPr>
            <w:tcW w:w="4675" w:type="dxa"/>
            <w:vAlign w:val="center"/>
          </w:tcPr>
          <w:p w14:paraId="4D0591ED"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0.3 µg/L</w:t>
            </w:r>
          </w:p>
        </w:tc>
      </w:tr>
      <w:tr w:rsidR="001A2BFC" w:rsidRPr="00994B87" w14:paraId="5C640ECE" w14:textId="77777777" w:rsidTr="00E00084">
        <w:trPr>
          <w:trHeight w:val="413"/>
        </w:trPr>
        <w:tc>
          <w:tcPr>
            <w:tcW w:w="4675" w:type="dxa"/>
            <w:vAlign w:val="center"/>
          </w:tcPr>
          <w:p w14:paraId="6EABC2F8"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Manganese</w:t>
            </w:r>
          </w:p>
        </w:tc>
        <w:tc>
          <w:tcPr>
            <w:tcW w:w="4675" w:type="dxa"/>
            <w:vAlign w:val="center"/>
          </w:tcPr>
          <w:p w14:paraId="4E638EA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0.4 µg/L</w:t>
            </w:r>
          </w:p>
        </w:tc>
      </w:tr>
      <w:tr w:rsidR="001A2BFC" w:rsidRPr="00994B87" w14:paraId="114D8383" w14:textId="77777777" w:rsidTr="00E00084">
        <w:trPr>
          <w:trHeight w:val="413"/>
        </w:trPr>
        <w:tc>
          <w:tcPr>
            <w:tcW w:w="4675" w:type="dxa"/>
            <w:vAlign w:val="center"/>
          </w:tcPr>
          <w:p w14:paraId="0598DDE4" w14:textId="77777777" w:rsidR="001A2BFC" w:rsidRPr="00994B87" w:rsidRDefault="001A2BFC" w:rsidP="001A2BFC">
            <w:pPr>
              <w:rPr>
                <w:rFonts w:ascii="Arial" w:hAnsi="Arial" w:cs="Arial"/>
                <w:sz w:val="24"/>
                <w:szCs w:val="24"/>
              </w:rPr>
            </w:pPr>
            <w:r w:rsidRPr="00994B87">
              <w:rPr>
                <w:rFonts w:ascii="Arial" w:hAnsi="Arial" w:cs="Arial"/>
                <w:sz w:val="24"/>
                <w:szCs w:val="24"/>
              </w:rPr>
              <w:t>Alpha-hexachlorocyclohexane</w:t>
            </w:r>
          </w:p>
        </w:tc>
        <w:tc>
          <w:tcPr>
            <w:tcW w:w="4675" w:type="dxa"/>
            <w:vAlign w:val="center"/>
          </w:tcPr>
          <w:p w14:paraId="54851A4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0.01 µg/L</w:t>
            </w:r>
          </w:p>
        </w:tc>
      </w:tr>
      <w:tr w:rsidR="001A2BFC" w:rsidRPr="00994B87" w14:paraId="1347652D" w14:textId="77777777" w:rsidTr="00E00084">
        <w:trPr>
          <w:trHeight w:val="413"/>
        </w:trPr>
        <w:tc>
          <w:tcPr>
            <w:tcW w:w="4675" w:type="dxa"/>
            <w:vAlign w:val="center"/>
          </w:tcPr>
          <w:p w14:paraId="65BB0623" w14:textId="77777777" w:rsidR="001A2BFC" w:rsidRPr="00994B87" w:rsidRDefault="001A2BFC" w:rsidP="001A2BFC">
            <w:pPr>
              <w:rPr>
                <w:rFonts w:ascii="Arial" w:hAnsi="Arial" w:cs="Arial"/>
                <w:sz w:val="24"/>
                <w:szCs w:val="24"/>
              </w:rPr>
            </w:pPr>
            <w:r w:rsidRPr="00994B87">
              <w:rPr>
                <w:rFonts w:ascii="Arial" w:hAnsi="Arial" w:cs="Arial"/>
                <w:sz w:val="24"/>
                <w:szCs w:val="24"/>
              </w:rPr>
              <w:t>Chlorpyrifos</w:t>
            </w:r>
          </w:p>
        </w:tc>
        <w:tc>
          <w:tcPr>
            <w:tcW w:w="4675" w:type="dxa"/>
            <w:vAlign w:val="center"/>
          </w:tcPr>
          <w:p w14:paraId="52E76CD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0055F030" w14:textId="77777777" w:rsidTr="00E00084">
        <w:trPr>
          <w:trHeight w:val="413"/>
        </w:trPr>
        <w:tc>
          <w:tcPr>
            <w:tcW w:w="4675" w:type="dxa"/>
            <w:vAlign w:val="center"/>
          </w:tcPr>
          <w:p w14:paraId="3501267F"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Dimethipin</w:t>
            </w:r>
            <w:proofErr w:type="spellEnd"/>
          </w:p>
        </w:tc>
        <w:tc>
          <w:tcPr>
            <w:tcW w:w="4675" w:type="dxa"/>
            <w:vAlign w:val="center"/>
          </w:tcPr>
          <w:p w14:paraId="082EA3FE"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0.2 µg/L</w:t>
            </w:r>
          </w:p>
        </w:tc>
      </w:tr>
      <w:tr w:rsidR="001A2BFC" w:rsidRPr="00994B87" w14:paraId="5EF90325" w14:textId="77777777" w:rsidTr="00E00084">
        <w:trPr>
          <w:trHeight w:val="413"/>
        </w:trPr>
        <w:tc>
          <w:tcPr>
            <w:tcW w:w="4675" w:type="dxa"/>
            <w:vAlign w:val="center"/>
          </w:tcPr>
          <w:p w14:paraId="7BEC1BA7"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Ethoprop</w:t>
            </w:r>
            <w:proofErr w:type="spellEnd"/>
          </w:p>
        </w:tc>
        <w:tc>
          <w:tcPr>
            <w:tcW w:w="4675" w:type="dxa"/>
            <w:vAlign w:val="center"/>
          </w:tcPr>
          <w:p w14:paraId="2BEDDB0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0482D627" w14:textId="77777777" w:rsidTr="00E00084">
        <w:trPr>
          <w:trHeight w:val="413"/>
        </w:trPr>
        <w:tc>
          <w:tcPr>
            <w:tcW w:w="4675" w:type="dxa"/>
            <w:vAlign w:val="center"/>
          </w:tcPr>
          <w:p w14:paraId="11FA8D98" w14:textId="77777777" w:rsidR="001A2BFC" w:rsidRPr="00994B87" w:rsidRDefault="001A2BFC" w:rsidP="001A2BFC">
            <w:pPr>
              <w:rPr>
                <w:rFonts w:ascii="Arial" w:hAnsi="Arial" w:cs="Arial"/>
                <w:sz w:val="24"/>
                <w:szCs w:val="24"/>
              </w:rPr>
            </w:pPr>
            <w:r w:rsidRPr="00994B87">
              <w:rPr>
                <w:rFonts w:ascii="Arial" w:hAnsi="Arial" w:cs="Arial"/>
                <w:sz w:val="24"/>
                <w:szCs w:val="24"/>
              </w:rPr>
              <w:t>Oxyfluorfen</w:t>
            </w:r>
          </w:p>
        </w:tc>
        <w:tc>
          <w:tcPr>
            <w:tcW w:w="4675" w:type="dxa"/>
            <w:vAlign w:val="center"/>
          </w:tcPr>
          <w:p w14:paraId="5416A9F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0.05 µg/L</w:t>
            </w:r>
          </w:p>
        </w:tc>
      </w:tr>
      <w:tr w:rsidR="001A2BFC" w:rsidRPr="00994B87" w14:paraId="0ABC430D" w14:textId="77777777" w:rsidTr="00E00084">
        <w:trPr>
          <w:trHeight w:val="413"/>
        </w:trPr>
        <w:tc>
          <w:tcPr>
            <w:tcW w:w="4675" w:type="dxa"/>
            <w:vAlign w:val="center"/>
          </w:tcPr>
          <w:p w14:paraId="2A5E47D9"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Profenofos</w:t>
            </w:r>
            <w:proofErr w:type="spellEnd"/>
          </w:p>
        </w:tc>
        <w:tc>
          <w:tcPr>
            <w:tcW w:w="4675" w:type="dxa"/>
            <w:vAlign w:val="center"/>
          </w:tcPr>
          <w:p w14:paraId="7DF713B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0.3 µg/L</w:t>
            </w:r>
          </w:p>
        </w:tc>
      </w:tr>
      <w:tr w:rsidR="001A2BFC" w:rsidRPr="00994B87" w14:paraId="6C9172E4" w14:textId="77777777" w:rsidTr="00E00084">
        <w:trPr>
          <w:trHeight w:val="413"/>
        </w:trPr>
        <w:tc>
          <w:tcPr>
            <w:tcW w:w="4675" w:type="dxa"/>
            <w:vAlign w:val="center"/>
          </w:tcPr>
          <w:p w14:paraId="73650F0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T</w:t>
            </w:r>
            <w:r w:rsidRPr="00994B87">
              <w:rPr>
                <w:rFonts w:ascii="Arial" w:hAnsi="Arial" w:cs="Arial"/>
                <w:sz w:val="24"/>
                <w:szCs w:val="24"/>
              </w:rPr>
              <w:t>ebuconazole</w:t>
            </w:r>
          </w:p>
        </w:tc>
        <w:tc>
          <w:tcPr>
            <w:tcW w:w="4675" w:type="dxa"/>
            <w:vAlign w:val="center"/>
          </w:tcPr>
          <w:p w14:paraId="06FE806C"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0.2 µg/L</w:t>
            </w:r>
          </w:p>
        </w:tc>
      </w:tr>
      <w:tr w:rsidR="001A2BFC" w:rsidRPr="00994B87" w14:paraId="368DC4B2" w14:textId="77777777" w:rsidTr="00E00084">
        <w:trPr>
          <w:trHeight w:val="413"/>
        </w:trPr>
        <w:tc>
          <w:tcPr>
            <w:tcW w:w="4675" w:type="dxa"/>
            <w:vAlign w:val="center"/>
          </w:tcPr>
          <w:p w14:paraId="22F195DB" w14:textId="77777777" w:rsidR="001A2BFC" w:rsidRPr="00994B87" w:rsidRDefault="001A2BFC" w:rsidP="001A2BFC">
            <w:pPr>
              <w:rPr>
                <w:rFonts w:ascii="Arial" w:hAnsi="Arial" w:cs="Arial"/>
                <w:sz w:val="24"/>
                <w:szCs w:val="24"/>
              </w:rPr>
            </w:pPr>
            <w:r w:rsidRPr="00994B87">
              <w:rPr>
                <w:rFonts w:ascii="Arial" w:hAnsi="Arial" w:cs="Arial"/>
                <w:sz w:val="24"/>
                <w:szCs w:val="24"/>
              </w:rPr>
              <w:t>Total Permethrin (cis- &amp; trans-)</w:t>
            </w:r>
          </w:p>
        </w:tc>
        <w:tc>
          <w:tcPr>
            <w:tcW w:w="4675" w:type="dxa"/>
            <w:vAlign w:val="center"/>
          </w:tcPr>
          <w:p w14:paraId="290EC44F"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0.04 µg/L</w:t>
            </w:r>
          </w:p>
        </w:tc>
      </w:tr>
      <w:tr w:rsidR="001A2BFC" w:rsidRPr="00994B87" w14:paraId="1D8B5C1F" w14:textId="77777777" w:rsidTr="00E00084">
        <w:trPr>
          <w:trHeight w:val="413"/>
        </w:trPr>
        <w:tc>
          <w:tcPr>
            <w:tcW w:w="4675" w:type="dxa"/>
            <w:vAlign w:val="center"/>
          </w:tcPr>
          <w:p w14:paraId="77BFAAC4"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Tribufos</w:t>
            </w:r>
            <w:proofErr w:type="spellEnd"/>
          </w:p>
        </w:tc>
        <w:tc>
          <w:tcPr>
            <w:tcW w:w="4675" w:type="dxa"/>
            <w:vAlign w:val="center"/>
          </w:tcPr>
          <w:p w14:paraId="0F0713B2"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0.07 µg/L</w:t>
            </w:r>
          </w:p>
        </w:tc>
      </w:tr>
      <w:tr w:rsidR="001A2BFC" w:rsidRPr="00994B87" w14:paraId="279D7814" w14:textId="77777777" w:rsidTr="00E00084">
        <w:trPr>
          <w:trHeight w:val="413"/>
        </w:trPr>
        <w:tc>
          <w:tcPr>
            <w:tcW w:w="4675" w:type="dxa"/>
            <w:vAlign w:val="center"/>
          </w:tcPr>
          <w:p w14:paraId="0659DD8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HAA5</w:t>
            </w:r>
          </w:p>
        </w:tc>
        <w:tc>
          <w:tcPr>
            <w:tcW w:w="4675" w:type="dxa"/>
            <w:vAlign w:val="center"/>
          </w:tcPr>
          <w:p w14:paraId="4094CD8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7CA06601" w14:textId="77777777" w:rsidTr="00E00084">
        <w:trPr>
          <w:trHeight w:val="413"/>
        </w:trPr>
        <w:tc>
          <w:tcPr>
            <w:tcW w:w="4675" w:type="dxa"/>
            <w:vAlign w:val="center"/>
          </w:tcPr>
          <w:p w14:paraId="5F146E68" w14:textId="77777777" w:rsidR="001A2BFC" w:rsidRPr="00994B87" w:rsidRDefault="001A2BFC" w:rsidP="001A2BFC">
            <w:pPr>
              <w:rPr>
                <w:rFonts w:ascii="Arial" w:hAnsi="Arial" w:cs="Arial"/>
                <w:bCs/>
                <w:sz w:val="24"/>
                <w:szCs w:val="24"/>
                <w:vertAlign w:val="superscript"/>
              </w:rPr>
            </w:pPr>
            <w:r w:rsidRPr="00994B87">
              <w:rPr>
                <w:rFonts w:ascii="Arial" w:hAnsi="Arial" w:cs="Arial"/>
                <w:bCs/>
                <w:sz w:val="24"/>
                <w:szCs w:val="24"/>
              </w:rPr>
              <w:t>HAA6Br</w:t>
            </w:r>
            <w:r w:rsidRPr="00994B87">
              <w:rPr>
                <w:rFonts w:ascii="Arial" w:hAnsi="Arial" w:cs="Arial"/>
                <w:bCs/>
                <w:sz w:val="24"/>
                <w:szCs w:val="24"/>
                <w:vertAlign w:val="superscript"/>
              </w:rPr>
              <w:t>1</w:t>
            </w:r>
          </w:p>
        </w:tc>
        <w:tc>
          <w:tcPr>
            <w:tcW w:w="4675" w:type="dxa"/>
            <w:vAlign w:val="center"/>
          </w:tcPr>
          <w:p w14:paraId="2DDC6F2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7351165E" w14:textId="77777777" w:rsidTr="00E00084">
        <w:trPr>
          <w:trHeight w:val="413"/>
        </w:trPr>
        <w:tc>
          <w:tcPr>
            <w:tcW w:w="4675" w:type="dxa"/>
            <w:vAlign w:val="center"/>
          </w:tcPr>
          <w:p w14:paraId="307641D4" w14:textId="77777777" w:rsidR="001A2BFC" w:rsidRPr="00994B87" w:rsidRDefault="001A2BFC" w:rsidP="001A2BFC">
            <w:pPr>
              <w:rPr>
                <w:rFonts w:ascii="Arial" w:hAnsi="Arial" w:cs="Arial"/>
                <w:bCs/>
                <w:sz w:val="24"/>
                <w:szCs w:val="24"/>
                <w:vertAlign w:val="superscript"/>
              </w:rPr>
            </w:pPr>
            <w:r w:rsidRPr="00994B87">
              <w:rPr>
                <w:rFonts w:ascii="Arial" w:hAnsi="Arial" w:cs="Arial"/>
                <w:bCs/>
                <w:sz w:val="24"/>
                <w:szCs w:val="24"/>
              </w:rPr>
              <w:t>HAA9</w:t>
            </w:r>
            <w:r w:rsidRPr="00994B87">
              <w:rPr>
                <w:rFonts w:ascii="Arial" w:hAnsi="Arial" w:cs="Arial"/>
                <w:bCs/>
                <w:sz w:val="24"/>
                <w:szCs w:val="24"/>
                <w:vertAlign w:val="superscript"/>
              </w:rPr>
              <w:t>2</w:t>
            </w:r>
          </w:p>
        </w:tc>
        <w:tc>
          <w:tcPr>
            <w:tcW w:w="4675" w:type="dxa"/>
            <w:vAlign w:val="center"/>
          </w:tcPr>
          <w:p w14:paraId="43C83975"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23AA3D8E" w14:textId="77777777" w:rsidTr="00E00084">
        <w:trPr>
          <w:trHeight w:val="413"/>
        </w:trPr>
        <w:tc>
          <w:tcPr>
            <w:tcW w:w="4675" w:type="dxa"/>
            <w:vAlign w:val="center"/>
          </w:tcPr>
          <w:p w14:paraId="08D3FE5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1-butanol</w:t>
            </w:r>
          </w:p>
        </w:tc>
        <w:tc>
          <w:tcPr>
            <w:tcW w:w="4675" w:type="dxa"/>
            <w:vAlign w:val="center"/>
          </w:tcPr>
          <w:p w14:paraId="47D0787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2.0 µg/L</w:t>
            </w:r>
          </w:p>
        </w:tc>
      </w:tr>
      <w:tr w:rsidR="001A2BFC" w:rsidRPr="00994B87" w14:paraId="5900E533" w14:textId="77777777" w:rsidTr="00E00084">
        <w:trPr>
          <w:trHeight w:val="413"/>
        </w:trPr>
        <w:tc>
          <w:tcPr>
            <w:tcW w:w="4675" w:type="dxa"/>
            <w:vAlign w:val="center"/>
          </w:tcPr>
          <w:p w14:paraId="55083FA2"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2-methoxyethanol</w:t>
            </w:r>
          </w:p>
        </w:tc>
        <w:tc>
          <w:tcPr>
            <w:tcW w:w="4675" w:type="dxa"/>
            <w:vAlign w:val="center"/>
          </w:tcPr>
          <w:p w14:paraId="387E1BE5"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0.4 µg/L</w:t>
            </w:r>
          </w:p>
        </w:tc>
      </w:tr>
      <w:tr w:rsidR="001A2BFC" w:rsidRPr="00994B87" w14:paraId="36414563" w14:textId="77777777" w:rsidTr="00E00084">
        <w:trPr>
          <w:trHeight w:val="413"/>
        </w:trPr>
        <w:tc>
          <w:tcPr>
            <w:tcW w:w="4675" w:type="dxa"/>
            <w:vAlign w:val="center"/>
          </w:tcPr>
          <w:p w14:paraId="1265BA89"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2-propen-1-ol</w:t>
            </w:r>
          </w:p>
        </w:tc>
        <w:tc>
          <w:tcPr>
            <w:tcW w:w="4675" w:type="dxa"/>
            <w:vAlign w:val="center"/>
          </w:tcPr>
          <w:p w14:paraId="63B1C78D"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0.5 µg/L</w:t>
            </w:r>
          </w:p>
        </w:tc>
      </w:tr>
      <w:tr w:rsidR="001A2BFC" w:rsidRPr="00994B87" w14:paraId="45B14817" w14:textId="77777777" w:rsidTr="00E00084">
        <w:trPr>
          <w:trHeight w:val="413"/>
        </w:trPr>
        <w:tc>
          <w:tcPr>
            <w:tcW w:w="4675" w:type="dxa"/>
            <w:vAlign w:val="center"/>
          </w:tcPr>
          <w:p w14:paraId="010FC6A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 xml:space="preserve">butylated </w:t>
            </w:r>
            <w:proofErr w:type="spellStart"/>
            <w:r w:rsidRPr="00994B87">
              <w:rPr>
                <w:rFonts w:ascii="Arial" w:hAnsi="Arial" w:cs="Arial"/>
                <w:bCs/>
                <w:sz w:val="24"/>
                <w:szCs w:val="24"/>
              </w:rPr>
              <w:t>hydroxyanisole</w:t>
            </w:r>
            <w:proofErr w:type="spellEnd"/>
          </w:p>
        </w:tc>
        <w:tc>
          <w:tcPr>
            <w:tcW w:w="4675" w:type="dxa"/>
            <w:vAlign w:val="center"/>
          </w:tcPr>
          <w:p w14:paraId="5544A66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3BCA67B1" w14:textId="77777777" w:rsidTr="00E00084">
        <w:trPr>
          <w:trHeight w:val="413"/>
        </w:trPr>
        <w:tc>
          <w:tcPr>
            <w:tcW w:w="4675" w:type="dxa"/>
            <w:vAlign w:val="center"/>
          </w:tcPr>
          <w:p w14:paraId="3D276AE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o-toluidine</w:t>
            </w:r>
          </w:p>
        </w:tc>
        <w:tc>
          <w:tcPr>
            <w:tcW w:w="4675" w:type="dxa"/>
            <w:vAlign w:val="center"/>
          </w:tcPr>
          <w:p w14:paraId="2C3D03E0"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0.007 µg/L</w:t>
            </w:r>
          </w:p>
        </w:tc>
      </w:tr>
      <w:tr w:rsidR="001A2BFC" w:rsidRPr="00994B87" w14:paraId="0EAAD6E6" w14:textId="77777777" w:rsidTr="00E00084">
        <w:trPr>
          <w:trHeight w:val="413"/>
        </w:trPr>
        <w:tc>
          <w:tcPr>
            <w:tcW w:w="4675" w:type="dxa"/>
            <w:vAlign w:val="center"/>
          </w:tcPr>
          <w:p w14:paraId="5EF8B76F"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quinoline</w:t>
            </w:r>
          </w:p>
        </w:tc>
        <w:tc>
          <w:tcPr>
            <w:tcW w:w="4675" w:type="dxa"/>
            <w:vAlign w:val="center"/>
          </w:tcPr>
          <w:p w14:paraId="06A1F7C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0.02 µg/L</w:t>
            </w:r>
          </w:p>
        </w:tc>
      </w:tr>
      <w:tr w:rsidR="001A2BFC" w:rsidRPr="00994B87" w14:paraId="5447B8F0" w14:textId="77777777" w:rsidTr="00E00084">
        <w:trPr>
          <w:trHeight w:val="413"/>
        </w:trPr>
        <w:tc>
          <w:tcPr>
            <w:tcW w:w="4675" w:type="dxa"/>
            <w:vAlign w:val="center"/>
          </w:tcPr>
          <w:p w14:paraId="4B02EDFA"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Total Organic Carbon (TOC)</w:t>
            </w:r>
          </w:p>
        </w:tc>
        <w:tc>
          <w:tcPr>
            <w:tcW w:w="4675" w:type="dxa"/>
            <w:vAlign w:val="center"/>
          </w:tcPr>
          <w:p w14:paraId="4A70610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07FCD13D" w14:textId="77777777" w:rsidTr="00E00084">
        <w:trPr>
          <w:trHeight w:val="413"/>
        </w:trPr>
        <w:tc>
          <w:tcPr>
            <w:tcW w:w="4675" w:type="dxa"/>
            <w:vAlign w:val="center"/>
          </w:tcPr>
          <w:p w14:paraId="5E8EB62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Bromide</w:t>
            </w:r>
          </w:p>
        </w:tc>
        <w:tc>
          <w:tcPr>
            <w:tcW w:w="4675" w:type="dxa"/>
            <w:vAlign w:val="center"/>
          </w:tcPr>
          <w:p w14:paraId="23EE4C96"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bl>
    <w:p w14:paraId="08F3D43A" w14:textId="77777777" w:rsidR="001A2BFC" w:rsidRPr="00994B87" w:rsidRDefault="001A2BFC" w:rsidP="001A2BFC">
      <w:pPr>
        <w:spacing w:before="60" w:after="60" w:line="240" w:lineRule="auto"/>
        <w:jc w:val="both"/>
        <w:rPr>
          <w:rFonts w:ascii="Arial" w:eastAsia="Times New Roman" w:hAnsi="Arial" w:cs="Arial"/>
          <w:sz w:val="24"/>
          <w:szCs w:val="24"/>
        </w:rPr>
      </w:pPr>
      <w:r w:rsidRPr="00994B87">
        <w:rPr>
          <w:rFonts w:ascii="Arial" w:eastAsia="Times New Roman" w:hAnsi="Arial" w:cs="Arial"/>
          <w:sz w:val="24"/>
          <w:szCs w:val="24"/>
          <w:vertAlign w:val="superscript"/>
        </w:rPr>
        <w:t xml:space="preserve">1 </w:t>
      </w:r>
      <w:r w:rsidRPr="00994B87">
        <w:rPr>
          <w:rFonts w:ascii="Arial" w:eastAsia="Times New Roman" w:hAnsi="Arial" w:cs="Arial"/>
          <w:sz w:val="24"/>
          <w:szCs w:val="24"/>
        </w:rPr>
        <w:t xml:space="preserve">HAA6Br:  </w:t>
      </w:r>
      <w:proofErr w:type="spellStart"/>
      <w:r w:rsidRPr="00994B87">
        <w:rPr>
          <w:rFonts w:ascii="Arial" w:eastAsia="Times New Roman" w:hAnsi="Arial" w:cs="Arial"/>
          <w:sz w:val="24"/>
          <w:szCs w:val="24"/>
        </w:rPr>
        <w:t>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bromodichloroacetic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monobromoacetic</w:t>
      </w:r>
      <w:proofErr w:type="spellEnd"/>
      <w:r w:rsidRPr="00994B87">
        <w:rPr>
          <w:rFonts w:ascii="Arial" w:eastAsia="Times New Roman" w:hAnsi="Arial" w:cs="Arial"/>
          <w:sz w:val="24"/>
          <w:szCs w:val="24"/>
        </w:rPr>
        <w:t xml:space="preserve"> acid, and </w:t>
      </w:r>
      <w:proofErr w:type="spellStart"/>
      <w:r w:rsidRPr="00994B87">
        <w:rPr>
          <w:rFonts w:ascii="Arial" w:eastAsia="Times New Roman" w:hAnsi="Arial" w:cs="Arial"/>
          <w:sz w:val="24"/>
          <w:szCs w:val="24"/>
        </w:rPr>
        <w:t>tribromoacetic</w:t>
      </w:r>
      <w:proofErr w:type="spellEnd"/>
      <w:r w:rsidRPr="00994B87">
        <w:rPr>
          <w:rFonts w:ascii="Arial" w:eastAsia="Times New Roman" w:hAnsi="Arial" w:cs="Arial"/>
          <w:sz w:val="24"/>
          <w:szCs w:val="24"/>
        </w:rPr>
        <w:t xml:space="preserve"> acid.</w:t>
      </w:r>
    </w:p>
    <w:p w14:paraId="0D2157FE" w14:textId="77777777" w:rsidR="001A2BFC" w:rsidRPr="00994B87" w:rsidRDefault="001A2BFC" w:rsidP="001A2BFC">
      <w:pPr>
        <w:spacing w:before="60" w:after="240" w:line="240" w:lineRule="auto"/>
        <w:jc w:val="both"/>
        <w:rPr>
          <w:rFonts w:ascii="Arial" w:eastAsia="Times New Roman" w:hAnsi="Arial" w:cs="Arial"/>
          <w:sz w:val="24"/>
          <w:szCs w:val="24"/>
        </w:rPr>
      </w:pPr>
      <w:r w:rsidRPr="00994B87">
        <w:rPr>
          <w:rFonts w:ascii="Arial" w:eastAsia="Times New Roman" w:hAnsi="Arial" w:cs="Arial"/>
          <w:sz w:val="24"/>
          <w:szCs w:val="24"/>
          <w:vertAlign w:val="superscript"/>
        </w:rPr>
        <w:lastRenderedPageBreak/>
        <w:t xml:space="preserve">2 </w:t>
      </w:r>
      <w:r w:rsidRPr="00994B87">
        <w:rPr>
          <w:rFonts w:ascii="Arial" w:eastAsia="Times New Roman" w:hAnsi="Arial" w:cs="Arial"/>
          <w:sz w:val="24"/>
          <w:szCs w:val="24"/>
        </w:rPr>
        <w:t xml:space="preserve">HAA9:  </w:t>
      </w:r>
      <w:proofErr w:type="spellStart"/>
      <w:r w:rsidRPr="00994B87">
        <w:rPr>
          <w:rFonts w:ascii="Arial" w:eastAsia="Times New Roman" w:hAnsi="Arial" w:cs="Arial"/>
          <w:sz w:val="24"/>
          <w:szCs w:val="24"/>
        </w:rPr>
        <w:t>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bromodichloroacetic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chlorodibromoacetic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dibromoacetic</w:t>
      </w:r>
      <w:proofErr w:type="spellEnd"/>
      <w:r w:rsidRPr="00994B87">
        <w:rPr>
          <w:rFonts w:ascii="Arial" w:eastAsia="Times New Roman" w:hAnsi="Arial" w:cs="Arial"/>
          <w:sz w:val="24"/>
          <w:szCs w:val="24"/>
        </w:rPr>
        <w:t xml:space="preserve"> acid, dichloroacetic acid, </w:t>
      </w:r>
      <w:proofErr w:type="spellStart"/>
      <w:r w:rsidRPr="00994B87">
        <w:rPr>
          <w:rFonts w:ascii="Arial" w:eastAsia="Times New Roman" w:hAnsi="Arial" w:cs="Arial"/>
          <w:sz w:val="24"/>
          <w:szCs w:val="24"/>
        </w:rPr>
        <w:t>monobromoacetic</w:t>
      </w:r>
      <w:proofErr w:type="spellEnd"/>
      <w:r w:rsidRPr="00994B87">
        <w:rPr>
          <w:rFonts w:ascii="Arial" w:eastAsia="Times New Roman" w:hAnsi="Arial" w:cs="Arial"/>
          <w:sz w:val="24"/>
          <w:szCs w:val="24"/>
        </w:rPr>
        <w:t xml:space="preserve"> acid, monochloroacetic acid, </w:t>
      </w:r>
      <w:proofErr w:type="spellStart"/>
      <w:r w:rsidRPr="00994B87">
        <w:rPr>
          <w:rFonts w:ascii="Arial" w:eastAsia="Times New Roman" w:hAnsi="Arial" w:cs="Arial"/>
          <w:sz w:val="24"/>
          <w:szCs w:val="24"/>
        </w:rPr>
        <w:t>tribromoacetic</w:t>
      </w:r>
      <w:proofErr w:type="spellEnd"/>
      <w:r w:rsidRPr="00994B87">
        <w:rPr>
          <w:rFonts w:ascii="Arial" w:eastAsia="Times New Roman" w:hAnsi="Arial" w:cs="Arial"/>
          <w:sz w:val="24"/>
          <w:szCs w:val="24"/>
        </w:rPr>
        <w:t xml:space="preserve"> acid, and trichloroacetic acid. </w:t>
      </w:r>
    </w:p>
    <w:p w14:paraId="5339511D"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9" w:name="_Toc535417410"/>
      <w:bookmarkStart w:id="20" w:name="_Toc536185601"/>
      <w:bookmarkStart w:id="21" w:name="_Toc63413055"/>
      <w:r w:rsidRPr="001A2BFC">
        <w:rPr>
          <w:rFonts w:ascii="Arial" w:eastAsia="Times New Roman" w:hAnsi="Arial" w:cs="Times New Roman"/>
          <w:b/>
          <w:bCs/>
          <w:color w:val="0000FF"/>
          <w:sz w:val="28"/>
          <w:szCs w:val="20"/>
        </w:rPr>
        <w:t>Reporting</w:t>
      </w:r>
      <w:bookmarkEnd w:id="19"/>
      <w:bookmarkEnd w:id="20"/>
      <w:bookmarkEnd w:id="21"/>
    </w:p>
    <w:p w14:paraId="58E994F5"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U.S. EPA is essentially silent on the issue of reporting federal UCMR contaminants beyond the previous calendar year’s detections, other than to say it is not required and that data older than five years need not be reported.  As a result, the </w:t>
      </w:r>
      <w:r w:rsidRPr="001A2BFC">
        <w:rPr>
          <w:rFonts w:ascii="Arial" w:eastAsia="Times New Roman" w:hAnsi="Arial" w:cs="Arial"/>
          <w:color w:val="000000"/>
          <w:sz w:val="24"/>
          <w:szCs w:val="24"/>
        </w:rPr>
        <w:t>State Water Board</w:t>
      </w:r>
      <w:r w:rsidRPr="001A2BFC">
        <w:rPr>
          <w:rFonts w:ascii="Arial" w:eastAsia="Times New Roman" w:hAnsi="Arial" w:cs="Arial"/>
          <w:sz w:val="24"/>
          <w:szCs w:val="24"/>
        </w:rPr>
        <w:t xml:space="preserve"> recommends systems to report data for five years from the date of the last sampling.</w:t>
      </w:r>
    </w:p>
    <w:p w14:paraId="14046987" w14:textId="77777777" w:rsidR="001A2BFC" w:rsidRPr="001A2BFC" w:rsidRDefault="001A2BFC" w:rsidP="001A2BFC">
      <w:pPr>
        <w:spacing w:after="240" w:line="240" w:lineRule="auto"/>
        <w:jc w:val="both"/>
        <w:rPr>
          <w:rFonts w:ascii="Arial" w:eastAsia="Times New Roman" w:hAnsi="Arial" w:cs="Arial"/>
          <w:sz w:val="24"/>
          <w:szCs w:val="24"/>
        </w:rPr>
      </w:pPr>
    </w:p>
    <w:bookmarkEnd w:id="12"/>
    <w:p w14:paraId="547E9D39" w14:textId="77777777" w:rsidR="001A2BFC" w:rsidRDefault="001A2BFC"/>
    <w:sectPr w:rsidR="001A2B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A581" w14:textId="77777777" w:rsidR="00700482" w:rsidRDefault="00700482" w:rsidP="001A2BFC">
      <w:pPr>
        <w:spacing w:after="0" w:line="240" w:lineRule="auto"/>
      </w:pPr>
      <w:r>
        <w:separator/>
      </w:r>
    </w:p>
  </w:endnote>
  <w:endnote w:type="continuationSeparator" w:id="0">
    <w:p w14:paraId="4DA0BE1D" w14:textId="77777777" w:rsidR="00700482" w:rsidRDefault="00700482" w:rsidP="001A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7B40" w14:textId="77777777" w:rsidR="00403A55" w:rsidRDefault="0040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DFE2" w14:textId="0EAFF1B9" w:rsidR="001A2BFC" w:rsidRPr="00E03A24" w:rsidRDefault="001A2BFC">
    <w:pPr>
      <w:pStyle w:val="Footer"/>
      <w:jc w:val="right"/>
      <w:rPr>
        <w:rFonts w:ascii="Arial" w:hAnsi="Arial" w:cs="Arial"/>
        <w:sz w:val="24"/>
        <w:szCs w:val="24"/>
      </w:rPr>
    </w:pPr>
    <w:r w:rsidRPr="00E03A24">
      <w:rPr>
        <w:rFonts w:ascii="Arial" w:hAnsi="Arial" w:cs="Arial"/>
        <w:sz w:val="24"/>
        <w:szCs w:val="24"/>
      </w:rPr>
      <w:t>C-</w:t>
    </w:r>
    <w:sdt>
      <w:sdtPr>
        <w:rPr>
          <w:rFonts w:ascii="Arial" w:hAnsi="Arial" w:cs="Arial"/>
          <w:sz w:val="24"/>
          <w:szCs w:val="24"/>
        </w:rPr>
        <w:id w:val="-1100102044"/>
        <w:docPartObj>
          <w:docPartGallery w:val="Page Numbers (Bottom of Page)"/>
          <w:docPartUnique/>
        </w:docPartObj>
      </w:sdtPr>
      <w:sdtEndPr>
        <w:rPr>
          <w:noProof/>
        </w:rPr>
      </w:sdtEndPr>
      <w:sdtContent>
        <w:r w:rsidRPr="00E03A24">
          <w:rPr>
            <w:rFonts w:ascii="Arial" w:hAnsi="Arial" w:cs="Arial"/>
            <w:sz w:val="24"/>
            <w:szCs w:val="24"/>
          </w:rPr>
          <w:fldChar w:fldCharType="begin"/>
        </w:r>
        <w:r w:rsidRPr="00E03A24">
          <w:rPr>
            <w:rFonts w:ascii="Arial" w:hAnsi="Arial" w:cs="Arial"/>
            <w:sz w:val="24"/>
            <w:szCs w:val="24"/>
          </w:rPr>
          <w:instrText xml:space="preserve"> PAGE   \* MERGEFORMAT </w:instrText>
        </w:r>
        <w:r w:rsidRPr="00E03A24">
          <w:rPr>
            <w:rFonts w:ascii="Arial" w:hAnsi="Arial" w:cs="Arial"/>
            <w:sz w:val="24"/>
            <w:szCs w:val="24"/>
          </w:rPr>
          <w:fldChar w:fldCharType="separate"/>
        </w:r>
        <w:r w:rsidRPr="00E03A24">
          <w:rPr>
            <w:rFonts w:ascii="Arial" w:hAnsi="Arial" w:cs="Arial"/>
            <w:noProof/>
            <w:sz w:val="24"/>
            <w:szCs w:val="24"/>
          </w:rPr>
          <w:t>2</w:t>
        </w:r>
        <w:r w:rsidRPr="00E03A24">
          <w:rPr>
            <w:rFonts w:ascii="Arial" w:hAnsi="Arial" w:cs="Arial"/>
            <w:noProof/>
            <w:sz w:val="24"/>
            <w:szCs w:val="24"/>
          </w:rPr>
          <w:fldChar w:fldCharType="end"/>
        </w:r>
      </w:sdtContent>
    </w:sdt>
  </w:p>
  <w:p w14:paraId="4A2D8C36" w14:textId="77777777" w:rsidR="001A2BFC" w:rsidRDefault="001A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FEFA" w14:textId="77777777" w:rsidR="00403A55" w:rsidRDefault="0040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FB9C" w14:textId="77777777" w:rsidR="00700482" w:rsidRDefault="00700482" w:rsidP="001A2BFC">
      <w:pPr>
        <w:spacing w:after="0" w:line="240" w:lineRule="auto"/>
      </w:pPr>
      <w:r>
        <w:separator/>
      </w:r>
    </w:p>
  </w:footnote>
  <w:footnote w:type="continuationSeparator" w:id="0">
    <w:p w14:paraId="2BFAA9CC" w14:textId="77777777" w:rsidR="00700482" w:rsidRDefault="00700482" w:rsidP="001A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016B" w14:textId="77777777" w:rsidR="00403A55" w:rsidRDefault="0040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C4CB" w14:textId="2FC6F1B1" w:rsidR="001A2BFC" w:rsidRPr="00F1731B" w:rsidRDefault="001A2BFC" w:rsidP="001A2BFC">
    <w:pPr>
      <w:tabs>
        <w:tab w:val="center" w:pos="4320"/>
        <w:tab w:val="right" w:pos="8640"/>
      </w:tabs>
      <w:spacing w:after="0" w:line="240" w:lineRule="auto"/>
      <w:rPr>
        <w:rFonts w:ascii="Arial" w:eastAsia="Times New Roman" w:hAnsi="Arial" w:cs="Arial"/>
        <w:sz w:val="24"/>
        <w:szCs w:val="24"/>
      </w:rPr>
    </w:pPr>
    <w:r w:rsidRPr="00F1731B">
      <w:rPr>
        <w:rFonts w:ascii="Arial" w:eastAsia="Times New Roman" w:hAnsi="Arial" w:cs="Arial"/>
        <w:i/>
        <w:sz w:val="24"/>
        <w:szCs w:val="24"/>
      </w:rPr>
      <w:t>Instructions for Small Water Systems Appendix C</w:t>
    </w:r>
  </w:p>
  <w:p w14:paraId="45C68726" w14:textId="66F35DCE" w:rsidR="001A2BFC" w:rsidRPr="00F1731B" w:rsidRDefault="001A2BFC" w:rsidP="001A2BFC">
    <w:pPr>
      <w:tabs>
        <w:tab w:val="center" w:pos="4320"/>
        <w:tab w:val="right" w:pos="8640"/>
      </w:tabs>
      <w:spacing w:after="0" w:line="240" w:lineRule="auto"/>
      <w:rPr>
        <w:rFonts w:ascii="Arial" w:eastAsia="Times New Roman" w:hAnsi="Arial" w:cs="Arial"/>
        <w:sz w:val="24"/>
        <w:szCs w:val="24"/>
      </w:rPr>
    </w:pPr>
    <w:r w:rsidRPr="00F1731B">
      <w:rPr>
        <w:rFonts w:ascii="Arial" w:eastAsia="Times New Roman" w:hAnsi="Arial" w:cs="Arial"/>
        <w:i/>
        <w:sz w:val="24"/>
        <w:szCs w:val="24"/>
      </w:rPr>
      <w:t xml:space="preserve">Revised </w:t>
    </w:r>
    <w:r w:rsidR="00403A55" w:rsidRPr="00403A55">
      <w:rPr>
        <w:rFonts w:ascii="Arial" w:eastAsia="Times New Roman" w:hAnsi="Arial" w:cs="Arial"/>
        <w:i/>
        <w:sz w:val="24"/>
        <w:szCs w:val="24"/>
        <w:highlight w:val="yellow"/>
      </w:rPr>
      <w:t xml:space="preserve">February </w:t>
    </w:r>
    <w:r w:rsidRPr="00403A55">
      <w:rPr>
        <w:rFonts w:ascii="Arial" w:eastAsia="Times New Roman" w:hAnsi="Arial" w:cs="Arial"/>
        <w:i/>
        <w:sz w:val="24"/>
        <w:szCs w:val="24"/>
        <w:highlight w:val="yellow"/>
      </w:rPr>
      <w:t>2021</w:t>
    </w:r>
  </w:p>
  <w:p w14:paraId="1D07B33B" w14:textId="77777777" w:rsidR="001A2BFC" w:rsidRDefault="001A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10742" w14:textId="77777777" w:rsidR="00403A55" w:rsidRDefault="0040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FC"/>
    <w:rsid w:val="001A2BFC"/>
    <w:rsid w:val="00403A55"/>
    <w:rsid w:val="00700482"/>
    <w:rsid w:val="00994B87"/>
    <w:rsid w:val="00BC6FFF"/>
    <w:rsid w:val="00C342E6"/>
    <w:rsid w:val="00E03A24"/>
    <w:rsid w:val="00F1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0E1"/>
  <w15:chartTrackingRefBased/>
  <w15:docId w15:val="{D64E3896-F54F-4579-89BE-501A387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2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FC"/>
  </w:style>
  <w:style w:type="paragraph" w:styleId="Footer">
    <w:name w:val="footer"/>
    <w:basedOn w:val="Normal"/>
    <w:link w:val="FooterChar"/>
    <w:uiPriority w:val="99"/>
    <w:unhideWhenUsed/>
    <w:rsid w:val="001A2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7</cp:revision>
  <dcterms:created xsi:type="dcterms:W3CDTF">2021-02-05T19:04:00Z</dcterms:created>
  <dcterms:modified xsi:type="dcterms:W3CDTF">2021-02-17T20:15:00Z</dcterms:modified>
</cp:coreProperties>
</file>