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7FE71" w14:textId="77777777" w:rsidR="005F55A9" w:rsidRPr="00B41FDC" w:rsidRDefault="005F55A9" w:rsidP="0072634B">
      <w:pPr>
        <w:pStyle w:val="Header"/>
        <w:jc w:val="center"/>
        <w:rPr>
          <w:rFonts w:ascii="Arial" w:hAnsi="Arial" w:cs="Arial"/>
          <w:b/>
          <w:sz w:val="24"/>
          <w:szCs w:val="24"/>
        </w:rPr>
      </w:pPr>
      <w:r w:rsidRPr="00B41FDC">
        <w:rPr>
          <w:rFonts w:ascii="Arial" w:hAnsi="Arial" w:cs="Arial"/>
          <w:b/>
          <w:sz w:val="24"/>
          <w:szCs w:val="24"/>
        </w:rPr>
        <w:t>State Water Resources Control Board</w:t>
      </w:r>
    </w:p>
    <w:p w14:paraId="13690B72" w14:textId="77777777" w:rsidR="005F55A9" w:rsidRPr="00B41FDC" w:rsidRDefault="005F55A9" w:rsidP="0072634B">
      <w:pPr>
        <w:pStyle w:val="Header"/>
        <w:jc w:val="center"/>
        <w:rPr>
          <w:rFonts w:ascii="Arial" w:hAnsi="Arial" w:cs="Arial"/>
          <w:b/>
          <w:sz w:val="24"/>
          <w:szCs w:val="24"/>
        </w:rPr>
      </w:pPr>
      <w:r w:rsidRPr="00B41FDC">
        <w:rPr>
          <w:rFonts w:ascii="Arial" w:hAnsi="Arial" w:cs="Arial"/>
          <w:b/>
          <w:sz w:val="24"/>
          <w:szCs w:val="24"/>
        </w:rPr>
        <w:t>Perchlorate Detection Limit for Purposes of Reporting (DLR) Regulations</w:t>
      </w:r>
    </w:p>
    <w:p w14:paraId="3FE8D873" w14:textId="77777777" w:rsidR="005F55A9" w:rsidRPr="00B41FDC" w:rsidRDefault="005F55A9" w:rsidP="002E4B0C">
      <w:pPr>
        <w:spacing w:after="0" w:line="240" w:lineRule="auto"/>
        <w:jc w:val="center"/>
        <w:rPr>
          <w:rFonts w:ascii="Arial" w:hAnsi="Arial" w:cs="Arial"/>
          <w:b/>
          <w:sz w:val="24"/>
          <w:szCs w:val="24"/>
        </w:rPr>
      </w:pPr>
    </w:p>
    <w:p w14:paraId="29123CBA" w14:textId="0C8EB37F" w:rsidR="005F55A9" w:rsidRPr="00A2199C" w:rsidRDefault="005F55A9" w:rsidP="00A2199C">
      <w:pPr>
        <w:pStyle w:val="Heading1"/>
        <w:jc w:val="center"/>
      </w:pPr>
      <w:r w:rsidRPr="00A2199C">
        <w:t>Economic and Fiscal Impact Statement</w:t>
      </w:r>
      <w:r w:rsidR="00A2199C">
        <w:t>,</w:t>
      </w:r>
      <w:r w:rsidR="00B41FDC" w:rsidRPr="00A2199C">
        <w:t xml:space="preserve"> STD 399 - Attachment</w:t>
      </w:r>
      <w:r w:rsidRPr="00A2199C">
        <w:t xml:space="preserve"> A</w:t>
      </w:r>
    </w:p>
    <w:p w14:paraId="09F3EED0" w14:textId="77777777" w:rsidR="00A2199C" w:rsidRPr="00B41FDC" w:rsidRDefault="00A2199C" w:rsidP="00A2199C">
      <w:pPr>
        <w:spacing w:after="0" w:line="240" w:lineRule="auto"/>
        <w:rPr>
          <w:rStyle w:val="Hyperlink"/>
          <w:rFonts w:ascii="Arial" w:hAnsi="Arial" w:cs="Arial"/>
          <w:color w:val="auto"/>
          <w:sz w:val="24"/>
          <w:szCs w:val="24"/>
        </w:rPr>
      </w:pPr>
    </w:p>
    <w:p w14:paraId="18907D1E" w14:textId="7A1C9D18" w:rsidR="00A2199C" w:rsidRPr="00A2199C" w:rsidRDefault="005F55A9" w:rsidP="00A2199C">
      <w:pPr>
        <w:pStyle w:val="Heading2"/>
        <w:spacing w:after="240"/>
      </w:pPr>
      <w:r w:rsidRPr="00A2199C">
        <w:rPr>
          <w:rStyle w:val="Hyperlink"/>
          <w:color w:val="auto"/>
          <w:u w:val="none"/>
        </w:rPr>
        <w:t>Economic Impact Statement</w:t>
      </w:r>
    </w:p>
    <w:p w14:paraId="2F001BC3" w14:textId="20A737C5" w:rsidR="005F55A9" w:rsidRPr="00B41FDC" w:rsidRDefault="005F55A9" w:rsidP="002366EE">
      <w:pPr>
        <w:pStyle w:val="Heading3"/>
      </w:pPr>
      <w:r w:rsidRPr="00B41FDC">
        <w:t xml:space="preserve">Section A Estimated Private Sector Cost Impacts (p. 1): </w:t>
      </w:r>
    </w:p>
    <w:p w14:paraId="48179D4A" w14:textId="77777777" w:rsidR="001B5EE7" w:rsidRDefault="00CE1F3F" w:rsidP="002366EE">
      <w:pPr>
        <w:pStyle w:val="ListParagraph"/>
        <w:numPr>
          <w:ilvl w:val="0"/>
          <w:numId w:val="1"/>
        </w:numPr>
        <w:spacing w:line="240" w:lineRule="auto"/>
        <w:ind w:left="540"/>
        <w:rPr>
          <w:rFonts w:ascii="Arial" w:hAnsi="Arial" w:cs="Arial"/>
          <w:bCs/>
          <w:sz w:val="24"/>
          <w:szCs w:val="24"/>
        </w:rPr>
      </w:pPr>
      <w:r w:rsidRPr="00CE1F3F">
        <w:rPr>
          <w:rFonts w:ascii="Arial" w:hAnsi="Arial" w:cs="Arial"/>
          <w:bCs/>
          <w:sz w:val="24"/>
          <w:szCs w:val="24"/>
          <w:u w:val="single"/>
        </w:rPr>
        <w:t>Regulation Impacts</w:t>
      </w:r>
      <w:r>
        <w:rPr>
          <w:rFonts w:ascii="Arial" w:hAnsi="Arial" w:cs="Arial"/>
          <w:bCs/>
          <w:sz w:val="24"/>
          <w:szCs w:val="24"/>
        </w:rPr>
        <w:br/>
      </w:r>
      <w:r w:rsidR="005F55A9" w:rsidRPr="00B41FDC">
        <w:rPr>
          <w:rFonts w:ascii="Arial" w:hAnsi="Arial" w:cs="Arial"/>
          <w:bCs/>
          <w:sz w:val="24"/>
          <w:szCs w:val="24"/>
        </w:rPr>
        <w:t>The proposed regulation directly impacts public drinking water systems.  Public water systems (PWS) are utilities, not businesses or individuals and, pursuant to Government Code Chapter 3.5, Article 2, Section 11342.610(b)(8), are specifically excluded from the definition of small businesses.  However, the State Water Resources Control Board (State Water Board) recognizes that a small number of the identified PWS likely provide water solely to businesses and that PWS often provide water to businesses.  The State Water Board also recognizes that costs associated with monitoring would likely be passed on to a water system’s customers, which may include individuals and businesses</w:t>
      </w:r>
      <w:r w:rsidR="005F55A9" w:rsidRPr="00AC4E58">
        <w:rPr>
          <w:rFonts w:ascii="Arial" w:hAnsi="Arial" w:cs="Arial"/>
          <w:bCs/>
          <w:sz w:val="24"/>
          <w:szCs w:val="24"/>
        </w:rPr>
        <w:t xml:space="preserve">.  </w:t>
      </w:r>
    </w:p>
    <w:p w14:paraId="2F2A0625" w14:textId="77777777" w:rsidR="001B5EE7" w:rsidRDefault="001B5EE7" w:rsidP="002426D8">
      <w:pPr>
        <w:pStyle w:val="ListParagraph"/>
        <w:spacing w:line="240" w:lineRule="auto"/>
        <w:ind w:left="540"/>
        <w:rPr>
          <w:rFonts w:ascii="Arial" w:hAnsi="Arial" w:cs="Arial"/>
          <w:bCs/>
          <w:sz w:val="24"/>
          <w:szCs w:val="24"/>
        </w:rPr>
      </w:pPr>
    </w:p>
    <w:p w14:paraId="31F4FC91" w14:textId="44A2E003" w:rsidR="001B5EE7" w:rsidRDefault="00D61CC1" w:rsidP="001B5EE7">
      <w:pPr>
        <w:pStyle w:val="ListParagraph"/>
        <w:spacing w:line="240" w:lineRule="auto"/>
        <w:ind w:left="540"/>
        <w:rPr>
          <w:rFonts w:ascii="Arial" w:hAnsi="Arial" w:cs="Arial"/>
          <w:bCs/>
          <w:sz w:val="24"/>
          <w:szCs w:val="24"/>
        </w:rPr>
      </w:pPr>
      <w:r w:rsidRPr="00AC4E58">
        <w:rPr>
          <w:rFonts w:ascii="Arial" w:hAnsi="Arial" w:cs="Arial"/>
          <w:bCs/>
          <w:sz w:val="24"/>
          <w:szCs w:val="24"/>
        </w:rPr>
        <w:t xml:space="preserve">During Phase I, the </w:t>
      </w:r>
      <w:r w:rsidR="001B5EE7">
        <w:rPr>
          <w:rFonts w:ascii="Arial" w:hAnsi="Arial" w:cs="Arial"/>
          <w:bCs/>
          <w:sz w:val="24"/>
          <w:szCs w:val="24"/>
        </w:rPr>
        <w:t xml:space="preserve">new </w:t>
      </w:r>
      <w:r w:rsidR="00F96F44" w:rsidRPr="00AC4E58">
        <w:rPr>
          <w:rFonts w:ascii="Arial" w:hAnsi="Arial" w:cs="Arial"/>
          <w:bCs/>
          <w:sz w:val="24"/>
          <w:szCs w:val="24"/>
        </w:rPr>
        <w:t xml:space="preserve">cost to customers </w:t>
      </w:r>
      <w:bookmarkStart w:id="0" w:name="_Hlk51764691"/>
      <w:r w:rsidRPr="00AC4E58">
        <w:rPr>
          <w:rFonts w:ascii="Arial" w:hAnsi="Arial" w:cs="Arial"/>
          <w:bCs/>
          <w:sz w:val="24"/>
          <w:szCs w:val="24"/>
        </w:rPr>
        <w:t>is attributed to increased monitoring frequency</w:t>
      </w:r>
      <w:bookmarkEnd w:id="0"/>
      <w:r w:rsidRPr="00AC4E58">
        <w:rPr>
          <w:rFonts w:ascii="Arial" w:hAnsi="Arial" w:cs="Arial"/>
          <w:bCs/>
          <w:sz w:val="24"/>
          <w:szCs w:val="24"/>
        </w:rPr>
        <w:t>.</w:t>
      </w:r>
      <w:r w:rsidR="009162E6">
        <w:rPr>
          <w:rFonts w:ascii="Arial" w:hAnsi="Arial" w:cs="Arial"/>
          <w:bCs/>
          <w:sz w:val="24"/>
          <w:szCs w:val="24"/>
        </w:rPr>
        <w:t xml:space="preserve">  In summary, </w:t>
      </w:r>
      <w:r w:rsidR="00383EC7">
        <w:rPr>
          <w:rFonts w:ascii="Arial" w:hAnsi="Arial" w:cs="Arial"/>
          <w:bCs/>
          <w:sz w:val="24"/>
          <w:szCs w:val="24"/>
        </w:rPr>
        <w:t xml:space="preserve">it is expected that </w:t>
      </w:r>
      <w:r w:rsidR="009162E6">
        <w:rPr>
          <w:rFonts w:ascii="Arial" w:hAnsi="Arial" w:cs="Arial"/>
          <w:bCs/>
          <w:sz w:val="24"/>
          <w:szCs w:val="24"/>
        </w:rPr>
        <w:t>2,</w:t>
      </w:r>
      <w:r w:rsidR="00383EC7">
        <w:rPr>
          <w:rFonts w:ascii="Arial" w:hAnsi="Arial" w:cs="Arial"/>
          <w:bCs/>
          <w:sz w:val="24"/>
          <w:szCs w:val="24"/>
        </w:rPr>
        <w:t xml:space="preserve">346 </w:t>
      </w:r>
      <w:r w:rsidR="009162E6">
        <w:rPr>
          <w:rFonts w:ascii="Arial" w:hAnsi="Arial" w:cs="Arial"/>
          <w:bCs/>
          <w:sz w:val="24"/>
          <w:szCs w:val="24"/>
        </w:rPr>
        <w:t xml:space="preserve">PWS </w:t>
      </w:r>
      <w:r w:rsidR="00383EC7">
        <w:rPr>
          <w:rFonts w:ascii="Arial" w:hAnsi="Arial" w:cs="Arial"/>
          <w:bCs/>
          <w:sz w:val="24"/>
          <w:szCs w:val="24"/>
        </w:rPr>
        <w:t xml:space="preserve">will have sources that will now require a change in monitoring frequency from routine </w:t>
      </w:r>
      <w:r w:rsidR="0049712D">
        <w:rPr>
          <w:rFonts w:ascii="Arial" w:hAnsi="Arial" w:cs="Arial"/>
          <w:bCs/>
          <w:sz w:val="24"/>
          <w:szCs w:val="24"/>
        </w:rPr>
        <w:t xml:space="preserve">(once every three years) </w:t>
      </w:r>
      <w:r w:rsidR="00383EC7">
        <w:rPr>
          <w:rFonts w:ascii="Arial" w:hAnsi="Arial" w:cs="Arial"/>
          <w:bCs/>
          <w:sz w:val="24"/>
          <w:szCs w:val="24"/>
        </w:rPr>
        <w:t xml:space="preserve">to </w:t>
      </w:r>
      <w:r w:rsidR="0049712D">
        <w:rPr>
          <w:rFonts w:ascii="Arial" w:hAnsi="Arial" w:cs="Arial"/>
          <w:bCs/>
          <w:sz w:val="24"/>
          <w:szCs w:val="24"/>
        </w:rPr>
        <w:t>increased (</w:t>
      </w:r>
      <w:r w:rsidR="00383EC7">
        <w:rPr>
          <w:rFonts w:ascii="Arial" w:hAnsi="Arial" w:cs="Arial"/>
          <w:bCs/>
          <w:sz w:val="24"/>
          <w:szCs w:val="24"/>
        </w:rPr>
        <w:t>quarterly</w:t>
      </w:r>
      <w:r w:rsidR="0049712D">
        <w:rPr>
          <w:rFonts w:ascii="Arial" w:hAnsi="Arial" w:cs="Arial"/>
          <w:bCs/>
          <w:sz w:val="24"/>
          <w:szCs w:val="24"/>
        </w:rPr>
        <w:t>)</w:t>
      </w:r>
      <w:r w:rsidR="00383EC7">
        <w:rPr>
          <w:rFonts w:ascii="Arial" w:hAnsi="Arial" w:cs="Arial"/>
          <w:bCs/>
          <w:sz w:val="24"/>
          <w:szCs w:val="24"/>
        </w:rPr>
        <w:t xml:space="preserve"> (see </w:t>
      </w:r>
      <w:r w:rsidR="00187C8C">
        <w:rPr>
          <w:rFonts w:ascii="Arial" w:hAnsi="Arial" w:cs="Arial"/>
          <w:bCs/>
          <w:sz w:val="24"/>
          <w:szCs w:val="24"/>
        </w:rPr>
        <w:t xml:space="preserve">Appendix, </w:t>
      </w:r>
      <w:r w:rsidR="00383EC7">
        <w:rPr>
          <w:rFonts w:ascii="Arial" w:hAnsi="Arial" w:cs="Arial"/>
          <w:bCs/>
          <w:sz w:val="24"/>
          <w:szCs w:val="24"/>
        </w:rPr>
        <w:t>Table I and II).</w:t>
      </w:r>
    </w:p>
    <w:p w14:paraId="306AE387" w14:textId="77777777" w:rsidR="001B5EE7" w:rsidRDefault="001B5EE7" w:rsidP="001B5EE7">
      <w:pPr>
        <w:pStyle w:val="ListParagraph"/>
        <w:spacing w:line="240" w:lineRule="auto"/>
        <w:ind w:left="540"/>
        <w:rPr>
          <w:rFonts w:ascii="Arial" w:hAnsi="Arial" w:cs="Arial"/>
          <w:bCs/>
          <w:sz w:val="24"/>
          <w:szCs w:val="24"/>
        </w:rPr>
      </w:pPr>
    </w:p>
    <w:p w14:paraId="46AA1DEF" w14:textId="55CE7C4F" w:rsidR="006263E4" w:rsidRDefault="001B5EE7" w:rsidP="001B5EE7">
      <w:pPr>
        <w:pStyle w:val="ListParagraph"/>
        <w:spacing w:line="240" w:lineRule="auto"/>
        <w:ind w:left="540"/>
        <w:rPr>
          <w:rFonts w:ascii="Arial" w:hAnsi="Arial" w:cs="Arial"/>
          <w:bCs/>
          <w:sz w:val="24"/>
          <w:szCs w:val="24"/>
        </w:rPr>
      </w:pPr>
      <w:r>
        <w:rPr>
          <w:rFonts w:ascii="Arial" w:hAnsi="Arial" w:cs="Arial"/>
          <w:bCs/>
          <w:sz w:val="24"/>
          <w:szCs w:val="24"/>
        </w:rPr>
        <w:t xml:space="preserve">During </w:t>
      </w:r>
      <w:r w:rsidR="00D61CC1" w:rsidRPr="00AC4E58">
        <w:rPr>
          <w:rFonts w:ascii="Arial" w:hAnsi="Arial" w:cs="Arial"/>
          <w:bCs/>
          <w:sz w:val="24"/>
          <w:szCs w:val="24"/>
        </w:rPr>
        <w:t>Phase II</w:t>
      </w:r>
      <w:r>
        <w:rPr>
          <w:rFonts w:ascii="Arial" w:hAnsi="Arial" w:cs="Arial"/>
          <w:bCs/>
          <w:sz w:val="24"/>
          <w:szCs w:val="24"/>
        </w:rPr>
        <w:t xml:space="preserve">, </w:t>
      </w:r>
      <w:r w:rsidR="009162E6">
        <w:rPr>
          <w:rFonts w:ascii="Arial" w:hAnsi="Arial" w:cs="Arial"/>
          <w:bCs/>
          <w:sz w:val="24"/>
          <w:szCs w:val="24"/>
        </w:rPr>
        <w:t xml:space="preserve">the new cost to customers is </w:t>
      </w:r>
      <w:r w:rsidR="009162E6" w:rsidRPr="00AC4E58">
        <w:rPr>
          <w:rFonts w:ascii="Arial" w:hAnsi="Arial" w:cs="Arial"/>
          <w:bCs/>
          <w:sz w:val="24"/>
          <w:szCs w:val="24"/>
        </w:rPr>
        <w:t xml:space="preserve">attributed to </w:t>
      </w:r>
      <w:r w:rsidR="0049712D">
        <w:rPr>
          <w:rFonts w:ascii="Arial" w:hAnsi="Arial" w:cs="Arial"/>
          <w:bCs/>
          <w:sz w:val="24"/>
          <w:szCs w:val="24"/>
        </w:rPr>
        <w:t xml:space="preserve">Phase I costs plus </w:t>
      </w:r>
      <w:r w:rsidR="009162E6">
        <w:rPr>
          <w:rFonts w:ascii="Arial" w:hAnsi="Arial" w:cs="Arial"/>
          <w:bCs/>
          <w:sz w:val="24"/>
          <w:szCs w:val="24"/>
        </w:rPr>
        <w:t xml:space="preserve">an increased </w:t>
      </w:r>
      <w:r w:rsidR="009162E6" w:rsidRPr="00AC4E58">
        <w:rPr>
          <w:rFonts w:ascii="Arial" w:hAnsi="Arial" w:cs="Arial"/>
          <w:bCs/>
          <w:sz w:val="24"/>
          <w:szCs w:val="24"/>
        </w:rPr>
        <w:t xml:space="preserve">cost per analysis.  </w:t>
      </w:r>
      <w:r w:rsidR="009162E6">
        <w:rPr>
          <w:rFonts w:ascii="Arial" w:hAnsi="Arial" w:cs="Arial"/>
          <w:bCs/>
          <w:sz w:val="24"/>
          <w:szCs w:val="24"/>
        </w:rPr>
        <w:t>T</w:t>
      </w:r>
      <w:r w:rsidR="006263E4">
        <w:rPr>
          <w:rFonts w:ascii="Arial" w:hAnsi="Arial" w:cs="Arial"/>
          <w:bCs/>
          <w:sz w:val="24"/>
          <w:szCs w:val="24"/>
        </w:rPr>
        <w:t>here is no change to any PWS monitoring frequencies from Phase I</w:t>
      </w:r>
      <w:r w:rsidR="00872078">
        <w:rPr>
          <w:rFonts w:ascii="Arial" w:hAnsi="Arial" w:cs="Arial"/>
          <w:bCs/>
          <w:sz w:val="24"/>
          <w:szCs w:val="24"/>
        </w:rPr>
        <w:t xml:space="preserve"> (see Table I and II)</w:t>
      </w:r>
      <w:r w:rsidR="009162E6">
        <w:rPr>
          <w:rFonts w:ascii="Arial" w:hAnsi="Arial" w:cs="Arial"/>
          <w:bCs/>
          <w:sz w:val="24"/>
          <w:szCs w:val="24"/>
        </w:rPr>
        <w:t>.</w:t>
      </w:r>
      <w:r>
        <w:rPr>
          <w:rFonts w:ascii="Arial" w:hAnsi="Arial" w:cs="Arial"/>
          <w:bCs/>
          <w:sz w:val="24"/>
          <w:szCs w:val="24"/>
        </w:rPr>
        <w:t xml:space="preserve"> </w:t>
      </w:r>
    </w:p>
    <w:p w14:paraId="6B20D165" w14:textId="77777777" w:rsidR="006263E4" w:rsidRDefault="006263E4" w:rsidP="001B5EE7">
      <w:pPr>
        <w:pStyle w:val="ListParagraph"/>
        <w:spacing w:line="240" w:lineRule="auto"/>
        <w:ind w:left="540"/>
        <w:rPr>
          <w:rFonts w:ascii="Arial" w:hAnsi="Arial" w:cs="Arial"/>
          <w:bCs/>
          <w:sz w:val="24"/>
          <w:szCs w:val="24"/>
        </w:rPr>
      </w:pPr>
    </w:p>
    <w:p w14:paraId="4A1335B1" w14:textId="76C7003C" w:rsidR="005F55A9" w:rsidRPr="00B41FDC" w:rsidRDefault="00FB07AE" w:rsidP="002426D8">
      <w:pPr>
        <w:pStyle w:val="ListParagraph"/>
        <w:spacing w:line="240" w:lineRule="auto"/>
        <w:ind w:left="540"/>
        <w:rPr>
          <w:rFonts w:ascii="Arial" w:hAnsi="Arial" w:cs="Arial"/>
          <w:bCs/>
          <w:sz w:val="24"/>
          <w:szCs w:val="24"/>
        </w:rPr>
      </w:pPr>
      <w:r w:rsidRPr="00AC4E58">
        <w:rPr>
          <w:rFonts w:ascii="Arial" w:hAnsi="Arial" w:cs="Arial"/>
          <w:bCs/>
          <w:sz w:val="24"/>
          <w:szCs w:val="24"/>
        </w:rPr>
        <w:t>E</w:t>
      </w:r>
      <w:r w:rsidR="005F55A9" w:rsidRPr="00AC4E58">
        <w:rPr>
          <w:rFonts w:ascii="Arial" w:hAnsi="Arial" w:cs="Arial"/>
          <w:bCs/>
          <w:sz w:val="24"/>
          <w:szCs w:val="24"/>
        </w:rPr>
        <w:t xml:space="preserve">ven though the proposed regulation does not </w:t>
      </w:r>
      <w:r w:rsidR="005F55A9" w:rsidRPr="00B41FDC">
        <w:rPr>
          <w:rFonts w:ascii="Arial" w:hAnsi="Arial" w:cs="Arial"/>
          <w:bCs/>
          <w:sz w:val="24"/>
          <w:szCs w:val="24"/>
        </w:rPr>
        <w:t>directly affect businesses or individuals, those entities may be indirectly impacted.  Similarly, no reporting is required of businesses, but reporting of monitoring results would be required of the PWS, and such reporting is necessary for health, safety, or welfare of the people of the state to ensure compliance with the drinking water maximum contaminant level (MCL).  Those costs for reporting were considered as part of the monitoring costs.</w:t>
      </w:r>
    </w:p>
    <w:p w14:paraId="19F0166E" w14:textId="77777777" w:rsidR="005F55A9" w:rsidRPr="00B41FDC" w:rsidRDefault="005F55A9" w:rsidP="002366EE">
      <w:pPr>
        <w:pStyle w:val="ListParagraph"/>
        <w:spacing w:line="240" w:lineRule="auto"/>
        <w:ind w:left="540" w:hanging="360"/>
        <w:rPr>
          <w:rFonts w:ascii="Arial" w:hAnsi="Arial" w:cs="Arial"/>
          <w:bCs/>
          <w:sz w:val="24"/>
          <w:szCs w:val="24"/>
        </w:rPr>
      </w:pPr>
    </w:p>
    <w:p w14:paraId="100C694B" w14:textId="77777777" w:rsidR="003A229F" w:rsidRDefault="00CE1F3F" w:rsidP="002366EE">
      <w:pPr>
        <w:pStyle w:val="ListParagraph"/>
        <w:numPr>
          <w:ilvl w:val="0"/>
          <w:numId w:val="2"/>
        </w:numPr>
        <w:spacing w:after="240" w:line="240" w:lineRule="auto"/>
        <w:ind w:left="547"/>
        <w:contextualSpacing w:val="0"/>
        <w:rPr>
          <w:rFonts w:ascii="Arial" w:hAnsi="Arial" w:cs="Arial"/>
          <w:sz w:val="24"/>
          <w:szCs w:val="24"/>
        </w:rPr>
      </w:pPr>
      <w:r w:rsidRPr="00CE1F3F">
        <w:rPr>
          <w:rFonts w:ascii="Arial" w:hAnsi="Arial" w:cs="Arial"/>
          <w:sz w:val="24"/>
          <w:szCs w:val="24"/>
          <w:u w:val="single"/>
        </w:rPr>
        <w:t>Businesses Impacted</w:t>
      </w:r>
      <w:r>
        <w:rPr>
          <w:rFonts w:ascii="Arial" w:hAnsi="Arial" w:cs="Arial"/>
          <w:sz w:val="24"/>
          <w:szCs w:val="24"/>
        </w:rPr>
        <w:br/>
      </w:r>
      <w:r w:rsidR="005F55A9" w:rsidRPr="00B41FDC">
        <w:rPr>
          <w:rFonts w:ascii="Arial" w:hAnsi="Arial" w:cs="Arial"/>
          <w:sz w:val="24"/>
          <w:szCs w:val="24"/>
        </w:rPr>
        <w:t xml:space="preserve">As noted above, the regulation directly impacts only PWS, which are not considered businesses or individuals and are excluded from the definition of a small business (Gov. Code § 11342.610(b)(8)).  The State Water Board does recognize that indirect impacts to businesses may occur </w:t>
      </w:r>
      <w:r w:rsidR="0001685A">
        <w:rPr>
          <w:rFonts w:ascii="Arial" w:hAnsi="Arial" w:cs="Arial"/>
          <w:sz w:val="24"/>
          <w:szCs w:val="24"/>
        </w:rPr>
        <w:t>from</w:t>
      </w:r>
      <w:r w:rsidR="005F55A9" w:rsidRPr="00B41FDC">
        <w:rPr>
          <w:rFonts w:ascii="Arial" w:hAnsi="Arial" w:cs="Arial"/>
          <w:sz w:val="24"/>
          <w:szCs w:val="24"/>
        </w:rPr>
        <w:t xml:space="preserve"> increased water rates due to the monitoring costs to PWS being passed on to their customers.  </w:t>
      </w:r>
    </w:p>
    <w:p w14:paraId="22E93ACE" w14:textId="26657AF4" w:rsidR="00874D70" w:rsidRDefault="0070221D" w:rsidP="005B02FC">
      <w:pPr>
        <w:pStyle w:val="ListParagraph"/>
        <w:spacing w:after="240" w:line="240" w:lineRule="auto"/>
        <w:ind w:left="547"/>
        <w:contextualSpacing w:val="0"/>
        <w:rPr>
          <w:rFonts w:ascii="Arial" w:hAnsi="Arial" w:cs="Arial"/>
          <w:sz w:val="24"/>
          <w:szCs w:val="24"/>
        </w:rPr>
      </w:pPr>
      <w:r>
        <w:rPr>
          <w:rFonts w:ascii="Arial" w:hAnsi="Arial" w:cs="Arial"/>
          <w:sz w:val="24"/>
          <w:szCs w:val="24"/>
        </w:rPr>
        <w:t>For Phase I of the proposed regulation, t</w:t>
      </w:r>
      <w:r w:rsidR="002D5833" w:rsidRPr="00AC4E58">
        <w:rPr>
          <w:rFonts w:ascii="Arial" w:hAnsi="Arial" w:cs="Arial"/>
          <w:sz w:val="24"/>
          <w:szCs w:val="24"/>
        </w:rPr>
        <w:t>he State Water Board identified 27 counties with</w:t>
      </w:r>
      <w:r w:rsidR="00CA73D0" w:rsidRPr="00AC4E58">
        <w:rPr>
          <w:rFonts w:ascii="Arial" w:hAnsi="Arial" w:cs="Arial"/>
          <w:sz w:val="24"/>
          <w:szCs w:val="24"/>
        </w:rPr>
        <w:t xml:space="preserve"> prior detections of perchlorate</w:t>
      </w:r>
      <w:r w:rsidR="002D5833" w:rsidRPr="00AC4E58">
        <w:rPr>
          <w:rFonts w:ascii="Arial" w:hAnsi="Arial" w:cs="Arial"/>
          <w:sz w:val="24"/>
          <w:szCs w:val="24"/>
        </w:rPr>
        <w:t xml:space="preserve">. </w:t>
      </w:r>
      <w:r w:rsidR="00811CE0" w:rsidRPr="00AC4E58">
        <w:rPr>
          <w:rFonts w:ascii="Arial" w:hAnsi="Arial" w:cs="Arial"/>
          <w:sz w:val="24"/>
          <w:szCs w:val="24"/>
        </w:rPr>
        <w:t>Within</w:t>
      </w:r>
      <w:r w:rsidR="002D5833" w:rsidRPr="00AC4E58">
        <w:rPr>
          <w:rFonts w:ascii="Arial" w:hAnsi="Arial" w:cs="Arial"/>
          <w:sz w:val="24"/>
          <w:szCs w:val="24"/>
        </w:rPr>
        <w:t xml:space="preserve"> t</w:t>
      </w:r>
      <w:r w:rsidR="00811CE0" w:rsidRPr="00AC4E58">
        <w:rPr>
          <w:rFonts w:ascii="Arial" w:hAnsi="Arial" w:cs="Arial"/>
          <w:sz w:val="24"/>
          <w:szCs w:val="24"/>
        </w:rPr>
        <w:t>he</w:t>
      </w:r>
      <w:r w:rsidR="002D5833" w:rsidRPr="00AC4E58">
        <w:rPr>
          <w:rFonts w:ascii="Arial" w:hAnsi="Arial" w:cs="Arial"/>
          <w:sz w:val="24"/>
          <w:szCs w:val="24"/>
        </w:rPr>
        <w:t xml:space="preserve"> 27 count</w:t>
      </w:r>
      <w:r w:rsidR="00811CE0" w:rsidRPr="00AC4E58">
        <w:rPr>
          <w:rFonts w:ascii="Arial" w:hAnsi="Arial" w:cs="Arial"/>
          <w:sz w:val="24"/>
          <w:szCs w:val="24"/>
        </w:rPr>
        <w:t>i</w:t>
      </w:r>
      <w:r w:rsidR="002D5833" w:rsidRPr="00AC4E58">
        <w:rPr>
          <w:rFonts w:ascii="Arial" w:hAnsi="Arial" w:cs="Arial"/>
          <w:sz w:val="24"/>
          <w:szCs w:val="24"/>
        </w:rPr>
        <w:t xml:space="preserve">es, there are a total of 2,346 </w:t>
      </w:r>
      <w:r w:rsidR="00401AB6" w:rsidRPr="00AC4E58">
        <w:rPr>
          <w:rFonts w:ascii="Arial" w:hAnsi="Arial" w:cs="Arial"/>
          <w:sz w:val="24"/>
          <w:szCs w:val="24"/>
        </w:rPr>
        <w:t>PWS</w:t>
      </w:r>
      <w:r w:rsidR="00721F39" w:rsidRPr="00AC4E58">
        <w:rPr>
          <w:rFonts w:ascii="Arial" w:hAnsi="Arial" w:cs="Arial"/>
          <w:sz w:val="24"/>
          <w:szCs w:val="24"/>
        </w:rPr>
        <w:t xml:space="preserve"> with no perchlorate detections during the review period</w:t>
      </w:r>
      <w:r w:rsidR="002D5833" w:rsidRPr="00AC4E58">
        <w:rPr>
          <w:rFonts w:ascii="Arial" w:hAnsi="Arial" w:cs="Arial"/>
          <w:sz w:val="24"/>
          <w:szCs w:val="24"/>
        </w:rPr>
        <w:t xml:space="preserve">, </w:t>
      </w:r>
      <w:r w:rsidR="0049712D">
        <w:rPr>
          <w:rFonts w:ascii="Arial" w:hAnsi="Arial" w:cs="Arial"/>
          <w:sz w:val="24"/>
          <w:szCs w:val="24"/>
        </w:rPr>
        <w:t xml:space="preserve">all of </w:t>
      </w:r>
      <w:r w:rsidR="002D5833" w:rsidRPr="00AC4E58">
        <w:rPr>
          <w:rFonts w:ascii="Arial" w:hAnsi="Arial" w:cs="Arial"/>
          <w:sz w:val="24"/>
          <w:szCs w:val="24"/>
        </w:rPr>
        <w:t xml:space="preserve">which are either community water systems or non-transient non-community water systems. These </w:t>
      </w:r>
      <w:r w:rsidR="00401AB6" w:rsidRPr="00AC4E58">
        <w:rPr>
          <w:rFonts w:ascii="Arial" w:hAnsi="Arial" w:cs="Arial"/>
          <w:sz w:val="24"/>
          <w:szCs w:val="24"/>
        </w:rPr>
        <w:t>PWS</w:t>
      </w:r>
      <w:r w:rsidR="002D5833" w:rsidRPr="00AC4E58">
        <w:rPr>
          <w:rFonts w:ascii="Arial" w:hAnsi="Arial" w:cs="Arial"/>
          <w:sz w:val="24"/>
          <w:szCs w:val="24"/>
        </w:rPr>
        <w:t xml:space="preserve"> </w:t>
      </w:r>
      <w:r w:rsidR="00811CE0" w:rsidRPr="00AC4E58">
        <w:rPr>
          <w:rFonts w:ascii="Arial" w:hAnsi="Arial" w:cs="Arial"/>
          <w:sz w:val="24"/>
          <w:szCs w:val="24"/>
        </w:rPr>
        <w:t xml:space="preserve">own a total of </w:t>
      </w:r>
      <w:r w:rsidR="005F55A9" w:rsidRPr="00AC4E58">
        <w:rPr>
          <w:rFonts w:ascii="Arial" w:hAnsi="Arial" w:cs="Arial"/>
          <w:sz w:val="24"/>
          <w:szCs w:val="24"/>
        </w:rPr>
        <w:t xml:space="preserve">7,194 drinking water sources </w:t>
      </w:r>
      <w:r w:rsidR="002D486D">
        <w:rPr>
          <w:rFonts w:ascii="Arial" w:hAnsi="Arial" w:cs="Arial"/>
          <w:sz w:val="24"/>
          <w:szCs w:val="24"/>
        </w:rPr>
        <w:t xml:space="preserve">that are </w:t>
      </w:r>
      <w:r>
        <w:rPr>
          <w:rFonts w:ascii="Arial" w:hAnsi="Arial" w:cs="Arial"/>
          <w:sz w:val="24"/>
          <w:szCs w:val="24"/>
        </w:rPr>
        <w:t>expected to incur</w:t>
      </w:r>
      <w:r w:rsidRPr="00AC4E58">
        <w:rPr>
          <w:rFonts w:ascii="Arial" w:hAnsi="Arial" w:cs="Arial"/>
          <w:sz w:val="24"/>
          <w:szCs w:val="24"/>
        </w:rPr>
        <w:t xml:space="preserve"> </w:t>
      </w:r>
      <w:r>
        <w:rPr>
          <w:rFonts w:ascii="Arial" w:hAnsi="Arial" w:cs="Arial"/>
          <w:sz w:val="24"/>
          <w:szCs w:val="24"/>
        </w:rPr>
        <w:t xml:space="preserve">cost increases as the result of </w:t>
      </w:r>
      <w:r w:rsidR="00CA73D0" w:rsidRPr="00AC4E58">
        <w:rPr>
          <w:rFonts w:ascii="Arial" w:hAnsi="Arial" w:cs="Arial"/>
          <w:sz w:val="24"/>
          <w:szCs w:val="24"/>
        </w:rPr>
        <w:lastRenderedPageBreak/>
        <w:t>increased monitoring frequencies</w:t>
      </w:r>
      <w:r w:rsidR="00811CE0" w:rsidRPr="00AC4E58">
        <w:rPr>
          <w:rFonts w:ascii="Arial" w:hAnsi="Arial" w:cs="Arial"/>
          <w:sz w:val="24"/>
          <w:szCs w:val="24"/>
        </w:rPr>
        <w:t>.</w:t>
      </w:r>
      <w:r w:rsidR="005F55A9" w:rsidRPr="00AC4E58">
        <w:rPr>
          <w:rFonts w:ascii="Arial" w:hAnsi="Arial" w:cs="Arial"/>
          <w:sz w:val="24"/>
          <w:szCs w:val="24"/>
        </w:rPr>
        <w:t xml:space="preserve"> </w:t>
      </w:r>
      <w:r w:rsidR="00811CE0">
        <w:rPr>
          <w:rFonts w:ascii="Arial" w:hAnsi="Arial" w:cs="Arial"/>
          <w:sz w:val="24"/>
          <w:szCs w:val="24"/>
        </w:rPr>
        <w:t>T</w:t>
      </w:r>
      <w:r w:rsidR="005F55A9" w:rsidRPr="00B41FDC">
        <w:rPr>
          <w:rFonts w:ascii="Arial" w:hAnsi="Arial" w:cs="Arial"/>
          <w:sz w:val="24"/>
          <w:szCs w:val="24"/>
        </w:rPr>
        <w:t xml:space="preserve">he State Water Board estimates that 3,257 of those sources are privately owned and 3,735 are locally owned </w:t>
      </w:r>
      <w:r w:rsidR="004A2891" w:rsidRPr="00B41FDC">
        <w:rPr>
          <w:rFonts w:ascii="Arial" w:hAnsi="Arial" w:cs="Arial"/>
          <w:sz w:val="24"/>
          <w:szCs w:val="24"/>
        </w:rPr>
        <w:t xml:space="preserve">by public agencies such as </w:t>
      </w:r>
      <w:r w:rsidR="005F55A9" w:rsidRPr="00B41FDC">
        <w:rPr>
          <w:rFonts w:ascii="Arial" w:hAnsi="Arial" w:cs="Arial"/>
          <w:sz w:val="24"/>
          <w:szCs w:val="24"/>
        </w:rPr>
        <w:t xml:space="preserve">municipal water systems.  The private water systems may also be businesses, such as a mobile home park, restaurant, or processing plant, which will incur indirect impacts and the private and </w:t>
      </w:r>
      <w:r w:rsidR="00A9094D" w:rsidRPr="00B41FDC">
        <w:rPr>
          <w:rFonts w:ascii="Arial" w:hAnsi="Arial" w:cs="Arial"/>
          <w:sz w:val="24"/>
          <w:szCs w:val="24"/>
        </w:rPr>
        <w:t>public agency</w:t>
      </w:r>
      <w:r w:rsidR="005F55A9" w:rsidRPr="00B41FDC">
        <w:rPr>
          <w:rFonts w:ascii="Arial" w:hAnsi="Arial" w:cs="Arial"/>
          <w:sz w:val="24"/>
          <w:szCs w:val="24"/>
        </w:rPr>
        <w:t xml:space="preserve"> water systems are likely to include businesses within their service areas. </w:t>
      </w:r>
      <w:r w:rsidR="009135C4">
        <w:rPr>
          <w:rFonts w:ascii="Arial" w:hAnsi="Arial" w:cs="Arial"/>
          <w:sz w:val="24"/>
          <w:szCs w:val="24"/>
        </w:rPr>
        <w:t xml:space="preserve"> </w:t>
      </w:r>
    </w:p>
    <w:p w14:paraId="278B97F6" w14:textId="6CC5113C" w:rsidR="005F55A9" w:rsidRPr="005B02FC" w:rsidRDefault="003A229F">
      <w:pPr>
        <w:pStyle w:val="ListParagraph"/>
        <w:spacing w:after="240" w:line="240" w:lineRule="auto"/>
        <w:ind w:left="547"/>
        <w:contextualSpacing w:val="0"/>
        <w:rPr>
          <w:rFonts w:ascii="Arial" w:hAnsi="Arial" w:cs="Arial"/>
          <w:sz w:val="24"/>
          <w:szCs w:val="24"/>
        </w:rPr>
      </w:pPr>
      <w:r w:rsidRPr="005B02FC">
        <w:rPr>
          <w:rFonts w:ascii="Arial" w:hAnsi="Arial" w:cs="Arial"/>
          <w:sz w:val="24"/>
          <w:szCs w:val="24"/>
        </w:rPr>
        <w:t>In Phase II, all monitoring frequencies for all PWS are expected to remain unchanged from Phase I</w:t>
      </w:r>
      <w:r w:rsidR="00D74EFA" w:rsidRPr="005B02FC">
        <w:rPr>
          <w:rFonts w:ascii="Arial" w:hAnsi="Arial" w:cs="Arial"/>
          <w:sz w:val="24"/>
          <w:szCs w:val="24"/>
        </w:rPr>
        <w:t xml:space="preserve">, </w:t>
      </w:r>
      <w:r w:rsidRPr="005B02FC">
        <w:rPr>
          <w:rFonts w:ascii="Arial" w:hAnsi="Arial" w:cs="Arial"/>
          <w:sz w:val="24"/>
          <w:szCs w:val="24"/>
        </w:rPr>
        <w:t xml:space="preserve">and </w:t>
      </w:r>
      <w:r w:rsidR="00D74EFA" w:rsidRPr="005B02FC">
        <w:rPr>
          <w:rFonts w:ascii="Arial" w:hAnsi="Arial" w:cs="Arial"/>
          <w:sz w:val="24"/>
          <w:szCs w:val="24"/>
        </w:rPr>
        <w:t xml:space="preserve">any </w:t>
      </w:r>
      <w:r w:rsidRPr="005B02FC">
        <w:rPr>
          <w:rFonts w:ascii="Arial" w:hAnsi="Arial" w:cs="Arial"/>
          <w:sz w:val="24"/>
          <w:szCs w:val="24"/>
        </w:rPr>
        <w:t xml:space="preserve">new cost impacts are due to </w:t>
      </w:r>
      <w:r w:rsidR="00D74EFA" w:rsidRPr="005B02FC">
        <w:rPr>
          <w:rFonts w:ascii="Arial" w:hAnsi="Arial" w:cs="Arial"/>
          <w:sz w:val="24"/>
          <w:szCs w:val="24"/>
        </w:rPr>
        <w:t xml:space="preserve">the increase in </w:t>
      </w:r>
      <w:r w:rsidR="0049712D">
        <w:rPr>
          <w:rFonts w:ascii="Arial" w:hAnsi="Arial" w:cs="Arial"/>
          <w:sz w:val="24"/>
          <w:szCs w:val="24"/>
        </w:rPr>
        <w:t>per-</w:t>
      </w:r>
      <w:r w:rsidR="00D74EFA" w:rsidRPr="005B02FC">
        <w:rPr>
          <w:rFonts w:ascii="Arial" w:hAnsi="Arial" w:cs="Arial"/>
          <w:sz w:val="24"/>
          <w:szCs w:val="24"/>
        </w:rPr>
        <w:t>analysis cost</w:t>
      </w:r>
      <w:r w:rsidR="0049712D">
        <w:rPr>
          <w:rFonts w:ascii="Arial" w:hAnsi="Arial" w:cs="Arial"/>
          <w:sz w:val="24"/>
          <w:szCs w:val="24"/>
        </w:rPr>
        <w:t xml:space="preserve"> from</w:t>
      </w:r>
      <w:r w:rsidR="00D74EFA" w:rsidRPr="005B02FC">
        <w:rPr>
          <w:rFonts w:ascii="Arial" w:hAnsi="Arial" w:cs="Arial"/>
          <w:sz w:val="24"/>
          <w:szCs w:val="24"/>
        </w:rPr>
        <w:t xml:space="preserve"> $56 to $224. </w:t>
      </w:r>
      <w:r w:rsidRPr="005B02FC">
        <w:rPr>
          <w:rFonts w:ascii="Arial" w:hAnsi="Arial" w:cs="Arial"/>
          <w:sz w:val="24"/>
          <w:szCs w:val="24"/>
        </w:rPr>
        <w:t xml:space="preserve"> </w:t>
      </w:r>
      <w:r w:rsidR="00F03687">
        <w:rPr>
          <w:rFonts w:ascii="Arial" w:hAnsi="Arial" w:cs="Arial"/>
          <w:sz w:val="24"/>
          <w:szCs w:val="24"/>
        </w:rPr>
        <w:t xml:space="preserve">Therefore, </w:t>
      </w:r>
      <w:r w:rsidR="00481EFC">
        <w:rPr>
          <w:rFonts w:ascii="Arial" w:hAnsi="Arial" w:cs="Arial"/>
          <w:sz w:val="24"/>
          <w:szCs w:val="24"/>
        </w:rPr>
        <w:t xml:space="preserve">all </w:t>
      </w:r>
      <w:r w:rsidR="00F03687">
        <w:rPr>
          <w:rFonts w:ascii="Arial" w:hAnsi="Arial" w:cs="Arial"/>
          <w:sz w:val="24"/>
          <w:szCs w:val="24"/>
        </w:rPr>
        <w:t>PWS</w:t>
      </w:r>
      <w:r w:rsidR="00191DB5">
        <w:rPr>
          <w:rFonts w:ascii="Arial" w:hAnsi="Arial" w:cs="Arial"/>
          <w:sz w:val="24"/>
          <w:szCs w:val="24"/>
        </w:rPr>
        <w:t xml:space="preserve"> with sources</w:t>
      </w:r>
      <w:r w:rsidR="00F03687">
        <w:rPr>
          <w:rFonts w:ascii="Arial" w:hAnsi="Arial" w:cs="Arial"/>
          <w:sz w:val="24"/>
          <w:szCs w:val="24"/>
        </w:rPr>
        <w:t xml:space="preserve"> that </w:t>
      </w:r>
      <w:r w:rsidR="00383EC7">
        <w:rPr>
          <w:rFonts w:ascii="Arial" w:hAnsi="Arial" w:cs="Arial"/>
          <w:sz w:val="24"/>
          <w:szCs w:val="24"/>
        </w:rPr>
        <w:t xml:space="preserve">require </w:t>
      </w:r>
      <w:r w:rsidR="00383EC7" w:rsidRPr="00D750B6">
        <w:rPr>
          <w:rFonts w:ascii="Arial" w:hAnsi="Arial" w:cs="Arial"/>
          <w:sz w:val="24"/>
          <w:szCs w:val="24"/>
        </w:rPr>
        <w:t>monitoring</w:t>
      </w:r>
      <w:r w:rsidR="00481EFC" w:rsidRPr="00D750B6">
        <w:rPr>
          <w:rFonts w:ascii="Arial" w:hAnsi="Arial" w:cs="Arial"/>
          <w:sz w:val="24"/>
          <w:szCs w:val="24"/>
        </w:rPr>
        <w:t xml:space="preserve"> for perchlorate, regardless of the monitoring frequency, </w:t>
      </w:r>
      <w:r w:rsidR="00191DB5" w:rsidRPr="00D750B6">
        <w:rPr>
          <w:rFonts w:ascii="Arial" w:hAnsi="Arial" w:cs="Arial"/>
          <w:sz w:val="24"/>
          <w:szCs w:val="24"/>
        </w:rPr>
        <w:t xml:space="preserve">will be impacted. </w:t>
      </w:r>
      <w:r w:rsidR="00383EC7" w:rsidRPr="005B02FC">
        <w:rPr>
          <w:rFonts w:ascii="Arial" w:hAnsi="Arial" w:cs="Arial"/>
          <w:sz w:val="24"/>
          <w:szCs w:val="24"/>
        </w:rPr>
        <w:t>In summary,</w:t>
      </w:r>
      <w:r w:rsidR="00874D70" w:rsidRPr="00D750B6">
        <w:rPr>
          <w:rFonts w:ascii="Arial" w:hAnsi="Arial" w:cs="Arial"/>
          <w:sz w:val="24"/>
          <w:szCs w:val="24"/>
        </w:rPr>
        <w:t xml:space="preserve"> the</w:t>
      </w:r>
      <w:r w:rsidR="00D750B6" w:rsidRPr="005B02FC">
        <w:rPr>
          <w:rFonts w:ascii="Arial" w:hAnsi="Arial" w:cs="Arial"/>
          <w:sz w:val="24"/>
          <w:szCs w:val="24"/>
        </w:rPr>
        <w:t xml:space="preserve"> new</w:t>
      </w:r>
      <w:r w:rsidR="00A05A17" w:rsidRPr="00D750B6">
        <w:rPr>
          <w:rFonts w:ascii="Arial" w:hAnsi="Arial" w:cs="Arial"/>
          <w:sz w:val="24"/>
          <w:szCs w:val="24"/>
        </w:rPr>
        <w:t xml:space="preserve"> </w:t>
      </w:r>
      <w:r w:rsidR="00D750B6" w:rsidRPr="005B02FC">
        <w:rPr>
          <w:rFonts w:ascii="Arial" w:hAnsi="Arial" w:cs="Arial"/>
          <w:sz w:val="24"/>
          <w:szCs w:val="24"/>
        </w:rPr>
        <w:t xml:space="preserve">sample analysis </w:t>
      </w:r>
      <w:r w:rsidR="00A05A17" w:rsidRPr="00D750B6">
        <w:rPr>
          <w:rFonts w:ascii="Arial" w:hAnsi="Arial" w:cs="Arial"/>
          <w:sz w:val="24"/>
          <w:szCs w:val="24"/>
        </w:rPr>
        <w:t>cost</w:t>
      </w:r>
      <w:r w:rsidR="009135C4" w:rsidRPr="00D750B6">
        <w:rPr>
          <w:rFonts w:ascii="Arial" w:hAnsi="Arial" w:cs="Arial"/>
          <w:sz w:val="24"/>
          <w:szCs w:val="24"/>
        </w:rPr>
        <w:t xml:space="preserve"> impact</w:t>
      </w:r>
      <w:r w:rsidR="004E260B" w:rsidRPr="00D750B6">
        <w:rPr>
          <w:rFonts w:ascii="Arial" w:hAnsi="Arial" w:cs="Arial"/>
          <w:sz w:val="24"/>
          <w:szCs w:val="24"/>
        </w:rPr>
        <w:t>s</w:t>
      </w:r>
      <w:r w:rsidR="009135C4" w:rsidRPr="00D750B6">
        <w:rPr>
          <w:rFonts w:ascii="Arial" w:hAnsi="Arial" w:cs="Arial"/>
          <w:sz w:val="24"/>
          <w:szCs w:val="24"/>
        </w:rPr>
        <w:t xml:space="preserve"> 2,346 PWS </w:t>
      </w:r>
      <w:r w:rsidR="00A05A17" w:rsidRPr="00D750B6">
        <w:rPr>
          <w:rFonts w:ascii="Arial" w:hAnsi="Arial" w:cs="Arial"/>
          <w:sz w:val="24"/>
          <w:szCs w:val="24"/>
        </w:rPr>
        <w:t xml:space="preserve">(7,194 sources) </w:t>
      </w:r>
      <w:r w:rsidR="009135C4" w:rsidRPr="00D750B6">
        <w:rPr>
          <w:rFonts w:ascii="Arial" w:hAnsi="Arial" w:cs="Arial"/>
          <w:sz w:val="24"/>
          <w:szCs w:val="24"/>
        </w:rPr>
        <w:t xml:space="preserve">identified in Phase </w:t>
      </w:r>
      <w:r w:rsidR="004E260B" w:rsidRPr="00D750B6">
        <w:rPr>
          <w:rFonts w:ascii="Arial" w:hAnsi="Arial" w:cs="Arial"/>
          <w:sz w:val="24"/>
          <w:szCs w:val="24"/>
        </w:rPr>
        <w:t>I</w:t>
      </w:r>
      <w:r w:rsidR="00A05A17" w:rsidRPr="00D750B6">
        <w:rPr>
          <w:rFonts w:ascii="Arial" w:hAnsi="Arial" w:cs="Arial"/>
          <w:sz w:val="24"/>
          <w:szCs w:val="24"/>
        </w:rPr>
        <w:t>, as well as</w:t>
      </w:r>
      <w:r w:rsidR="004E260B" w:rsidRPr="00D750B6">
        <w:rPr>
          <w:rFonts w:ascii="Arial" w:hAnsi="Arial" w:cs="Arial"/>
          <w:sz w:val="24"/>
          <w:szCs w:val="24"/>
        </w:rPr>
        <w:t xml:space="preserve"> </w:t>
      </w:r>
      <w:r w:rsidR="00874D70" w:rsidRPr="00D750B6">
        <w:rPr>
          <w:rFonts w:ascii="Arial" w:hAnsi="Arial" w:cs="Arial"/>
          <w:sz w:val="24"/>
          <w:szCs w:val="24"/>
        </w:rPr>
        <w:t xml:space="preserve">1,501 </w:t>
      </w:r>
      <w:r w:rsidR="004E260B" w:rsidRPr="00D750B6">
        <w:rPr>
          <w:rFonts w:ascii="Arial" w:hAnsi="Arial" w:cs="Arial"/>
          <w:sz w:val="24"/>
          <w:szCs w:val="24"/>
        </w:rPr>
        <w:t>PWS</w:t>
      </w:r>
      <w:r w:rsidR="0019237A" w:rsidRPr="00D750B6">
        <w:rPr>
          <w:rFonts w:ascii="Arial" w:hAnsi="Arial" w:cs="Arial"/>
          <w:sz w:val="24"/>
          <w:szCs w:val="24"/>
        </w:rPr>
        <w:t xml:space="preserve"> (4,</w:t>
      </w:r>
      <w:r w:rsidR="00874D70" w:rsidRPr="00D750B6">
        <w:rPr>
          <w:rFonts w:ascii="Arial" w:hAnsi="Arial" w:cs="Arial"/>
          <w:sz w:val="24"/>
          <w:szCs w:val="24"/>
        </w:rPr>
        <w:t xml:space="preserve">849 </w:t>
      </w:r>
      <w:r w:rsidR="0019237A" w:rsidRPr="00D750B6">
        <w:rPr>
          <w:rFonts w:ascii="Arial" w:hAnsi="Arial" w:cs="Arial"/>
          <w:sz w:val="24"/>
          <w:szCs w:val="24"/>
        </w:rPr>
        <w:t xml:space="preserve">sources) </w:t>
      </w:r>
      <w:bookmarkStart w:id="1" w:name="_Hlk53066341"/>
      <w:r w:rsidR="00A05A17" w:rsidRPr="00D750B6">
        <w:rPr>
          <w:rFonts w:ascii="Arial" w:hAnsi="Arial" w:cs="Arial"/>
          <w:sz w:val="24"/>
          <w:szCs w:val="24"/>
        </w:rPr>
        <w:t xml:space="preserve">that are </w:t>
      </w:r>
      <w:r w:rsidR="00CA73D0" w:rsidRPr="00D750B6">
        <w:rPr>
          <w:rFonts w:ascii="Arial" w:hAnsi="Arial" w:cs="Arial"/>
          <w:sz w:val="24"/>
          <w:szCs w:val="24"/>
        </w:rPr>
        <w:t xml:space="preserve">expected </w:t>
      </w:r>
      <w:r w:rsidR="00A05A17" w:rsidRPr="00D750B6">
        <w:rPr>
          <w:rFonts w:ascii="Arial" w:hAnsi="Arial" w:cs="Arial"/>
          <w:sz w:val="24"/>
          <w:szCs w:val="24"/>
        </w:rPr>
        <w:t xml:space="preserve">to </w:t>
      </w:r>
      <w:r w:rsidR="0019237A" w:rsidRPr="00D750B6">
        <w:rPr>
          <w:rFonts w:ascii="Arial" w:hAnsi="Arial" w:cs="Arial"/>
          <w:sz w:val="24"/>
          <w:szCs w:val="24"/>
        </w:rPr>
        <w:t xml:space="preserve">remain </w:t>
      </w:r>
      <w:r w:rsidR="00874D70" w:rsidRPr="00D750B6">
        <w:rPr>
          <w:rFonts w:ascii="Arial" w:hAnsi="Arial" w:cs="Arial"/>
          <w:sz w:val="24"/>
          <w:szCs w:val="24"/>
        </w:rPr>
        <w:t xml:space="preserve">on </w:t>
      </w:r>
      <w:r w:rsidR="0019237A" w:rsidRPr="00D750B6">
        <w:rPr>
          <w:rFonts w:ascii="Arial" w:hAnsi="Arial" w:cs="Arial"/>
          <w:sz w:val="24"/>
          <w:szCs w:val="24"/>
        </w:rPr>
        <w:t>routine</w:t>
      </w:r>
      <w:r w:rsidR="00CA73D0" w:rsidRPr="00D750B6">
        <w:rPr>
          <w:rFonts w:ascii="Arial" w:hAnsi="Arial" w:cs="Arial"/>
          <w:sz w:val="24"/>
          <w:szCs w:val="24"/>
        </w:rPr>
        <w:t xml:space="preserve"> </w:t>
      </w:r>
      <w:r w:rsidR="0049712D">
        <w:rPr>
          <w:rFonts w:ascii="Arial" w:hAnsi="Arial" w:cs="Arial"/>
          <w:sz w:val="24"/>
          <w:szCs w:val="24"/>
        </w:rPr>
        <w:t xml:space="preserve">(once per three years) </w:t>
      </w:r>
      <w:r w:rsidR="00CA73D0" w:rsidRPr="00D750B6">
        <w:rPr>
          <w:rFonts w:ascii="Arial" w:hAnsi="Arial" w:cs="Arial"/>
          <w:sz w:val="24"/>
          <w:szCs w:val="24"/>
        </w:rPr>
        <w:t xml:space="preserve">monitoring </w:t>
      </w:r>
      <w:r w:rsidR="00874D70" w:rsidRPr="00D750B6">
        <w:rPr>
          <w:rFonts w:ascii="Arial" w:hAnsi="Arial" w:cs="Arial"/>
          <w:sz w:val="24"/>
          <w:szCs w:val="24"/>
        </w:rPr>
        <w:t>frequencies</w:t>
      </w:r>
      <w:r w:rsidR="00872078" w:rsidRPr="00D750B6">
        <w:rPr>
          <w:rFonts w:ascii="Arial" w:hAnsi="Arial" w:cs="Arial"/>
          <w:sz w:val="24"/>
          <w:szCs w:val="24"/>
        </w:rPr>
        <w:t xml:space="preserve"> (see </w:t>
      </w:r>
      <w:r w:rsidR="00187C8C">
        <w:rPr>
          <w:rFonts w:ascii="Arial" w:hAnsi="Arial" w:cs="Arial"/>
          <w:sz w:val="24"/>
          <w:szCs w:val="24"/>
        </w:rPr>
        <w:t xml:space="preserve">Appendix, </w:t>
      </w:r>
      <w:r w:rsidR="00872078" w:rsidRPr="00D750B6">
        <w:rPr>
          <w:rFonts w:ascii="Arial" w:hAnsi="Arial" w:cs="Arial"/>
          <w:sz w:val="24"/>
          <w:szCs w:val="24"/>
        </w:rPr>
        <w:t>Table I)</w:t>
      </w:r>
      <w:r w:rsidR="00874D70" w:rsidRPr="00D750B6">
        <w:rPr>
          <w:rFonts w:ascii="Arial" w:hAnsi="Arial" w:cs="Arial"/>
          <w:sz w:val="24"/>
          <w:szCs w:val="24"/>
        </w:rPr>
        <w:t>.</w:t>
      </w:r>
    </w:p>
    <w:bookmarkEnd w:id="1"/>
    <w:p w14:paraId="23C3F2E2" w14:textId="0BC46F52" w:rsidR="005F55A9" w:rsidRPr="002366EE" w:rsidRDefault="005F55A9" w:rsidP="002366EE">
      <w:pPr>
        <w:pStyle w:val="ListParagraph"/>
        <w:spacing w:after="240" w:line="240" w:lineRule="auto"/>
        <w:ind w:left="547"/>
        <w:contextualSpacing w:val="0"/>
        <w:rPr>
          <w:rFonts w:ascii="Arial" w:hAnsi="Arial" w:cs="Arial"/>
          <w:sz w:val="24"/>
          <w:szCs w:val="24"/>
        </w:rPr>
      </w:pPr>
      <w:r w:rsidRPr="00B41FDC">
        <w:rPr>
          <w:rFonts w:ascii="Arial" w:hAnsi="Arial" w:cs="Arial"/>
          <w:sz w:val="24"/>
          <w:szCs w:val="24"/>
        </w:rPr>
        <w:t>The types of businesses expected to be indirectly impacted consist of every type of business that requires potable drinking water for either their customers, employees, or processes/operations.</w:t>
      </w:r>
    </w:p>
    <w:p w14:paraId="6FCBCE1C" w14:textId="4219A840" w:rsidR="005F55A9" w:rsidRPr="002366EE" w:rsidRDefault="005F55A9" w:rsidP="00F34646">
      <w:pPr>
        <w:pStyle w:val="ListParagraph"/>
        <w:spacing w:after="240" w:line="240" w:lineRule="auto"/>
        <w:ind w:left="547"/>
        <w:contextualSpacing w:val="0"/>
        <w:rPr>
          <w:rFonts w:ascii="Arial" w:hAnsi="Arial" w:cs="Arial"/>
          <w:sz w:val="24"/>
          <w:szCs w:val="24"/>
        </w:rPr>
      </w:pPr>
      <w:r w:rsidRPr="00B41FDC">
        <w:rPr>
          <w:rFonts w:ascii="Arial" w:hAnsi="Arial" w:cs="Arial"/>
          <w:sz w:val="24"/>
          <w:szCs w:val="24"/>
        </w:rPr>
        <w:t xml:space="preserve">The State Water Board also does not have a means of estimating the percentage of businesses that meet the definition of a small business. </w:t>
      </w:r>
    </w:p>
    <w:p w14:paraId="64F7D100" w14:textId="22DA0D20" w:rsidR="005F55A9" w:rsidRPr="00B41FDC" w:rsidRDefault="00CE1F3F" w:rsidP="002366EE">
      <w:pPr>
        <w:pStyle w:val="ListParagraph"/>
        <w:numPr>
          <w:ilvl w:val="0"/>
          <w:numId w:val="2"/>
        </w:numPr>
        <w:spacing w:line="240" w:lineRule="auto"/>
        <w:ind w:left="540"/>
        <w:rPr>
          <w:rFonts w:ascii="Arial" w:hAnsi="Arial" w:cs="Arial"/>
          <w:sz w:val="24"/>
          <w:szCs w:val="24"/>
        </w:rPr>
      </w:pPr>
      <w:r w:rsidRPr="00CE1F3F">
        <w:rPr>
          <w:rFonts w:ascii="Arial" w:hAnsi="Arial" w:cs="Arial"/>
          <w:sz w:val="24"/>
          <w:szCs w:val="24"/>
          <w:u w:val="single"/>
        </w:rPr>
        <w:t>Businesses Created and Eliminated</w:t>
      </w:r>
      <w:r>
        <w:rPr>
          <w:rFonts w:ascii="Arial" w:hAnsi="Arial" w:cs="Arial"/>
          <w:sz w:val="24"/>
          <w:szCs w:val="24"/>
        </w:rPr>
        <w:br/>
      </w:r>
      <w:r w:rsidR="005F55A9" w:rsidRPr="00B41FDC">
        <w:rPr>
          <w:rFonts w:ascii="Arial" w:hAnsi="Arial" w:cs="Arial"/>
          <w:sz w:val="24"/>
          <w:szCs w:val="24"/>
        </w:rPr>
        <w:t>As noted above, the regulation directly impacts only PWS, which are not considered businesses or individuals, and are specifically excluded from the definition of a small business (Gov. Code § 11342.610(b)(8)).  Regardless, the proposed regulation is not expected to create or eliminate any businesses.  However, businesses providing laboratory analytical services for required monitoring may experience increased demand and there may be opportunities for companies to develop new analytical methods and treatment technologies to detect and address perchlorate.</w:t>
      </w:r>
    </w:p>
    <w:p w14:paraId="6B2C5BDD" w14:textId="77777777" w:rsidR="005F55A9" w:rsidRPr="00B41FDC" w:rsidRDefault="005F55A9" w:rsidP="002366EE">
      <w:pPr>
        <w:pStyle w:val="ListParagraph"/>
        <w:spacing w:line="240" w:lineRule="auto"/>
        <w:ind w:hanging="360"/>
        <w:rPr>
          <w:rFonts w:ascii="Arial" w:hAnsi="Arial" w:cs="Arial"/>
          <w:sz w:val="24"/>
          <w:szCs w:val="24"/>
        </w:rPr>
      </w:pPr>
    </w:p>
    <w:p w14:paraId="73CE07DA" w14:textId="425C3CA5" w:rsidR="005F55A9" w:rsidRPr="00AC4E58" w:rsidRDefault="00CE1F3F" w:rsidP="00F34646">
      <w:pPr>
        <w:pStyle w:val="ListParagraph"/>
        <w:numPr>
          <w:ilvl w:val="0"/>
          <w:numId w:val="2"/>
        </w:numPr>
        <w:spacing w:after="0" w:line="240" w:lineRule="auto"/>
        <w:ind w:left="540"/>
        <w:rPr>
          <w:rFonts w:ascii="Arial" w:hAnsi="Arial" w:cs="Arial"/>
          <w:sz w:val="24"/>
          <w:szCs w:val="24"/>
        </w:rPr>
      </w:pPr>
      <w:r w:rsidRPr="00AC4E58">
        <w:rPr>
          <w:rFonts w:ascii="Arial" w:hAnsi="Arial" w:cs="Arial"/>
          <w:sz w:val="24"/>
          <w:szCs w:val="24"/>
          <w:u w:val="single"/>
        </w:rPr>
        <w:t>Geographic Extent of Impacts</w:t>
      </w:r>
      <w:r w:rsidRPr="00AC4E58">
        <w:rPr>
          <w:rFonts w:ascii="Arial" w:hAnsi="Arial" w:cs="Arial"/>
          <w:sz w:val="24"/>
          <w:szCs w:val="24"/>
        </w:rPr>
        <w:br/>
      </w:r>
      <w:r w:rsidR="005F55A9" w:rsidRPr="00AC4E58">
        <w:rPr>
          <w:rFonts w:ascii="Arial" w:hAnsi="Arial" w:cs="Arial"/>
          <w:sz w:val="24"/>
          <w:szCs w:val="24"/>
        </w:rPr>
        <w:t xml:space="preserve">The impact is statewide.  Monitoring is required by all community and non-transient, non-community PWS; however, certain geographic areas were identified in the CEM, based on available data, as likely being more impacted by </w:t>
      </w:r>
      <w:r w:rsidR="00AC43A6" w:rsidRPr="00AC4E58">
        <w:rPr>
          <w:rFonts w:ascii="Arial" w:hAnsi="Arial" w:cs="Arial"/>
          <w:sz w:val="24"/>
          <w:szCs w:val="24"/>
        </w:rPr>
        <w:t>perchlorate and a revised DLR</w:t>
      </w:r>
      <w:r w:rsidR="005F55A9" w:rsidRPr="00AC4E58">
        <w:rPr>
          <w:rFonts w:ascii="Arial" w:hAnsi="Arial" w:cs="Arial"/>
          <w:sz w:val="24"/>
          <w:szCs w:val="24"/>
        </w:rPr>
        <w:t xml:space="preserve"> than others.  </w:t>
      </w:r>
      <w:r w:rsidR="00CD3A4B" w:rsidRPr="00AC4E58">
        <w:rPr>
          <w:rFonts w:ascii="Arial" w:hAnsi="Arial" w:cs="Arial"/>
          <w:sz w:val="24"/>
          <w:szCs w:val="24"/>
        </w:rPr>
        <w:t>For statewide monitoring, i</w:t>
      </w:r>
      <w:r w:rsidR="005F55A9" w:rsidRPr="00AC4E58">
        <w:rPr>
          <w:rFonts w:ascii="Arial" w:hAnsi="Arial" w:cs="Arial"/>
          <w:sz w:val="24"/>
          <w:szCs w:val="24"/>
        </w:rPr>
        <w:t xml:space="preserve">t is unlikely that </w:t>
      </w:r>
      <w:r w:rsidR="003964A7" w:rsidRPr="00AC4E58">
        <w:rPr>
          <w:rFonts w:ascii="Arial" w:hAnsi="Arial" w:cs="Arial"/>
          <w:sz w:val="24"/>
          <w:szCs w:val="24"/>
        </w:rPr>
        <w:t>each source</w:t>
      </w:r>
      <w:r w:rsidR="005F55A9" w:rsidRPr="00AC4E58">
        <w:rPr>
          <w:rFonts w:ascii="Arial" w:hAnsi="Arial" w:cs="Arial"/>
          <w:sz w:val="24"/>
          <w:szCs w:val="24"/>
        </w:rPr>
        <w:t xml:space="preserve"> that ha</w:t>
      </w:r>
      <w:r w:rsidR="003964A7" w:rsidRPr="00AC4E58">
        <w:rPr>
          <w:rFonts w:ascii="Arial" w:hAnsi="Arial" w:cs="Arial"/>
          <w:sz w:val="24"/>
          <w:szCs w:val="24"/>
        </w:rPr>
        <w:t>s</w:t>
      </w:r>
      <w:r w:rsidR="005F55A9" w:rsidRPr="00AC4E58">
        <w:rPr>
          <w:rFonts w:ascii="Arial" w:hAnsi="Arial" w:cs="Arial"/>
          <w:sz w:val="24"/>
          <w:szCs w:val="24"/>
        </w:rPr>
        <w:t xml:space="preserve"> not </w:t>
      </w:r>
      <w:r w:rsidR="003964A7" w:rsidRPr="00AC4E58">
        <w:rPr>
          <w:rFonts w:ascii="Arial" w:hAnsi="Arial" w:cs="Arial"/>
          <w:sz w:val="24"/>
          <w:szCs w:val="24"/>
        </w:rPr>
        <w:t xml:space="preserve">previously </w:t>
      </w:r>
      <w:r w:rsidR="005F55A9" w:rsidRPr="00AC4E58">
        <w:rPr>
          <w:rFonts w:ascii="Arial" w:hAnsi="Arial" w:cs="Arial"/>
          <w:sz w:val="24"/>
          <w:szCs w:val="24"/>
        </w:rPr>
        <w:t xml:space="preserve">had </w:t>
      </w:r>
      <w:r w:rsidR="003964A7" w:rsidRPr="00AC4E58">
        <w:rPr>
          <w:rFonts w:ascii="Arial" w:hAnsi="Arial" w:cs="Arial"/>
          <w:sz w:val="24"/>
          <w:szCs w:val="24"/>
        </w:rPr>
        <w:t xml:space="preserve">a </w:t>
      </w:r>
      <w:r w:rsidR="005F55A9" w:rsidRPr="00AC4E58">
        <w:rPr>
          <w:rFonts w:ascii="Arial" w:hAnsi="Arial" w:cs="Arial"/>
          <w:sz w:val="24"/>
          <w:szCs w:val="24"/>
        </w:rPr>
        <w:t xml:space="preserve">perchlorate detection would experience increased monitoring </w:t>
      </w:r>
      <w:r w:rsidR="00E03997" w:rsidRPr="00AC4E58">
        <w:rPr>
          <w:rFonts w:ascii="Arial" w:hAnsi="Arial" w:cs="Arial"/>
          <w:sz w:val="24"/>
          <w:szCs w:val="24"/>
        </w:rPr>
        <w:t xml:space="preserve">frequency </w:t>
      </w:r>
      <w:r w:rsidR="00CD3A4B" w:rsidRPr="00AC4E58">
        <w:rPr>
          <w:rFonts w:ascii="Arial" w:hAnsi="Arial" w:cs="Arial"/>
          <w:sz w:val="24"/>
          <w:szCs w:val="24"/>
        </w:rPr>
        <w:t xml:space="preserve">requirements but </w:t>
      </w:r>
      <w:r w:rsidR="00E03997" w:rsidRPr="00AC4E58">
        <w:rPr>
          <w:rFonts w:ascii="Arial" w:hAnsi="Arial" w:cs="Arial"/>
          <w:sz w:val="24"/>
          <w:szCs w:val="24"/>
        </w:rPr>
        <w:t xml:space="preserve">all </w:t>
      </w:r>
      <w:r w:rsidR="00CD3A4B" w:rsidRPr="00AC4E58">
        <w:rPr>
          <w:rFonts w:ascii="Arial" w:hAnsi="Arial" w:cs="Arial"/>
          <w:sz w:val="24"/>
          <w:szCs w:val="24"/>
        </w:rPr>
        <w:t>would be subject to an increased cost per sample analysis as projected in Phase 2 of the proposed regulation.</w:t>
      </w:r>
    </w:p>
    <w:p w14:paraId="42103C51" w14:textId="77777777" w:rsidR="005F55A9" w:rsidRPr="00B41FDC" w:rsidRDefault="005F55A9" w:rsidP="00F34646">
      <w:pPr>
        <w:pStyle w:val="ListParagraph"/>
        <w:spacing w:line="240" w:lineRule="auto"/>
        <w:ind w:left="540" w:hanging="360"/>
        <w:rPr>
          <w:rFonts w:ascii="Arial" w:hAnsi="Arial" w:cs="Arial"/>
          <w:sz w:val="24"/>
          <w:szCs w:val="24"/>
        </w:rPr>
      </w:pPr>
    </w:p>
    <w:p w14:paraId="04803A2A" w14:textId="17540E38" w:rsidR="005F55A9" w:rsidRDefault="00CE1F3F" w:rsidP="00F34646">
      <w:pPr>
        <w:pStyle w:val="ListParagraph"/>
        <w:numPr>
          <w:ilvl w:val="0"/>
          <w:numId w:val="2"/>
        </w:numPr>
        <w:spacing w:after="0" w:line="240" w:lineRule="auto"/>
        <w:ind w:left="540"/>
        <w:rPr>
          <w:rFonts w:ascii="Arial" w:hAnsi="Arial" w:cs="Arial"/>
          <w:sz w:val="24"/>
          <w:szCs w:val="24"/>
        </w:rPr>
      </w:pPr>
      <w:r w:rsidRPr="00CE1F3F">
        <w:rPr>
          <w:rFonts w:ascii="Arial" w:hAnsi="Arial" w:cs="Arial"/>
          <w:sz w:val="24"/>
          <w:szCs w:val="24"/>
          <w:u w:val="single"/>
        </w:rPr>
        <w:t>Jobs Created and Eliminated</w:t>
      </w:r>
      <w:r>
        <w:rPr>
          <w:rFonts w:ascii="Arial" w:hAnsi="Arial" w:cs="Arial"/>
          <w:sz w:val="24"/>
          <w:szCs w:val="24"/>
        </w:rPr>
        <w:br/>
      </w:r>
      <w:r w:rsidR="005F55A9" w:rsidRPr="00B41FDC">
        <w:rPr>
          <w:rFonts w:ascii="Arial" w:hAnsi="Arial" w:cs="Arial"/>
          <w:sz w:val="24"/>
          <w:szCs w:val="24"/>
        </w:rPr>
        <w:t>The frequency of drinking water sampling and analysis for perchlorate is expected to increase.  It is expected that current laboratory staffing would absorb the increased workload with minimal alteration to the analytical process.  Therefore, the proposed regulation is not expected to result in the creation or elimination of jobs within the state.</w:t>
      </w:r>
    </w:p>
    <w:p w14:paraId="5AB8F3AC" w14:textId="77777777" w:rsidR="00A2199C" w:rsidRPr="00A2199C" w:rsidRDefault="00A2199C" w:rsidP="00A2199C">
      <w:pPr>
        <w:spacing w:after="0" w:line="240" w:lineRule="auto"/>
        <w:rPr>
          <w:rFonts w:ascii="Arial" w:hAnsi="Arial" w:cs="Arial"/>
          <w:sz w:val="24"/>
          <w:szCs w:val="24"/>
        </w:rPr>
      </w:pPr>
    </w:p>
    <w:p w14:paraId="734495AA" w14:textId="77777777" w:rsidR="005F55A9" w:rsidRPr="00B41FDC" w:rsidRDefault="005F55A9" w:rsidP="002366EE">
      <w:pPr>
        <w:pStyle w:val="Heading3"/>
      </w:pPr>
      <w:r w:rsidRPr="00B41FDC">
        <w:lastRenderedPageBreak/>
        <w:t xml:space="preserve">Section B Estimated Costs (p. 2): </w:t>
      </w:r>
    </w:p>
    <w:p w14:paraId="29C3E0CC" w14:textId="5F33139F" w:rsidR="00C727B5" w:rsidRDefault="00FF2810" w:rsidP="00360786">
      <w:pPr>
        <w:pStyle w:val="ListParagraph"/>
        <w:numPr>
          <w:ilvl w:val="0"/>
          <w:numId w:val="13"/>
        </w:numPr>
        <w:spacing w:after="240" w:line="240" w:lineRule="auto"/>
        <w:ind w:left="540"/>
        <w:contextualSpacing w:val="0"/>
        <w:rPr>
          <w:rFonts w:ascii="Arial" w:hAnsi="Arial" w:cs="Arial"/>
          <w:sz w:val="24"/>
          <w:szCs w:val="24"/>
        </w:rPr>
      </w:pPr>
      <w:r w:rsidRPr="00AF2012">
        <w:rPr>
          <w:rFonts w:ascii="Arial" w:hAnsi="Arial" w:cs="Arial"/>
          <w:sz w:val="24"/>
          <w:szCs w:val="24"/>
          <w:u w:val="single"/>
        </w:rPr>
        <w:t>Lifetime Costs</w:t>
      </w:r>
      <w:r w:rsidRPr="00AF2012">
        <w:rPr>
          <w:rFonts w:ascii="Arial" w:hAnsi="Arial" w:cs="Arial"/>
          <w:sz w:val="24"/>
          <w:szCs w:val="24"/>
        </w:rPr>
        <w:br/>
      </w:r>
      <w:r w:rsidR="005F55A9" w:rsidRPr="00AF2012">
        <w:rPr>
          <w:rFonts w:ascii="Arial" w:hAnsi="Arial" w:cs="Arial"/>
          <w:sz w:val="24"/>
          <w:szCs w:val="24"/>
        </w:rPr>
        <w:t xml:space="preserve">Cost to businesses and individuals are assumed to result from PWS passing on the costs of compliance to their customers. </w:t>
      </w:r>
      <w:r w:rsidR="005F55A9" w:rsidRPr="00360786">
        <w:rPr>
          <w:rFonts w:ascii="Arial" w:hAnsi="Arial" w:cs="Arial"/>
          <w:sz w:val="24"/>
          <w:szCs w:val="24"/>
        </w:rPr>
        <w:t xml:space="preserve">The regulation does not have an end-date and therefore will not have a lifetime cost; however, the </w:t>
      </w:r>
      <w:r w:rsidR="00321E15" w:rsidRPr="00360786">
        <w:rPr>
          <w:rFonts w:ascii="Arial" w:hAnsi="Arial" w:cs="Arial"/>
          <w:sz w:val="24"/>
          <w:szCs w:val="24"/>
        </w:rPr>
        <w:t xml:space="preserve">lifetime cost </w:t>
      </w:r>
      <w:r w:rsidR="005F55A9" w:rsidRPr="00360786">
        <w:rPr>
          <w:rFonts w:ascii="Arial" w:hAnsi="Arial" w:cs="Arial"/>
          <w:sz w:val="24"/>
          <w:szCs w:val="24"/>
        </w:rPr>
        <w:t xml:space="preserve">without considering economic variability </w:t>
      </w:r>
      <w:r w:rsidR="00321E15" w:rsidRPr="00360786">
        <w:rPr>
          <w:rFonts w:ascii="Arial" w:hAnsi="Arial" w:cs="Arial"/>
          <w:sz w:val="24"/>
          <w:szCs w:val="24"/>
        </w:rPr>
        <w:t xml:space="preserve">can be estimated </w:t>
      </w:r>
      <w:r w:rsidR="005F55A9" w:rsidRPr="00360786">
        <w:rPr>
          <w:rFonts w:ascii="Arial" w:hAnsi="Arial" w:cs="Arial"/>
          <w:sz w:val="24"/>
          <w:szCs w:val="24"/>
        </w:rPr>
        <w:t>over 20 years</w:t>
      </w:r>
      <w:r w:rsidR="00B25018">
        <w:rPr>
          <w:rFonts w:ascii="Arial" w:hAnsi="Arial" w:cs="Arial"/>
          <w:sz w:val="24"/>
          <w:szCs w:val="24"/>
        </w:rPr>
        <w:t xml:space="preserve"> (see </w:t>
      </w:r>
      <w:r w:rsidR="00187C8C">
        <w:rPr>
          <w:rFonts w:ascii="Arial" w:hAnsi="Arial" w:cs="Arial"/>
          <w:sz w:val="24"/>
          <w:szCs w:val="24"/>
        </w:rPr>
        <w:t xml:space="preserve">Appendix, </w:t>
      </w:r>
      <w:r w:rsidR="00B25018">
        <w:rPr>
          <w:rFonts w:ascii="Arial" w:hAnsi="Arial" w:cs="Arial"/>
          <w:sz w:val="24"/>
          <w:szCs w:val="24"/>
        </w:rPr>
        <w:t>Table II)</w:t>
      </w:r>
      <w:r w:rsidR="00321E15" w:rsidRPr="00360786">
        <w:rPr>
          <w:rFonts w:ascii="Arial" w:hAnsi="Arial" w:cs="Arial"/>
          <w:sz w:val="24"/>
          <w:szCs w:val="24"/>
        </w:rPr>
        <w:t xml:space="preserve">. </w:t>
      </w:r>
      <w:r w:rsidR="005F55A9" w:rsidRPr="00360786">
        <w:rPr>
          <w:rFonts w:ascii="Arial" w:hAnsi="Arial" w:cs="Arial"/>
          <w:sz w:val="24"/>
          <w:szCs w:val="24"/>
        </w:rPr>
        <w:t xml:space="preserve"> </w:t>
      </w:r>
    </w:p>
    <w:p w14:paraId="06CBE753" w14:textId="7361B48D" w:rsidR="00C727B5" w:rsidRDefault="00C727B5" w:rsidP="00C727B5">
      <w:pPr>
        <w:pStyle w:val="ListParagraph"/>
        <w:spacing w:after="240" w:line="240" w:lineRule="auto"/>
        <w:ind w:left="540"/>
        <w:contextualSpacing w:val="0"/>
        <w:rPr>
          <w:rFonts w:ascii="Arial" w:hAnsi="Arial" w:cs="Arial"/>
          <w:sz w:val="24"/>
          <w:szCs w:val="24"/>
        </w:rPr>
      </w:pPr>
      <w:r>
        <w:rPr>
          <w:rFonts w:ascii="Arial" w:hAnsi="Arial" w:cs="Arial"/>
          <w:sz w:val="24"/>
          <w:szCs w:val="24"/>
        </w:rPr>
        <w:t xml:space="preserve">For Phase I, the estimated cost impact is due to </w:t>
      </w:r>
      <w:r w:rsidR="002D3F54">
        <w:rPr>
          <w:rFonts w:ascii="Arial" w:hAnsi="Arial" w:cs="Arial"/>
          <w:sz w:val="24"/>
          <w:szCs w:val="24"/>
        </w:rPr>
        <w:t>7,194</w:t>
      </w:r>
      <w:r>
        <w:rPr>
          <w:rFonts w:ascii="Arial" w:hAnsi="Arial" w:cs="Arial"/>
          <w:sz w:val="24"/>
          <w:szCs w:val="24"/>
        </w:rPr>
        <w:t xml:space="preserve"> sources shifting from </w:t>
      </w:r>
      <w:r w:rsidR="006B3331">
        <w:rPr>
          <w:rFonts w:ascii="Arial" w:hAnsi="Arial" w:cs="Arial"/>
          <w:sz w:val="24"/>
          <w:szCs w:val="24"/>
        </w:rPr>
        <w:t xml:space="preserve">monitoring once every three years to monitoring once per </w:t>
      </w:r>
      <w:r w:rsidR="005B02FC">
        <w:rPr>
          <w:rFonts w:ascii="Arial" w:hAnsi="Arial" w:cs="Arial"/>
          <w:sz w:val="24"/>
          <w:szCs w:val="24"/>
        </w:rPr>
        <w:t>quarter.</w:t>
      </w:r>
      <w:r>
        <w:rPr>
          <w:rFonts w:ascii="Arial" w:hAnsi="Arial" w:cs="Arial"/>
          <w:sz w:val="24"/>
          <w:szCs w:val="24"/>
        </w:rPr>
        <w:t xml:space="preserve"> Therefore, cost estimates are presented as new costs, not as additional cost differences.</w:t>
      </w:r>
      <w:r w:rsidR="002D3F54" w:rsidRPr="002D3F54">
        <w:rPr>
          <w:rFonts w:ascii="Arial" w:hAnsi="Arial" w:cs="Arial"/>
          <w:sz w:val="24"/>
          <w:szCs w:val="24"/>
        </w:rPr>
        <w:t xml:space="preserve"> </w:t>
      </w:r>
      <w:r w:rsidR="002D3F54" w:rsidRPr="00360786">
        <w:rPr>
          <w:rFonts w:ascii="Arial" w:hAnsi="Arial" w:cs="Arial"/>
          <w:sz w:val="24"/>
          <w:szCs w:val="24"/>
        </w:rPr>
        <w:t xml:space="preserve">Phase I has an annual cost of </w:t>
      </w:r>
      <w:r w:rsidR="002D3F54" w:rsidRPr="002426D8">
        <w:rPr>
          <w:rFonts w:ascii="Arial" w:hAnsi="Arial" w:cs="Arial"/>
          <w:b/>
          <w:bCs/>
          <w:sz w:val="24"/>
          <w:szCs w:val="24"/>
        </w:rPr>
        <w:t>$1,</w:t>
      </w:r>
      <w:r w:rsidR="002D3F54">
        <w:rPr>
          <w:rFonts w:ascii="Arial" w:hAnsi="Arial" w:cs="Arial"/>
          <w:b/>
          <w:bCs/>
          <w:sz w:val="24"/>
          <w:szCs w:val="24"/>
        </w:rPr>
        <w:t>611,456.</w:t>
      </w:r>
    </w:p>
    <w:p w14:paraId="6CD8B703" w14:textId="3987807C" w:rsidR="006C56D6" w:rsidRDefault="004F7A4E" w:rsidP="00C727B5">
      <w:pPr>
        <w:pStyle w:val="ListParagraph"/>
        <w:spacing w:after="240" w:line="240" w:lineRule="auto"/>
        <w:ind w:left="540"/>
        <w:contextualSpacing w:val="0"/>
        <w:rPr>
          <w:rFonts w:ascii="Arial" w:hAnsi="Arial" w:cs="Arial"/>
          <w:bCs/>
          <w:sz w:val="24"/>
          <w:szCs w:val="24"/>
        </w:rPr>
      </w:pPr>
      <w:r>
        <w:rPr>
          <w:rFonts w:ascii="Arial" w:hAnsi="Arial" w:cs="Arial"/>
          <w:sz w:val="24"/>
          <w:szCs w:val="24"/>
        </w:rPr>
        <w:t xml:space="preserve">For Phase II, the total annual cost </w:t>
      </w:r>
      <w:r w:rsidRPr="00952CC8">
        <w:rPr>
          <w:rFonts w:ascii="Arial" w:hAnsi="Arial" w:cs="Arial"/>
          <w:sz w:val="24"/>
          <w:szCs w:val="24"/>
        </w:rPr>
        <w:t xml:space="preserve">is derived from </w:t>
      </w:r>
      <w:r>
        <w:rPr>
          <w:rFonts w:ascii="Arial" w:hAnsi="Arial" w:cs="Arial"/>
          <w:sz w:val="24"/>
          <w:szCs w:val="24"/>
        </w:rPr>
        <w:t xml:space="preserve">sum of </w:t>
      </w:r>
      <w:r w:rsidRPr="00952CC8">
        <w:rPr>
          <w:rFonts w:ascii="Arial" w:hAnsi="Arial" w:cs="Arial"/>
          <w:sz w:val="24"/>
          <w:szCs w:val="24"/>
        </w:rPr>
        <w:t xml:space="preserve">the increased cost per analysis for </w:t>
      </w:r>
      <w:r>
        <w:rPr>
          <w:rFonts w:ascii="Arial" w:hAnsi="Arial" w:cs="Arial"/>
          <w:sz w:val="24"/>
          <w:szCs w:val="24"/>
        </w:rPr>
        <w:t xml:space="preserve">the </w:t>
      </w:r>
      <w:r w:rsidRPr="00952CC8">
        <w:rPr>
          <w:rFonts w:ascii="Arial" w:hAnsi="Arial" w:cs="Arial"/>
          <w:sz w:val="24"/>
          <w:szCs w:val="24"/>
        </w:rPr>
        <w:t xml:space="preserve">sources </w:t>
      </w:r>
      <w:r>
        <w:rPr>
          <w:rFonts w:ascii="Arial" w:hAnsi="Arial" w:cs="Arial"/>
          <w:sz w:val="24"/>
          <w:szCs w:val="24"/>
        </w:rPr>
        <w:t>with</w:t>
      </w:r>
      <w:r w:rsidRPr="00952CC8">
        <w:rPr>
          <w:rFonts w:ascii="Arial" w:hAnsi="Arial" w:cs="Arial"/>
          <w:sz w:val="24"/>
          <w:szCs w:val="24"/>
        </w:rPr>
        <w:t xml:space="preserve"> increased monitoring schedules (4 analyses /annually) and </w:t>
      </w:r>
      <w:r>
        <w:rPr>
          <w:rFonts w:ascii="Arial" w:hAnsi="Arial" w:cs="Arial"/>
          <w:sz w:val="24"/>
          <w:szCs w:val="24"/>
        </w:rPr>
        <w:t>the</w:t>
      </w:r>
      <w:r w:rsidRPr="00952CC8">
        <w:rPr>
          <w:rFonts w:ascii="Arial" w:hAnsi="Arial" w:cs="Arial"/>
          <w:sz w:val="24"/>
          <w:szCs w:val="24"/>
        </w:rPr>
        <w:t xml:space="preserve"> sources </w:t>
      </w:r>
      <w:r>
        <w:rPr>
          <w:rFonts w:ascii="Arial" w:hAnsi="Arial" w:cs="Arial"/>
          <w:sz w:val="24"/>
          <w:szCs w:val="24"/>
        </w:rPr>
        <w:t xml:space="preserve">with </w:t>
      </w:r>
      <w:r w:rsidRPr="00952CC8">
        <w:rPr>
          <w:rFonts w:ascii="Arial" w:hAnsi="Arial" w:cs="Arial"/>
          <w:sz w:val="24"/>
          <w:szCs w:val="24"/>
        </w:rPr>
        <w:t xml:space="preserve">routine monitoring (1 analysis/ every 3 years).  </w:t>
      </w:r>
      <w:r>
        <w:rPr>
          <w:rFonts w:ascii="Arial" w:hAnsi="Arial" w:cs="Arial"/>
          <w:sz w:val="24"/>
          <w:szCs w:val="24"/>
        </w:rPr>
        <w:t xml:space="preserve">In Phase II, all </w:t>
      </w:r>
      <w:r w:rsidRPr="00360786">
        <w:rPr>
          <w:rFonts w:ascii="Arial" w:hAnsi="Arial" w:cs="Arial"/>
          <w:sz w:val="24"/>
          <w:szCs w:val="24"/>
        </w:rPr>
        <w:t>source</w:t>
      </w:r>
      <w:r>
        <w:rPr>
          <w:rFonts w:ascii="Arial" w:hAnsi="Arial" w:cs="Arial"/>
          <w:sz w:val="24"/>
          <w:szCs w:val="24"/>
        </w:rPr>
        <w:t>s</w:t>
      </w:r>
      <w:r w:rsidRPr="00360786">
        <w:rPr>
          <w:rFonts w:ascii="Arial" w:hAnsi="Arial" w:cs="Arial"/>
          <w:sz w:val="24"/>
          <w:szCs w:val="24"/>
        </w:rPr>
        <w:t xml:space="preserve"> </w:t>
      </w:r>
      <w:r>
        <w:rPr>
          <w:rFonts w:ascii="Arial" w:hAnsi="Arial" w:cs="Arial"/>
          <w:sz w:val="24"/>
          <w:szCs w:val="24"/>
        </w:rPr>
        <w:t>will</w:t>
      </w:r>
      <w:r w:rsidRPr="00360786">
        <w:rPr>
          <w:rFonts w:ascii="Arial" w:hAnsi="Arial" w:cs="Arial"/>
          <w:sz w:val="24"/>
          <w:szCs w:val="24"/>
        </w:rPr>
        <w:t xml:space="preserve"> have a</w:t>
      </w:r>
      <w:r>
        <w:rPr>
          <w:rFonts w:ascii="Arial" w:hAnsi="Arial" w:cs="Arial"/>
          <w:sz w:val="24"/>
          <w:szCs w:val="24"/>
        </w:rPr>
        <w:t xml:space="preserve"> </w:t>
      </w:r>
      <w:r w:rsidRPr="00360786">
        <w:rPr>
          <w:rFonts w:ascii="Arial" w:hAnsi="Arial" w:cs="Arial"/>
          <w:sz w:val="24"/>
          <w:szCs w:val="24"/>
        </w:rPr>
        <w:t>cost per analysis of $224.</w:t>
      </w:r>
      <w:r>
        <w:rPr>
          <w:rFonts w:ascii="Arial" w:hAnsi="Arial" w:cs="Arial"/>
          <w:bCs/>
          <w:sz w:val="24"/>
          <w:szCs w:val="24"/>
        </w:rPr>
        <w:t xml:space="preserve">  T</w:t>
      </w:r>
      <w:r w:rsidR="002D3F54">
        <w:rPr>
          <w:rFonts w:ascii="Arial" w:hAnsi="Arial" w:cs="Arial"/>
          <w:bCs/>
          <w:sz w:val="24"/>
          <w:szCs w:val="24"/>
        </w:rPr>
        <w:t xml:space="preserve">his cost impacts 7,194 sources </w:t>
      </w:r>
      <w:r>
        <w:rPr>
          <w:rFonts w:ascii="Arial" w:hAnsi="Arial" w:cs="Arial"/>
          <w:bCs/>
          <w:sz w:val="24"/>
          <w:szCs w:val="24"/>
        </w:rPr>
        <w:t>switching to quarterly monitoring</w:t>
      </w:r>
      <w:r w:rsidR="002D3F54">
        <w:rPr>
          <w:rFonts w:ascii="Arial" w:hAnsi="Arial" w:cs="Arial"/>
          <w:bCs/>
          <w:sz w:val="24"/>
          <w:szCs w:val="24"/>
        </w:rPr>
        <w:t xml:space="preserve"> in Phase I, 304 sources already on quarterly monitoring</w:t>
      </w:r>
      <w:r>
        <w:rPr>
          <w:rFonts w:ascii="Arial" w:hAnsi="Arial" w:cs="Arial"/>
          <w:bCs/>
          <w:sz w:val="24"/>
          <w:szCs w:val="24"/>
        </w:rPr>
        <w:t>,</w:t>
      </w:r>
      <w:r w:rsidR="002D3F54">
        <w:rPr>
          <w:rFonts w:ascii="Arial" w:hAnsi="Arial" w:cs="Arial"/>
          <w:bCs/>
          <w:sz w:val="24"/>
          <w:szCs w:val="24"/>
        </w:rPr>
        <w:t xml:space="preserve"> and 4,849 sources expected to remain on </w:t>
      </w:r>
      <w:r w:rsidR="005B02FC">
        <w:rPr>
          <w:rFonts w:ascii="Arial" w:hAnsi="Arial" w:cs="Arial"/>
          <w:bCs/>
          <w:sz w:val="24"/>
          <w:szCs w:val="24"/>
        </w:rPr>
        <w:t xml:space="preserve">routine </w:t>
      </w:r>
      <w:r w:rsidR="002D3F54">
        <w:rPr>
          <w:rFonts w:ascii="Arial" w:hAnsi="Arial" w:cs="Arial"/>
          <w:bCs/>
          <w:sz w:val="24"/>
          <w:szCs w:val="24"/>
        </w:rPr>
        <w:t>monitoring</w:t>
      </w:r>
      <w:r w:rsidR="006F17A7">
        <w:rPr>
          <w:rFonts w:ascii="Arial" w:hAnsi="Arial" w:cs="Arial"/>
          <w:bCs/>
          <w:sz w:val="24"/>
          <w:szCs w:val="24"/>
        </w:rPr>
        <w:t xml:space="preserve">. </w:t>
      </w:r>
    </w:p>
    <w:p w14:paraId="6A80B9E3" w14:textId="0B396B3E" w:rsidR="006C56D6" w:rsidRPr="003F3AE0" w:rsidRDefault="006C56D6" w:rsidP="00C727B5">
      <w:pPr>
        <w:pStyle w:val="ListParagraph"/>
        <w:spacing w:after="240" w:line="240" w:lineRule="auto"/>
        <w:ind w:left="540"/>
        <w:contextualSpacing w:val="0"/>
        <w:rPr>
          <w:rFonts w:ascii="Arial" w:hAnsi="Arial" w:cs="Arial"/>
          <w:sz w:val="24"/>
          <w:szCs w:val="24"/>
        </w:rPr>
      </w:pPr>
      <w:r>
        <w:rPr>
          <w:rFonts w:ascii="Arial" w:hAnsi="Arial" w:cs="Arial"/>
          <w:bCs/>
          <w:sz w:val="24"/>
          <w:szCs w:val="24"/>
        </w:rPr>
        <w:t>Two</w:t>
      </w:r>
      <w:r w:rsidR="00B64EB3">
        <w:rPr>
          <w:rFonts w:ascii="Arial" w:hAnsi="Arial" w:cs="Arial"/>
          <w:bCs/>
          <w:sz w:val="24"/>
          <w:szCs w:val="24"/>
        </w:rPr>
        <w:t xml:space="preserve"> </w:t>
      </w:r>
      <w:r>
        <w:rPr>
          <w:rFonts w:ascii="Arial" w:hAnsi="Arial" w:cs="Arial"/>
          <w:bCs/>
          <w:sz w:val="24"/>
          <w:szCs w:val="24"/>
        </w:rPr>
        <w:t>costs, 304 sources already on quarterly monitoring (</w:t>
      </w:r>
      <w:r>
        <w:rPr>
          <w:rFonts w:ascii="Arial" w:hAnsi="Arial" w:cs="Arial"/>
          <w:b/>
          <w:bCs/>
          <w:sz w:val="24"/>
          <w:szCs w:val="24"/>
        </w:rPr>
        <w:t>$272,384</w:t>
      </w:r>
      <w:r w:rsidRPr="006C56D6">
        <w:rPr>
          <w:rFonts w:ascii="Arial" w:hAnsi="Arial" w:cs="Arial"/>
          <w:sz w:val="24"/>
          <w:szCs w:val="24"/>
        </w:rPr>
        <w:t>)</w:t>
      </w:r>
      <w:r>
        <w:rPr>
          <w:rFonts w:ascii="Arial" w:hAnsi="Arial" w:cs="Arial"/>
          <w:b/>
          <w:bCs/>
          <w:sz w:val="24"/>
          <w:szCs w:val="24"/>
        </w:rPr>
        <w:t xml:space="preserve"> </w:t>
      </w:r>
      <w:r>
        <w:rPr>
          <w:rFonts w:ascii="Arial" w:hAnsi="Arial" w:cs="Arial"/>
          <w:bCs/>
          <w:sz w:val="24"/>
          <w:szCs w:val="24"/>
        </w:rPr>
        <w:t xml:space="preserve">and 4,849 sources expected to remain on </w:t>
      </w:r>
      <w:r w:rsidR="005B02FC">
        <w:rPr>
          <w:rFonts w:ascii="Arial" w:hAnsi="Arial" w:cs="Arial"/>
          <w:bCs/>
          <w:sz w:val="24"/>
          <w:szCs w:val="24"/>
        </w:rPr>
        <w:t>routine</w:t>
      </w:r>
      <w:r w:rsidR="005B02FC">
        <w:rPr>
          <w:rFonts w:ascii="Arial" w:hAnsi="Arial" w:cs="Arial"/>
          <w:bCs/>
          <w:sz w:val="24"/>
          <w:szCs w:val="24"/>
        </w:rPr>
        <w:t xml:space="preserve"> </w:t>
      </w:r>
      <w:r>
        <w:rPr>
          <w:rFonts w:ascii="Arial" w:hAnsi="Arial" w:cs="Arial"/>
          <w:bCs/>
          <w:sz w:val="24"/>
          <w:szCs w:val="24"/>
        </w:rPr>
        <w:t>monitoring (</w:t>
      </w:r>
      <w:r>
        <w:rPr>
          <w:rFonts w:ascii="Arial" w:hAnsi="Arial" w:cs="Arial"/>
          <w:b/>
          <w:bCs/>
          <w:sz w:val="24"/>
          <w:szCs w:val="24"/>
        </w:rPr>
        <w:t>$362,059</w:t>
      </w:r>
      <w:r>
        <w:rPr>
          <w:rFonts w:ascii="Arial" w:hAnsi="Arial" w:cs="Arial"/>
          <w:sz w:val="24"/>
          <w:szCs w:val="24"/>
        </w:rPr>
        <w:t xml:space="preserve">) were not </w:t>
      </w:r>
      <w:r w:rsidR="005B02FC">
        <w:rPr>
          <w:rFonts w:ascii="Arial" w:hAnsi="Arial" w:cs="Arial"/>
          <w:sz w:val="24"/>
          <w:szCs w:val="24"/>
        </w:rPr>
        <w:t>quantified</w:t>
      </w:r>
      <w:r w:rsidR="005B02FC">
        <w:rPr>
          <w:rFonts w:ascii="Arial" w:hAnsi="Arial" w:cs="Arial"/>
          <w:sz w:val="24"/>
          <w:szCs w:val="24"/>
        </w:rPr>
        <w:t xml:space="preserve"> </w:t>
      </w:r>
      <w:r>
        <w:rPr>
          <w:rFonts w:ascii="Arial" w:hAnsi="Arial" w:cs="Arial"/>
          <w:sz w:val="24"/>
          <w:szCs w:val="24"/>
        </w:rPr>
        <w:t xml:space="preserve">in the Addendum to the Initial Statement of Reasons. This information will be </w:t>
      </w:r>
      <w:r w:rsidR="005B02FC">
        <w:rPr>
          <w:rFonts w:ascii="Arial" w:hAnsi="Arial" w:cs="Arial"/>
          <w:sz w:val="24"/>
          <w:szCs w:val="24"/>
        </w:rPr>
        <w:t>explained</w:t>
      </w:r>
      <w:r w:rsidR="005B02FC">
        <w:rPr>
          <w:rFonts w:ascii="Arial" w:hAnsi="Arial" w:cs="Arial"/>
          <w:sz w:val="24"/>
          <w:szCs w:val="24"/>
        </w:rPr>
        <w:t xml:space="preserve"> </w:t>
      </w:r>
      <w:r>
        <w:rPr>
          <w:rFonts w:ascii="Arial" w:hAnsi="Arial" w:cs="Arial"/>
          <w:sz w:val="24"/>
          <w:szCs w:val="24"/>
        </w:rPr>
        <w:t xml:space="preserve">in the Final Statement of Reasons. </w:t>
      </w:r>
    </w:p>
    <w:p w14:paraId="19EEC6B3" w14:textId="690D3EF2" w:rsidR="002D3F54" w:rsidRDefault="006F17A7" w:rsidP="00C727B5">
      <w:pPr>
        <w:pStyle w:val="ListParagraph"/>
        <w:spacing w:after="240" w:line="240" w:lineRule="auto"/>
        <w:ind w:left="540"/>
        <w:contextualSpacing w:val="0"/>
        <w:rPr>
          <w:rFonts w:ascii="Arial" w:hAnsi="Arial" w:cs="Arial"/>
          <w:sz w:val="24"/>
          <w:szCs w:val="24"/>
        </w:rPr>
      </w:pPr>
      <w:r>
        <w:rPr>
          <w:rFonts w:ascii="Arial" w:hAnsi="Arial" w:cs="Arial"/>
          <w:bCs/>
          <w:sz w:val="24"/>
          <w:szCs w:val="24"/>
        </w:rPr>
        <w:t xml:space="preserve">Phase II has </w:t>
      </w:r>
      <w:r w:rsidR="004F7A4E">
        <w:rPr>
          <w:rFonts w:ascii="Arial" w:hAnsi="Arial" w:cs="Arial"/>
          <w:bCs/>
          <w:sz w:val="24"/>
          <w:szCs w:val="24"/>
        </w:rPr>
        <w:t>an</w:t>
      </w:r>
      <w:r>
        <w:rPr>
          <w:rFonts w:ascii="Arial" w:hAnsi="Arial" w:cs="Arial"/>
          <w:bCs/>
          <w:sz w:val="24"/>
          <w:szCs w:val="24"/>
        </w:rPr>
        <w:t xml:space="preserve"> estimated annual cost of </w:t>
      </w:r>
      <w:r w:rsidRPr="002426D8">
        <w:rPr>
          <w:rFonts w:ascii="Arial" w:hAnsi="Arial" w:cs="Arial"/>
          <w:b/>
          <w:bCs/>
          <w:sz w:val="24"/>
          <w:szCs w:val="24"/>
        </w:rPr>
        <w:t>$</w:t>
      </w:r>
      <w:r>
        <w:rPr>
          <w:rFonts w:ascii="Arial" w:hAnsi="Arial" w:cs="Arial"/>
          <w:b/>
          <w:bCs/>
          <w:sz w:val="24"/>
          <w:szCs w:val="24"/>
        </w:rPr>
        <w:t>7,080,267 (</w:t>
      </w:r>
      <w:r w:rsidR="004F7A4E">
        <w:rPr>
          <w:rFonts w:ascii="Arial" w:hAnsi="Arial" w:cs="Arial"/>
          <w:b/>
          <w:bCs/>
          <w:sz w:val="24"/>
          <w:szCs w:val="24"/>
        </w:rPr>
        <w:t>$6,445,824 + $272,384 + $362,059</w:t>
      </w:r>
      <w:r w:rsidR="004F7A4E" w:rsidRPr="006C56D6">
        <w:rPr>
          <w:rFonts w:ascii="Arial" w:hAnsi="Arial" w:cs="Arial"/>
          <w:b/>
          <w:bCs/>
          <w:sz w:val="24"/>
          <w:szCs w:val="24"/>
        </w:rPr>
        <w:t>)</w:t>
      </w:r>
      <w:r w:rsidR="006C56D6">
        <w:rPr>
          <w:rFonts w:ascii="Arial" w:hAnsi="Arial" w:cs="Arial"/>
          <w:sz w:val="24"/>
          <w:szCs w:val="24"/>
        </w:rPr>
        <w:t>.</w:t>
      </w:r>
    </w:p>
    <w:p w14:paraId="7362E7AC" w14:textId="7F3065E7" w:rsidR="00AF2012" w:rsidRDefault="00D930E4" w:rsidP="005B02FC">
      <w:pPr>
        <w:pStyle w:val="ListParagraph"/>
        <w:spacing w:after="240" w:line="240" w:lineRule="auto"/>
        <w:ind w:left="540"/>
        <w:contextualSpacing w:val="0"/>
        <w:rPr>
          <w:rFonts w:ascii="Arial" w:hAnsi="Arial" w:cs="Arial"/>
          <w:sz w:val="24"/>
          <w:szCs w:val="24"/>
        </w:rPr>
      </w:pPr>
      <w:r w:rsidRPr="00360786">
        <w:rPr>
          <w:rFonts w:ascii="Arial" w:hAnsi="Arial" w:cs="Arial"/>
          <w:sz w:val="24"/>
          <w:szCs w:val="24"/>
        </w:rPr>
        <w:t xml:space="preserve">Phase I, which occurs for the first three years has an </w:t>
      </w:r>
      <w:r w:rsidR="00155C3D" w:rsidRPr="00360786">
        <w:rPr>
          <w:rFonts w:ascii="Arial" w:hAnsi="Arial" w:cs="Arial"/>
          <w:sz w:val="24"/>
          <w:szCs w:val="24"/>
        </w:rPr>
        <w:t xml:space="preserve">estimated </w:t>
      </w:r>
      <w:r w:rsidRPr="00360786">
        <w:rPr>
          <w:rFonts w:ascii="Arial" w:hAnsi="Arial" w:cs="Arial"/>
          <w:sz w:val="24"/>
          <w:szCs w:val="24"/>
        </w:rPr>
        <w:t xml:space="preserve">cost of </w:t>
      </w:r>
      <w:r w:rsidR="0061198F" w:rsidRPr="002426D8">
        <w:rPr>
          <w:rFonts w:ascii="Arial" w:hAnsi="Arial" w:cs="Arial"/>
          <w:b/>
          <w:bCs/>
          <w:sz w:val="24"/>
          <w:szCs w:val="24"/>
        </w:rPr>
        <w:t>$4,</w:t>
      </w:r>
      <w:r w:rsidR="004F7A4E">
        <w:rPr>
          <w:rFonts w:ascii="Arial" w:hAnsi="Arial" w:cs="Arial"/>
          <w:b/>
          <w:bCs/>
          <w:sz w:val="24"/>
          <w:szCs w:val="24"/>
        </w:rPr>
        <w:t>834</w:t>
      </w:r>
      <w:r w:rsidR="0061198F" w:rsidRPr="002426D8">
        <w:rPr>
          <w:rFonts w:ascii="Arial" w:hAnsi="Arial" w:cs="Arial"/>
          <w:b/>
          <w:bCs/>
          <w:sz w:val="24"/>
          <w:szCs w:val="24"/>
        </w:rPr>
        <w:t>,</w:t>
      </w:r>
      <w:r w:rsidR="004F7A4E">
        <w:rPr>
          <w:rFonts w:ascii="Arial" w:hAnsi="Arial" w:cs="Arial"/>
          <w:b/>
          <w:bCs/>
          <w:sz w:val="24"/>
          <w:szCs w:val="24"/>
        </w:rPr>
        <w:t>368</w:t>
      </w:r>
      <w:r w:rsidR="004F7A4E">
        <w:rPr>
          <w:rFonts w:ascii="Arial" w:hAnsi="Arial" w:cs="Arial"/>
          <w:sz w:val="24"/>
          <w:szCs w:val="24"/>
        </w:rPr>
        <w:t xml:space="preserve"> </w:t>
      </w:r>
      <w:r w:rsidR="0061198F" w:rsidRPr="002426D8">
        <w:rPr>
          <w:rFonts w:ascii="Arial" w:hAnsi="Arial" w:cs="Arial"/>
          <w:sz w:val="24"/>
          <w:szCs w:val="24"/>
        </w:rPr>
        <w:t>(</w:t>
      </w:r>
      <w:r w:rsidR="0061198F" w:rsidRPr="0061198F">
        <w:rPr>
          <w:rFonts w:ascii="Arial" w:hAnsi="Arial" w:cs="Arial"/>
          <w:b/>
          <w:bCs/>
          <w:sz w:val="24"/>
          <w:szCs w:val="24"/>
        </w:rPr>
        <w:t>$</w:t>
      </w:r>
      <w:r w:rsidR="002D3F54" w:rsidRPr="002426D8">
        <w:rPr>
          <w:rFonts w:ascii="Arial" w:hAnsi="Arial" w:cs="Arial"/>
          <w:b/>
          <w:bCs/>
          <w:sz w:val="24"/>
          <w:szCs w:val="24"/>
        </w:rPr>
        <w:t>1,</w:t>
      </w:r>
      <w:r w:rsidR="002D3F54">
        <w:rPr>
          <w:rFonts w:ascii="Arial" w:hAnsi="Arial" w:cs="Arial"/>
          <w:b/>
          <w:bCs/>
          <w:sz w:val="24"/>
          <w:szCs w:val="24"/>
        </w:rPr>
        <w:t xml:space="preserve">611,456 </w:t>
      </w:r>
      <w:r w:rsidR="00155C3D" w:rsidRPr="00360786">
        <w:rPr>
          <w:rFonts w:ascii="Arial" w:hAnsi="Arial" w:cs="Arial"/>
          <w:sz w:val="24"/>
          <w:szCs w:val="24"/>
        </w:rPr>
        <w:t>X 3 years)</w:t>
      </w:r>
      <w:r w:rsidRPr="00360786">
        <w:rPr>
          <w:rFonts w:ascii="Arial" w:hAnsi="Arial" w:cs="Arial"/>
          <w:sz w:val="24"/>
          <w:szCs w:val="24"/>
        </w:rPr>
        <w:t xml:space="preserve">, and Phase II, which occurs for the subsequent </w:t>
      </w:r>
      <w:r w:rsidR="006C56D6">
        <w:rPr>
          <w:rFonts w:ascii="Arial" w:hAnsi="Arial" w:cs="Arial"/>
          <w:sz w:val="24"/>
          <w:szCs w:val="24"/>
        </w:rPr>
        <w:t xml:space="preserve">17 </w:t>
      </w:r>
      <w:r w:rsidRPr="00360786">
        <w:rPr>
          <w:rFonts w:ascii="Arial" w:hAnsi="Arial" w:cs="Arial"/>
          <w:sz w:val="24"/>
          <w:szCs w:val="24"/>
        </w:rPr>
        <w:t>years has an</w:t>
      </w:r>
      <w:r w:rsidR="00155C3D" w:rsidRPr="00360786">
        <w:rPr>
          <w:rFonts w:ascii="Arial" w:hAnsi="Arial" w:cs="Arial"/>
          <w:sz w:val="24"/>
          <w:szCs w:val="24"/>
        </w:rPr>
        <w:t xml:space="preserve"> estimated cost of </w:t>
      </w:r>
      <w:r w:rsidR="0061198F" w:rsidRPr="002426D8">
        <w:rPr>
          <w:rFonts w:ascii="Arial" w:hAnsi="Arial" w:cs="Arial"/>
          <w:b/>
          <w:bCs/>
          <w:sz w:val="24"/>
          <w:szCs w:val="24"/>
        </w:rPr>
        <w:t>$</w:t>
      </w:r>
      <w:r w:rsidR="004F7A4E">
        <w:rPr>
          <w:rFonts w:ascii="Arial" w:hAnsi="Arial" w:cs="Arial"/>
          <w:b/>
          <w:bCs/>
          <w:sz w:val="24"/>
          <w:szCs w:val="24"/>
        </w:rPr>
        <w:t>120,364,533</w:t>
      </w:r>
      <w:r w:rsidR="0061198F">
        <w:rPr>
          <w:rFonts w:ascii="Arial" w:hAnsi="Arial" w:cs="Arial"/>
          <w:sz w:val="24"/>
          <w:szCs w:val="24"/>
        </w:rPr>
        <w:t xml:space="preserve"> (</w:t>
      </w:r>
      <w:r w:rsidR="0061198F" w:rsidRPr="00DB0882">
        <w:rPr>
          <w:rFonts w:ascii="Arial" w:hAnsi="Arial" w:cs="Arial"/>
          <w:b/>
          <w:bCs/>
          <w:sz w:val="24"/>
          <w:szCs w:val="24"/>
        </w:rPr>
        <w:t>$</w:t>
      </w:r>
      <w:r w:rsidR="004F7A4E">
        <w:rPr>
          <w:rFonts w:ascii="Arial" w:hAnsi="Arial" w:cs="Arial"/>
          <w:b/>
          <w:bCs/>
          <w:sz w:val="24"/>
          <w:szCs w:val="24"/>
        </w:rPr>
        <w:t>7,080,267</w:t>
      </w:r>
      <w:r w:rsidR="0061198F">
        <w:rPr>
          <w:rFonts w:ascii="Arial" w:hAnsi="Arial" w:cs="Arial"/>
          <w:sz w:val="24"/>
          <w:szCs w:val="24"/>
        </w:rPr>
        <w:t xml:space="preserve"> </w:t>
      </w:r>
      <w:r w:rsidR="00AF2012" w:rsidRPr="00360786">
        <w:rPr>
          <w:rFonts w:ascii="Arial" w:hAnsi="Arial" w:cs="Arial"/>
          <w:sz w:val="24"/>
          <w:szCs w:val="24"/>
        </w:rPr>
        <w:t>X</w:t>
      </w:r>
      <w:r w:rsidR="00155C3D" w:rsidRPr="00360786">
        <w:rPr>
          <w:rFonts w:ascii="Arial" w:hAnsi="Arial" w:cs="Arial"/>
          <w:sz w:val="24"/>
          <w:szCs w:val="24"/>
        </w:rPr>
        <w:t xml:space="preserve"> 17 years).</w:t>
      </w:r>
      <w:r w:rsidR="00115EF9" w:rsidRPr="00360786">
        <w:rPr>
          <w:rFonts w:ascii="Arial" w:hAnsi="Arial" w:cs="Arial"/>
          <w:sz w:val="24"/>
          <w:szCs w:val="24"/>
        </w:rPr>
        <w:t xml:space="preserve">  </w:t>
      </w:r>
    </w:p>
    <w:p w14:paraId="45F33D91" w14:textId="44D7B058" w:rsidR="00AF2012" w:rsidRPr="00360786" w:rsidRDefault="00AF2012" w:rsidP="00360786">
      <w:pPr>
        <w:pStyle w:val="ListParagraph"/>
        <w:spacing w:after="240" w:line="240" w:lineRule="auto"/>
        <w:ind w:left="540"/>
        <w:contextualSpacing w:val="0"/>
        <w:rPr>
          <w:rFonts w:ascii="Arial" w:hAnsi="Arial" w:cs="Arial"/>
          <w:sz w:val="24"/>
          <w:szCs w:val="24"/>
        </w:rPr>
      </w:pPr>
      <w:r w:rsidRPr="00360786">
        <w:rPr>
          <w:rFonts w:ascii="Arial" w:hAnsi="Arial" w:cs="Arial"/>
          <w:sz w:val="24"/>
          <w:szCs w:val="24"/>
        </w:rPr>
        <w:t xml:space="preserve">The estimated lifetime cost </w:t>
      </w:r>
      <w:r w:rsidR="005E0224">
        <w:rPr>
          <w:rFonts w:ascii="Arial" w:hAnsi="Arial" w:cs="Arial"/>
          <w:sz w:val="24"/>
          <w:szCs w:val="24"/>
        </w:rPr>
        <w:t>is</w:t>
      </w:r>
      <w:r w:rsidR="005E0224" w:rsidRPr="00360786">
        <w:rPr>
          <w:rFonts w:ascii="Arial" w:hAnsi="Arial" w:cs="Arial"/>
          <w:sz w:val="24"/>
          <w:szCs w:val="24"/>
        </w:rPr>
        <w:t xml:space="preserve"> </w:t>
      </w:r>
      <w:r w:rsidR="005E0224" w:rsidRPr="00360786">
        <w:rPr>
          <w:rFonts w:ascii="Arial" w:hAnsi="Arial" w:cs="Arial"/>
          <w:b/>
          <w:bCs/>
          <w:sz w:val="24"/>
          <w:szCs w:val="24"/>
        </w:rPr>
        <w:t>$</w:t>
      </w:r>
      <w:r w:rsidR="004F7A4E">
        <w:rPr>
          <w:rFonts w:ascii="Arial" w:hAnsi="Arial" w:cs="Arial"/>
          <w:b/>
          <w:bCs/>
          <w:sz w:val="24"/>
          <w:szCs w:val="24"/>
        </w:rPr>
        <w:t>125,198,901</w:t>
      </w:r>
      <w:r w:rsidR="005E0224" w:rsidRPr="00360786">
        <w:rPr>
          <w:rFonts w:ascii="Arial" w:hAnsi="Arial" w:cs="Arial"/>
          <w:sz w:val="24"/>
          <w:szCs w:val="24"/>
        </w:rPr>
        <w:t xml:space="preserve">, which is </w:t>
      </w:r>
      <w:r w:rsidR="005E0224">
        <w:rPr>
          <w:rFonts w:ascii="Arial" w:hAnsi="Arial" w:cs="Arial"/>
          <w:sz w:val="24"/>
          <w:szCs w:val="24"/>
        </w:rPr>
        <w:t xml:space="preserve">the </w:t>
      </w:r>
      <w:r w:rsidR="005E0224" w:rsidRPr="00360786">
        <w:rPr>
          <w:rFonts w:ascii="Arial" w:hAnsi="Arial" w:cs="Arial"/>
          <w:sz w:val="24"/>
          <w:szCs w:val="24"/>
        </w:rPr>
        <w:t>sum of costs for Phase I and Phase II ($</w:t>
      </w:r>
      <w:r w:rsidR="00B64EB3">
        <w:rPr>
          <w:rFonts w:ascii="Arial" w:hAnsi="Arial" w:cs="Arial"/>
          <w:sz w:val="24"/>
          <w:szCs w:val="24"/>
        </w:rPr>
        <w:t>4,834,368</w:t>
      </w:r>
      <w:r w:rsidR="001659E1" w:rsidRPr="001659E1">
        <w:rPr>
          <w:rFonts w:ascii="Arial" w:hAnsi="Arial" w:cs="Arial"/>
          <w:sz w:val="24"/>
          <w:szCs w:val="24"/>
        </w:rPr>
        <w:t xml:space="preserve"> </w:t>
      </w:r>
      <w:r w:rsidR="005E0224" w:rsidRPr="00360786">
        <w:rPr>
          <w:rFonts w:ascii="Arial" w:hAnsi="Arial" w:cs="Arial"/>
          <w:sz w:val="24"/>
          <w:szCs w:val="24"/>
        </w:rPr>
        <w:t>+ $</w:t>
      </w:r>
      <w:r w:rsidR="00B64EB3">
        <w:rPr>
          <w:rFonts w:ascii="Arial" w:hAnsi="Arial" w:cs="Arial"/>
          <w:sz w:val="24"/>
          <w:szCs w:val="24"/>
        </w:rPr>
        <w:t>120,364,533</w:t>
      </w:r>
      <w:r w:rsidR="005E0224" w:rsidRPr="00360786">
        <w:rPr>
          <w:rFonts w:ascii="Arial" w:hAnsi="Arial" w:cs="Arial"/>
          <w:sz w:val="24"/>
          <w:szCs w:val="24"/>
        </w:rPr>
        <w:t xml:space="preserve">). </w:t>
      </w:r>
    </w:p>
    <w:p w14:paraId="7E5D7985" w14:textId="373A8BA6" w:rsidR="005F55A9" w:rsidRPr="00B41FDC" w:rsidRDefault="0041089B" w:rsidP="00360786">
      <w:pPr>
        <w:pStyle w:val="ListParagraph"/>
        <w:spacing w:line="240" w:lineRule="auto"/>
        <w:ind w:left="540"/>
        <w:rPr>
          <w:rFonts w:ascii="Arial" w:hAnsi="Arial" w:cs="Arial"/>
          <w:sz w:val="24"/>
          <w:szCs w:val="24"/>
        </w:rPr>
      </w:pPr>
      <w:r w:rsidRPr="00360786">
        <w:rPr>
          <w:rFonts w:ascii="Arial" w:hAnsi="Arial" w:cs="Arial"/>
          <w:color w:val="FF0000"/>
          <w:sz w:val="24"/>
          <w:szCs w:val="24"/>
        </w:rPr>
        <w:t xml:space="preserve"> </w:t>
      </w:r>
      <w:r w:rsidR="005F55A9" w:rsidRPr="00B41FDC">
        <w:rPr>
          <w:rFonts w:ascii="Arial" w:hAnsi="Arial" w:cs="Arial"/>
          <w:sz w:val="24"/>
          <w:szCs w:val="24"/>
        </w:rPr>
        <w:t xml:space="preserve">(a): </w:t>
      </w:r>
      <w:r w:rsidR="005F55A9" w:rsidRPr="00B41FDC">
        <w:rPr>
          <w:rFonts w:ascii="Arial" w:hAnsi="Arial" w:cs="Arial"/>
          <w:sz w:val="24"/>
          <w:szCs w:val="24"/>
          <w:u w:val="single"/>
        </w:rPr>
        <w:t>Small Business Costs</w:t>
      </w:r>
      <w:r w:rsidR="005F55A9" w:rsidRPr="00B41FDC">
        <w:rPr>
          <w:rFonts w:ascii="Arial" w:hAnsi="Arial" w:cs="Arial"/>
          <w:sz w:val="24"/>
          <w:szCs w:val="24"/>
        </w:rPr>
        <w:br/>
        <w:t>As noted earlier, PWS are excluded from the definition of a small business.  Additionally, the State Water Board does not track the number or types of businesses either associated with or within the service area of PWS.</w:t>
      </w:r>
    </w:p>
    <w:p w14:paraId="17F7C9F9" w14:textId="77777777" w:rsidR="005F55A9" w:rsidRPr="00B41FDC" w:rsidRDefault="005F55A9" w:rsidP="00360786">
      <w:pPr>
        <w:pStyle w:val="ListParagraph"/>
        <w:spacing w:line="240" w:lineRule="auto"/>
        <w:ind w:left="540"/>
        <w:rPr>
          <w:rFonts w:ascii="Arial" w:hAnsi="Arial" w:cs="Arial"/>
          <w:sz w:val="24"/>
          <w:szCs w:val="24"/>
        </w:rPr>
      </w:pPr>
    </w:p>
    <w:p w14:paraId="630BD102" w14:textId="20B943B3" w:rsidR="005F55A9" w:rsidRPr="00BC14FC" w:rsidRDefault="005F55A9" w:rsidP="00360786">
      <w:pPr>
        <w:pStyle w:val="ListParagraph"/>
        <w:spacing w:line="240" w:lineRule="auto"/>
        <w:ind w:left="540"/>
        <w:rPr>
          <w:rFonts w:ascii="Arial" w:hAnsi="Arial" w:cs="Arial"/>
          <w:sz w:val="24"/>
          <w:szCs w:val="24"/>
        </w:rPr>
      </w:pPr>
      <w:r w:rsidRPr="00B41FDC">
        <w:rPr>
          <w:rFonts w:ascii="Arial" w:hAnsi="Arial" w:cs="Arial"/>
          <w:sz w:val="24"/>
          <w:szCs w:val="24"/>
        </w:rPr>
        <w:t>(</w:t>
      </w:r>
      <w:r w:rsidRPr="00360786">
        <w:rPr>
          <w:rFonts w:ascii="Arial" w:hAnsi="Arial" w:cs="Arial"/>
          <w:sz w:val="24"/>
          <w:szCs w:val="24"/>
        </w:rPr>
        <w:t xml:space="preserve">b): </w:t>
      </w:r>
      <w:r w:rsidRPr="00360786">
        <w:rPr>
          <w:rFonts w:ascii="Arial" w:hAnsi="Arial" w:cs="Arial"/>
          <w:sz w:val="24"/>
          <w:szCs w:val="24"/>
          <w:u w:val="single"/>
        </w:rPr>
        <w:t>Typical Business Costs</w:t>
      </w:r>
      <w:r w:rsidRPr="00360786">
        <w:rPr>
          <w:rFonts w:ascii="Arial" w:hAnsi="Arial" w:cs="Arial"/>
          <w:sz w:val="24"/>
          <w:szCs w:val="24"/>
        </w:rPr>
        <w:br/>
        <w:t>A typical business associated with or within the service area of a PWS may incur indirect costs resulting from the PWS passing on costs to comply with this regulation</w:t>
      </w:r>
      <w:r w:rsidR="00B25018">
        <w:rPr>
          <w:rFonts w:ascii="Arial" w:hAnsi="Arial" w:cs="Arial"/>
          <w:sz w:val="24"/>
          <w:szCs w:val="24"/>
        </w:rPr>
        <w:t xml:space="preserve"> (see </w:t>
      </w:r>
      <w:r w:rsidR="00187C8C">
        <w:rPr>
          <w:rFonts w:ascii="Arial" w:hAnsi="Arial" w:cs="Arial"/>
          <w:sz w:val="24"/>
          <w:szCs w:val="24"/>
        </w:rPr>
        <w:t xml:space="preserve">Appendix, </w:t>
      </w:r>
      <w:r w:rsidR="00B25018">
        <w:rPr>
          <w:rFonts w:ascii="Arial" w:hAnsi="Arial" w:cs="Arial"/>
          <w:sz w:val="24"/>
          <w:szCs w:val="24"/>
        </w:rPr>
        <w:t>Table III)</w:t>
      </w:r>
      <w:r w:rsidRPr="00360786">
        <w:rPr>
          <w:rFonts w:ascii="Arial" w:hAnsi="Arial" w:cs="Arial"/>
          <w:sz w:val="24"/>
          <w:szCs w:val="24"/>
        </w:rPr>
        <w:t xml:space="preserve">.  The geographically estimated water systems with impacted sources could incur increased monitoring costs estimated at </w:t>
      </w:r>
      <w:r w:rsidRPr="00D9388B">
        <w:rPr>
          <w:rFonts w:ascii="Arial" w:hAnsi="Arial" w:cs="Arial"/>
          <w:b/>
          <w:bCs/>
          <w:sz w:val="24"/>
          <w:szCs w:val="24"/>
        </w:rPr>
        <w:t>$224</w:t>
      </w:r>
      <w:r w:rsidRPr="00360786">
        <w:rPr>
          <w:rFonts w:ascii="Arial" w:hAnsi="Arial" w:cs="Arial"/>
          <w:sz w:val="24"/>
          <w:szCs w:val="24"/>
        </w:rPr>
        <w:t xml:space="preserve"> per source annually</w:t>
      </w:r>
      <w:r w:rsidR="0041089B" w:rsidRPr="00360786">
        <w:rPr>
          <w:rFonts w:ascii="Arial" w:hAnsi="Arial" w:cs="Arial"/>
          <w:sz w:val="24"/>
          <w:szCs w:val="24"/>
        </w:rPr>
        <w:t xml:space="preserve"> for the first 3 years </w:t>
      </w:r>
      <w:r w:rsidR="00CF742F" w:rsidRPr="00360786">
        <w:rPr>
          <w:rFonts w:ascii="Arial" w:hAnsi="Arial" w:cs="Arial"/>
          <w:sz w:val="24"/>
          <w:szCs w:val="24"/>
        </w:rPr>
        <w:t xml:space="preserve">with the 0.002 mg/L DLR in effect until January 1, 2024 </w:t>
      </w:r>
      <w:r w:rsidR="0041089B" w:rsidRPr="00360786">
        <w:rPr>
          <w:rFonts w:ascii="Arial" w:hAnsi="Arial" w:cs="Arial"/>
          <w:sz w:val="24"/>
          <w:szCs w:val="24"/>
        </w:rPr>
        <w:t xml:space="preserve">and </w:t>
      </w:r>
      <w:r w:rsidR="0053336C">
        <w:rPr>
          <w:rFonts w:ascii="Arial" w:hAnsi="Arial" w:cs="Arial"/>
          <w:sz w:val="24"/>
          <w:szCs w:val="24"/>
        </w:rPr>
        <w:t xml:space="preserve">thereafter, </w:t>
      </w:r>
      <w:r w:rsidR="00EC6206">
        <w:rPr>
          <w:rFonts w:ascii="Arial" w:hAnsi="Arial" w:cs="Arial"/>
          <w:sz w:val="24"/>
          <w:szCs w:val="24"/>
        </w:rPr>
        <w:t xml:space="preserve">sources subject to increased monitoring (quarterly) would incur a </w:t>
      </w:r>
      <w:r w:rsidR="0053336C">
        <w:rPr>
          <w:rFonts w:ascii="Arial" w:hAnsi="Arial" w:cs="Arial"/>
          <w:sz w:val="24"/>
          <w:szCs w:val="24"/>
        </w:rPr>
        <w:t xml:space="preserve">new </w:t>
      </w:r>
      <w:r w:rsidR="00EC6206">
        <w:rPr>
          <w:rFonts w:ascii="Arial" w:hAnsi="Arial" w:cs="Arial"/>
          <w:sz w:val="24"/>
          <w:szCs w:val="24"/>
        </w:rPr>
        <w:t>annual cost of</w:t>
      </w:r>
      <w:r w:rsidR="00EC6206" w:rsidRPr="00360786">
        <w:rPr>
          <w:rFonts w:ascii="Arial" w:hAnsi="Arial" w:cs="Arial"/>
          <w:sz w:val="24"/>
          <w:szCs w:val="24"/>
        </w:rPr>
        <w:t xml:space="preserve"> </w:t>
      </w:r>
      <w:r w:rsidR="0041089B" w:rsidRPr="00D9388B">
        <w:rPr>
          <w:rFonts w:ascii="Arial" w:hAnsi="Arial" w:cs="Arial"/>
          <w:b/>
          <w:bCs/>
          <w:sz w:val="24"/>
          <w:szCs w:val="24"/>
        </w:rPr>
        <w:t>$896</w:t>
      </w:r>
      <w:r w:rsidR="0041089B" w:rsidRPr="00360786">
        <w:rPr>
          <w:rFonts w:ascii="Arial" w:hAnsi="Arial" w:cs="Arial"/>
          <w:sz w:val="24"/>
          <w:szCs w:val="24"/>
        </w:rPr>
        <w:t xml:space="preserve"> </w:t>
      </w:r>
      <w:r w:rsidR="00EC6206">
        <w:rPr>
          <w:rFonts w:ascii="Arial" w:hAnsi="Arial" w:cs="Arial"/>
          <w:sz w:val="24"/>
          <w:szCs w:val="24"/>
        </w:rPr>
        <w:t xml:space="preserve">and sources </w:t>
      </w:r>
      <w:r w:rsidR="0053336C">
        <w:rPr>
          <w:rFonts w:ascii="Arial" w:hAnsi="Arial" w:cs="Arial"/>
          <w:sz w:val="24"/>
          <w:szCs w:val="24"/>
        </w:rPr>
        <w:t xml:space="preserve">that are </w:t>
      </w:r>
      <w:r w:rsidR="00EC6206">
        <w:rPr>
          <w:rFonts w:ascii="Arial" w:hAnsi="Arial" w:cs="Arial"/>
          <w:sz w:val="24"/>
          <w:szCs w:val="24"/>
        </w:rPr>
        <w:t xml:space="preserve">subject to routine </w:t>
      </w:r>
      <w:r w:rsidR="00F523BF">
        <w:rPr>
          <w:rFonts w:ascii="Arial" w:hAnsi="Arial" w:cs="Arial"/>
          <w:sz w:val="24"/>
          <w:szCs w:val="24"/>
        </w:rPr>
        <w:t xml:space="preserve">(once per three years) </w:t>
      </w:r>
      <w:r w:rsidR="00EC6206">
        <w:rPr>
          <w:rFonts w:ascii="Arial" w:hAnsi="Arial" w:cs="Arial"/>
          <w:sz w:val="24"/>
          <w:szCs w:val="24"/>
        </w:rPr>
        <w:t xml:space="preserve">monitoring would incur </w:t>
      </w:r>
      <w:r w:rsidR="0053336C">
        <w:rPr>
          <w:rFonts w:ascii="Arial" w:hAnsi="Arial" w:cs="Arial"/>
          <w:sz w:val="24"/>
          <w:szCs w:val="24"/>
        </w:rPr>
        <w:t xml:space="preserve">a new annual </w:t>
      </w:r>
      <w:r w:rsidR="00EC6206">
        <w:rPr>
          <w:rFonts w:ascii="Arial" w:hAnsi="Arial" w:cs="Arial"/>
          <w:sz w:val="24"/>
          <w:szCs w:val="24"/>
        </w:rPr>
        <w:t xml:space="preserve">cost of </w:t>
      </w:r>
      <w:r w:rsidR="00EC6206" w:rsidRPr="00D9388B">
        <w:rPr>
          <w:rFonts w:ascii="Arial" w:hAnsi="Arial" w:cs="Arial"/>
          <w:b/>
          <w:bCs/>
          <w:sz w:val="24"/>
          <w:szCs w:val="24"/>
        </w:rPr>
        <w:t>$224</w:t>
      </w:r>
      <w:r w:rsidRPr="00360786">
        <w:rPr>
          <w:rFonts w:ascii="Arial" w:hAnsi="Arial" w:cs="Arial"/>
          <w:sz w:val="24"/>
          <w:szCs w:val="24"/>
        </w:rPr>
        <w:t>.</w:t>
      </w:r>
      <w:r w:rsidR="002B4A87" w:rsidRPr="00360786">
        <w:rPr>
          <w:rFonts w:ascii="Arial" w:hAnsi="Arial" w:cs="Arial"/>
          <w:sz w:val="24"/>
          <w:szCs w:val="24"/>
        </w:rPr>
        <w:t xml:space="preserve"> </w:t>
      </w:r>
      <w:r w:rsidRPr="00360786">
        <w:rPr>
          <w:rFonts w:ascii="Arial" w:hAnsi="Arial" w:cs="Arial"/>
          <w:sz w:val="24"/>
          <w:szCs w:val="24"/>
        </w:rPr>
        <w:t xml:space="preserve">Ongoing annual costs are dependent upon whether </w:t>
      </w:r>
      <w:r w:rsidR="00A034E4" w:rsidRPr="00360786">
        <w:rPr>
          <w:rFonts w:ascii="Arial" w:hAnsi="Arial" w:cs="Arial"/>
          <w:sz w:val="24"/>
          <w:szCs w:val="24"/>
        </w:rPr>
        <w:t xml:space="preserve">the sources of </w:t>
      </w:r>
      <w:r w:rsidRPr="00360786">
        <w:rPr>
          <w:rFonts w:ascii="Arial" w:hAnsi="Arial" w:cs="Arial"/>
          <w:sz w:val="24"/>
          <w:szCs w:val="24"/>
        </w:rPr>
        <w:t xml:space="preserve">a </w:t>
      </w:r>
      <w:r w:rsidRPr="00360786">
        <w:rPr>
          <w:rFonts w:ascii="Arial" w:hAnsi="Arial" w:cs="Arial"/>
          <w:sz w:val="24"/>
          <w:szCs w:val="24"/>
        </w:rPr>
        <w:lastRenderedPageBreak/>
        <w:t xml:space="preserve">PWS </w:t>
      </w:r>
      <w:r w:rsidR="00A034E4" w:rsidRPr="00360786">
        <w:rPr>
          <w:rFonts w:ascii="Arial" w:hAnsi="Arial" w:cs="Arial"/>
          <w:sz w:val="24"/>
          <w:szCs w:val="24"/>
        </w:rPr>
        <w:t>continue to show</w:t>
      </w:r>
      <w:r w:rsidRPr="00360786">
        <w:rPr>
          <w:rFonts w:ascii="Arial" w:hAnsi="Arial" w:cs="Arial"/>
          <w:sz w:val="24"/>
          <w:szCs w:val="24"/>
        </w:rPr>
        <w:t xml:space="preserve"> a detectable concentration above the proposed DLR.  These costs may be passed on to businesses and individuals</w:t>
      </w:r>
      <w:r w:rsidR="00DD6EFC" w:rsidRPr="00360786">
        <w:rPr>
          <w:rFonts w:ascii="Arial" w:hAnsi="Arial" w:cs="Arial"/>
          <w:sz w:val="24"/>
          <w:szCs w:val="24"/>
        </w:rPr>
        <w:t xml:space="preserve">.  </w:t>
      </w:r>
    </w:p>
    <w:p w14:paraId="56DEB148" w14:textId="77777777" w:rsidR="005F55A9" w:rsidRPr="00B41FDC" w:rsidRDefault="005F55A9" w:rsidP="00360786">
      <w:pPr>
        <w:pStyle w:val="ListParagraph"/>
        <w:spacing w:line="240" w:lineRule="auto"/>
        <w:ind w:left="540"/>
        <w:rPr>
          <w:rFonts w:ascii="Arial" w:hAnsi="Arial" w:cs="Arial"/>
          <w:sz w:val="24"/>
          <w:szCs w:val="24"/>
        </w:rPr>
      </w:pPr>
    </w:p>
    <w:p w14:paraId="575E36EE" w14:textId="1B877F9D" w:rsidR="005F55A9" w:rsidRPr="00B41FDC" w:rsidRDefault="005F55A9" w:rsidP="00360786">
      <w:pPr>
        <w:pStyle w:val="ListParagraph"/>
        <w:spacing w:line="240" w:lineRule="auto"/>
        <w:ind w:left="540"/>
        <w:rPr>
          <w:rFonts w:ascii="Arial" w:hAnsi="Arial" w:cs="Arial"/>
          <w:sz w:val="24"/>
          <w:szCs w:val="24"/>
        </w:rPr>
      </w:pPr>
      <w:r w:rsidRPr="00B41FDC">
        <w:rPr>
          <w:rFonts w:ascii="Arial" w:hAnsi="Arial" w:cs="Arial"/>
          <w:sz w:val="24"/>
          <w:szCs w:val="24"/>
        </w:rPr>
        <w:t xml:space="preserve">(c): </w:t>
      </w:r>
      <w:r w:rsidR="00FB3778" w:rsidRPr="00B41FDC">
        <w:rPr>
          <w:rFonts w:ascii="Arial" w:hAnsi="Arial" w:cs="Arial"/>
          <w:sz w:val="24"/>
          <w:szCs w:val="24"/>
          <w:u w:val="single"/>
        </w:rPr>
        <w:t>Typical Individual Costs</w:t>
      </w:r>
      <w:r w:rsidR="00FB3778" w:rsidRPr="00B41FDC">
        <w:rPr>
          <w:rFonts w:ascii="Arial" w:hAnsi="Arial" w:cs="Arial"/>
          <w:sz w:val="24"/>
          <w:szCs w:val="24"/>
        </w:rPr>
        <w:br/>
      </w:r>
      <w:r w:rsidRPr="00B41FDC">
        <w:rPr>
          <w:rFonts w:ascii="Arial" w:hAnsi="Arial" w:cs="Arial"/>
          <w:sz w:val="24"/>
          <w:szCs w:val="24"/>
        </w:rPr>
        <w:t>Based on the CEM contained in the ISOR</w:t>
      </w:r>
      <w:r w:rsidR="00C338DF" w:rsidRPr="00B41FDC">
        <w:rPr>
          <w:rFonts w:ascii="Arial" w:hAnsi="Arial" w:cs="Arial"/>
          <w:sz w:val="24"/>
          <w:szCs w:val="24"/>
        </w:rPr>
        <w:t xml:space="preserve"> and its addendum</w:t>
      </w:r>
      <w:r w:rsidRPr="00B41FDC">
        <w:rPr>
          <w:rFonts w:ascii="Arial" w:hAnsi="Arial" w:cs="Arial"/>
          <w:sz w:val="24"/>
          <w:szCs w:val="24"/>
        </w:rPr>
        <w:t xml:space="preserve">, the State Water Board assumes that </w:t>
      </w:r>
      <w:r w:rsidR="001659E1">
        <w:rPr>
          <w:rFonts w:ascii="Arial" w:hAnsi="Arial" w:cs="Arial"/>
          <w:sz w:val="24"/>
          <w:szCs w:val="24"/>
        </w:rPr>
        <w:t xml:space="preserve">an additional </w:t>
      </w:r>
      <w:r w:rsidRPr="00B41FDC">
        <w:rPr>
          <w:rFonts w:ascii="Arial" w:hAnsi="Arial" w:cs="Arial"/>
          <w:sz w:val="24"/>
          <w:szCs w:val="24"/>
        </w:rPr>
        <w:t xml:space="preserve">2,346 </w:t>
      </w:r>
      <w:r w:rsidR="001659E1" w:rsidRPr="00B41FDC">
        <w:rPr>
          <w:rFonts w:ascii="Arial" w:hAnsi="Arial" w:cs="Arial"/>
          <w:sz w:val="24"/>
          <w:szCs w:val="24"/>
        </w:rPr>
        <w:t xml:space="preserve">PWS </w:t>
      </w:r>
      <w:r w:rsidR="004A7033">
        <w:rPr>
          <w:rFonts w:ascii="Arial" w:hAnsi="Arial" w:cs="Arial"/>
          <w:sz w:val="24"/>
          <w:szCs w:val="24"/>
        </w:rPr>
        <w:t>(see Table I</w:t>
      </w:r>
      <w:r w:rsidR="00B25018">
        <w:rPr>
          <w:rFonts w:ascii="Arial" w:hAnsi="Arial" w:cs="Arial"/>
          <w:sz w:val="24"/>
          <w:szCs w:val="24"/>
        </w:rPr>
        <w:t xml:space="preserve"> and II</w:t>
      </w:r>
      <w:r w:rsidR="004A7033">
        <w:rPr>
          <w:rFonts w:ascii="Arial" w:hAnsi="Arial" w:cs="Arial"/>
          <w:sz w:val="24"/>
          <w:szCs w:val="24"/>
        </w:rPr>
        <w:t>)</w:t>
      </w:r>
      <w:r w:rsidRPr="00B41FDC">
        <w:rPr>
          <w:rFonts w:ascii="Arial" w:hAnsi="Arial" w:cs="Arial"/>
          <w:sz w:val="24"/>
          <w:szCs w:val="24"/>
        </w:rPr>
        <w:t xml:space="preserve"> could require </w:t>
      </w:r>
      <w:r w:rsidRPr="00D9388B">
        <w:rPr>
          <w:rFonts w:ascii="Arial" w:hAnsi="Arial" w:cs="Arial"/>
          <w:i/>
          <w:iCs/>
          <w:sz w:val="24"/>
          <w:szCs w:val="24"/>
        </w:rPr>
        <w:t>increased monitoring</w:t>
      </w:r>
      <w:r w:rsidR="00F523BF">
        <w:rPr>
          <w:rFonts w:ascii="Arial" w:hAnsi="Arial" w:cs="Arial"/>
          <w:i/>
          <w:iCs/>
          <w:sz w:val="24"/>
          <w:szCs w:val="24"/>
        </w:rPr>
        <w:t xml:space="preserve"> (i.e., once per quarter)</w:t>
      </w:r>
      <w:r w:rsidRPr="00B41FDC">
        <w:rPr>
          <w:rFonts w:ascii="Arial" w:hAnsi="Arial" w:cs="Arial"/>
          <w:sz w:val="24"/>
          <w:szCs w:val="24"/>
        </w:rPr>
        <w:t>.  The State Water Board estimates that the annual cost to an individual in each household w</w:t>
      </w:r>
      <w:r w:rsidR="001659E1">
        <w:rPr>
          <w:rFonts w:ascii="Arial" w:hAnsi="Arial" w:cs="Arial"/>
          <w:sz w:val="24"/>
          <w:szCs w:val="24"/>
        </w:rPr>
        <w:t>ould</w:t>
      </w:r>
      <w:r w:rsidRPr="00B41FDC">
        <w:rPr>
          <w:rFonts w:ascii="Arial" w:hAnsi="Arial" w:cs="Arial"/>
          <w:sz w:val="24"/>
          <w:szCs w:val="24"/>
        </w:rPr>
        <w:t xml:space="preserve"> be </w:t>
      </w:r>
      <w:r w:rsidR="00A034E4" w:rsidRPr="00B41FDC">
        <w:rPr>
          <w:rFonts w:ascii="Arial" w:hAnsi="Arial" w:cs="Arial"/>
          <w:sz w:val="24"/>
          <w:szCs w:val="24"/>
        </w:rPr>
        <w:t>about</w:t>
      </w:r>
      <w:r w:rsidRPr="00B41FDC">
        <w:rPr>
          <w:rFonts w:ascii="Arial" w:hAnsi="Arial" w:cs="Arial"/>
          <w:sz w:val="24"/>
          <w:szCs w:val="24"/>
        </w:rPr>
        <w:t xml:space="preserve"> </w:t>
      </w:r>
      <w:r w:rsidR="001F2470" w:rsidRPr="00B41FDC">
        <w:rPr>
          <w:rFonts w:ascii="Arial" w:hAnsi="Arial" w:cs="Arial"/>
          <w:sz w:val="24"/>
          <w:szCs w:val="24"/>
        </w:rPr>
        <w:t xml:space="preserve">$8.96/year for the first three years and </w:t>
      </w:r>
      <w:r w:rsidRPr="00B41FDC">
        <w:rPr>
          <w:rFonts w:ascii="Arial" w:hAnsi="Arial" w:cs="Arial"/>
          <w:sz w:val="24"/>
          <w:szCs w:val="24"/>
        </w:rPr>
        <w:t>$</w:t>
      </w:r>
      <w:r w:rsidR="004B5A0B" w:rsidRPr="00B41FDC">
        <w:rPr>
          <w:rFonts w:ascii="Arial" w:hAnsi="Arial" w:cs="Arial"/>
          <w:sz w:val="24"/>
          <w:szCs w:val="24"/>
        </w:rPr>
        <w:t>35.84</w:t>
      </w:r>
      <w:r w:rsidRPr="00B41FDC">
        <w:rPr>
          <w:rFonts w:ascii="Arial" w:hAnsi="Arial" w:cs="Arial"/>
          <w:sz w:val="24"/>
          <w:szCs w:val="24"/>
        </w:rPr>
        <w:t xml:space="preserve">/year </w:t>
      </w:r>
      <w:r w:rsidR="001F2470" w:rsidRPr="00B41FDC">
        <w:rPr>
          <w:rFonts w:ascii="Arial" w:hAnsi="Arial" w:cs="Arial"/>
          <w:sz w:val="24"/>
          <w:szCs w:val="24"/>
        </w:rPr>
        <w:t xml:space="preserve">thereafter </w:t>
      </w:r>
      <w:r w:rsidRPr="00B41FDC">
        <w:rPr>
          <w:rFonts w:ascii="Arial" w:hAnsi="Arial" w:cs="Arial"/>
          <w:sz w:val="24"/>
          <w:szCs w:val="24"/>
        </w:rPr>
        <w:t>(</w:t>
      </w:r>
      <w:r w:rsidR="004A7033">
        <w:rPr>
          <w:rFonts w:ascii="Arial" w:hAnsi="Arial" w:cs="Arial"/>
          <w:sz w:val="24"/>
          <w:szCs w:val="24"/>
        </w:rPr>
        <w:t xml:space="preserve">see </w:t>
      </w:r>
      <w:r w:rsidR="00187C8C">
        <w:rPr>
          <w:rFonts w:ascii="Arial" w:hAnsi="Arial" w:cs="Arial"/>
          <w:sz w:val="24"/>
          <w:szCs w:val="24"/>
        </w:rPr>
        <w:t xml:space="preserve">Appendix, </w:t>
      </w:r>
      <w:r w:rsidR="004A7033">
        <w:rPr>
          <w:rFonts w:ascii="Arial" w:hAnsi="Arial" w:cs="Arial"/>
          <w:sz w:val="24"/>
          <w:szCs w:val="24"/>
        </w:rPr>
        <w:t>Table II</w:t>
      </w:r>
      <w:r w:rsidR="00B25018">
        <w:rPr>
          <w:rFonts w:ascii="Arial" w:hAnsi="Arial" w:cs="Arial"/>
          <w:sz w:val="24"/>
          <w:szCs w:val="24"/>
        </w:rPr>
        <w:t>I</w:t>
      </w:r>
      <w:r w:rsidRPr="00B41FDC">
        <w:rPr>
          <w:rFonts w:ascii="Arial" w:hAnsi="Arial" w:cs="Arial"/>
          <w:sz w:val="24"/>
          <w:szCs w:val="24"/>
        </w:rPr>
        <w:t xml:space="preserve">). </w:t>
      </w:r>
      <w:r w:rsidR="00B74E5B" w:rsidRPr="00B93ADE">
        <w:rPr>
          <w:rFonts w:ascii="Arial" w:hAnsi="Arial" w:cs="Arial"/>
          <w:sz w:val="24"/>
          <w:szCs w:val="24"/>
        </w:rPr>
        <w:t xml:space="preserve">For the remaining </w:t>
      </w:r>
      <w:r w:rsidR="00460F42" w:rsidRPr="00B93ADE">
        <w:rPr>
          <w:rFonts w:ascii="Arial" w:hAnsi="Arial" w:cs="Arial"/>
          <w:sz w:val="24"/>
          <w:szCs w:val="24"/>
        </w:rPr>
        <w:t>sources statewide</w:t>
      </w:r>
      <w:r w:rsidR="00B74E5B" w:rsidRPr="00B93ADE">
        <w:rPr>
          <w:rFonts w:ascii="Arial" w:hAnsi="Arial" w:cs="Arial"/>
          <w:sz w:val="24"/>
          <w:szCs w:val="24"/>
        </w:rPr>
        <w:t xml:space="preserve"> on </w:t>
      </w:r>
      <w:r w:rsidR="00B74E5B" w:rsidRPr="00B93ADE">
        <w:rPr>
          <w:rFonts w:ascii="Arial" w:hAnsi="Arial" w:cs="Arial"/>
          <w:i/>
          <w:iCs/>
          <w:sz w:val="24"/>
          <w:szCs w:val="24"/>
        </w:rPr>
        <w:t>routine monitoring</w:t>
      </w:r>
      <w:r w:rsidR="00F523BF">
        <w:rPr>
          <w:rFonts w:ascii="Arial" w:hAnsi="Arial" w:cs="Arial"/>
          <w:i/>
          <w:iCs/>
          <w:sz w:val="24"/>
          <w:szCs w:val="24"/>
        </w:rPr>
        <w:t xml:space="preserve"> (i.e., once per three years)</w:t>
      </w:r>
      <w:r w:rsidR="00B74E5B" w:rsidRPr="00B93ADE">
        <w:rPr>
          <w:rFonts w:ascii="Arial" w:hAnsi="Arial" w:cs="Arial"/>
          <w:sz w:val="24"/>
          <w:szCs w:val="24"/>
        </w:rPr>
        <w:t xml:space="preserve">, </w:t>
      </w:r>
      <w:r w:rsidR="002426D8" w:rsidRPr="00B41FDC">
        <w:rPr>
          <w:rFonts w:ascii="Arial" w:hAnsi="Arial" w:cs="Arial"/>
          <w:sz w:val="24"/>
          <w:szCs w:val="24"/>
        </w:rPr>
        <w:t xml:space="preserve">the annual cost to an individual </w:t>
      </w:r>
      <w:r w:rsidR="00AF2634">
        <w:rPr>
          <w:rFonts w:ascii="Arial" w:hAnsi="Arial" w:cs="Arial"/>
          <w:sz w:val="24"/>
          <w:szCs w:val="24"/>
        </w:rPr>
        <w:t>will not change from baseline</w:t>
      </w:r>
      <w:r w:rsidR="002426D8">
        <w:rPr>
          <w:rFonts w:ascii="Arial" w:hAnsi="Arial" w:cs="Arial"/>
          <w:sz w:val="24"/>
          <w:szCs w:val="24"/>
        </w:rPr>
        <w:t xml:space="preserve"> </w:t>
      </w:r>
      <w:r w:rsidR="002426D8" w:rsidRPr="00B41FDC">
        <w:rPr>
          <w:rFonts w:ascii="Arial" w:hAnsi="Arial" w:cs="Arial"/>
          <w:sz w:val="24"/>
          <w:szCs w:val="24"/>
        </w:rPr>
        <w:t xml:space="preserve">for the first three years and </w:t>
      </w:r>
      <w:r w:rsidR="00A35F0D">
        <w:rPr>
          <w:rFonts w:ascii="Arial" w:hAnsi="Arial" w:cs="Arial"/>
          <w:sz w:val="24"/>
          <w:szCs w:val="24"/>
        </w:rPr>
        <w:t>has a mode value of</w:t>
      </w:r>
      <w:r w:rsidR="00AF2634">
        <w:rPr>
          <w:rFonts w:ascii="Arial" w:hAnsi="Arial" w:cs="Arial"/>
          <w:sz w:val="24"/>
          <w:szCs w:val="24"/>
        </w:rPr>
        <w:t xml:space="preserve"> </w:t>
      </w:r>
      <w:r w:rsidR="002426D8" w:rsidRPr="00B41FDC">
        <w:rPr>
          <w:rFonts w:ascii="Arial" w:hAnsi="Arial" w:cs="Arial"/>
          <w:sz w:val="24"/>
          <w:szCs w:val="24"/>
        </w:rPr>
        <w:t>$8.96/year thereafter</w:t>
      </w:r>
      <w:r w:rsidR="002426D8">
        <w:rPr>
          <w:rFonts w:ascii="Arial" w:hAnsi="Arial" w:cs="Arial"/>
          <w:sz w:val="24"/>
          <w:szCs w:val="24"/>
        </w:rPr>
        <w:t>.</w:t>
      </w:r>
      <w:r w:rsidRPr="00B93ADE">
        <w:rPr>
          <w:rFonts w:ascii="Arial" w:hAnsi="Arial" w:cs="Arial"/>
          <w:sz w:val="24"/>
          <w:szCs w:val="24"/>
        </w:rPr>
        <w:t xml:space="preserve"> </w:t>
      </w:r>
      <w:r w:rsidRPr="00360786">
        <w:rPr>
          <w:rFonts w:ascii="Arial" w:hAnsi="Arial" w:cs="Arial"/>
          <w:sz w:val="24"/>
          <w:szCs w:val="24"/>
        </w:rPr>
        <w:t>Ongoing annual costs are dependent upon whether a PWS has a detectable concentration above the proposed DLR.  Th</w:t>
      </w:r>
      <w:r w:rsidRPr="00B41FDC">
        <w:rPr>
          <w:rFonts w:ascii="Arial" w:hAnsi="Arial" w:cs="Arial"/>
          <w:sz w:val="24"/>
          <w:szCs w:val="24"/>
        </w:rPr>
        <w:t xml:space="preserve">e cost estimate assumes the worst-case scenario </w:t>
      </w:r>
      <w:r w:rsidR="0070221D">
        <w:rPr>
          <w:rFonts w:ascii="Arial" w:hAnsi="Arial" w:cs="Arial"/>
          <w:sz w:val="24"/>
          <w:szCs w:val="24"/>
        </w:rPr>
        <w:t>cost associated with quarterly monitoring.</w:t>
      </w:r>
    </w:p>
    <w:p w14:paraId="22810CCD" w14:textId="77777777" w:rsidR="005F55A9" w:rsidRPr="00B41FDC" w:rsidRDefault="005F55A9" w:rsidP="00360786">
      <w:pPr>
        <w:pStyle w:val="ListParagraph"/>
        <w:spacing w:line="240" w:lineRule="auto"/>
        <w:ind w:left="540"/>
        <w:rPr>
          <w:rFonts w:ascii="Arial" w:hAnsi="Arial" w:cs="Arial"/>
          <w:sz w:val="24"/>
          <w:szCs w:val="24"/>
        </w:rPr>
      </w:pPr>
    </w:p>
    <w:p w14:paraId="546E364E" w14:textId="1CB964D6" w:rsidR="005F55A9" w:rsidRPr="00B41FDC" w:rsidRDefault="005F55A9" w:rsidP="00360786">
      <w:pPr>
        <w:pStyle w:val="ListParagraph"/>
        <w:spacing w:line="240" w:lineRule="auto"/>
        <w:ind w:left="540"/>
        <w:rPr>
          <w:rFonts w:ascii="Arial" w:hAnsi="Arial" w:cs="Arial"/>
          <w:sz w:val="24"/>
          <w:szCs w:val="24"/>
        </w:rPr>
      </w:pPr>
      <w:r w:rsidRPr="00B41FDC">
        <w:rPr>
          <w:rFonts w:ascii="Arial" w:hAnsi="Arial" w:cs="Arial"/>
          <w:sz w:val="24"/>
          <w:szCs w:val="24"/>
        </w:rPr>
        <w:t xml:space="preserve">(d) </w:t>
      </w:r>
      <w:r w:rsidR="00FB3778" w:rsidRPr="00B41FDC">
        <w:rPr>
          <w:rFonts w:ascii="Arial" w:hAnsi="Arial" w:cs="Arial"/>
          <w:sz w:val="24"/>
          <w:szCs w:val="24"/>
          <w:u w:val="single"/>
        </w:rPr>
        <w:t>Other Economic Costs</w:t>
      </w:r>
      <w:r w:rsidR="00FB3778" w:rsidRPr="00B41FDC">
        <w:rPr>
          <w:rFonts w:ascii="Arial" w:hAnsi="Arial" w:cs="Arial"/>
          <w:sz w:val="24"/>
          <w:szCs w:val="24"/>
        </w:rPr>
        <w:br/>
      </w:r>
      <w:r w:rsidR="005250B2" w:rsidRPr="00B41FDC">
        <w:rPr>
          <w:rFonts w:ascii="Arial" w:hAnsi="Arial" w:cs="Arial"/>
          <w:sz w:val="24"/>
          <w:szCs w:val="24"/>
        </w:rPr>
        <w:t>Please see</w:t>
      </w:r>
      <w:r w:rsidRPr="00B41FDC">
        <w:rPr>
          <w:rFonts w:ascii="Arial" w:hAnsi="Arial" w:cs="Arial"/>
          <w:sz w:val="24"/>
          <w:szCs w:val="24"/>
        </w:rPr>
        <w:t xml:space="preserve"> </w:t>
      </w:r>
      <w:r w:rsidR="005250B2" w:rsidRPr="00B41FDC">
        <w:rPr>
          <w:rFonts w:ascii="Arial" w:hAnsi="Arial" w:cs="Arial"/>
          <w:sz w:val="24"/>
          <w:szCs w:val="24"/>
        </w:rPr>
        <w:t>explanations for</w:t>
      </w:r>
      <w:r w:rsidRPr="00B41FDC">
        <w:rPr>
          <w:rFonts w:ascii="Arial" w:hAnsi="Arial" w:cs="Arial"/>
          <w:sz w:val="24"/>
          <w:szCs w:val="24"/>
        </w:rPr>
        <w:t xml:space="preserve"> a, b, and c</w:t>
      </w:r>
      <w:r w:rsidR="005250B2" w:rsidRPr="00B41FDC">
        <w:rPr>
          <w:rFonts w:ascii="Arial" w:hAnsi="Arial" w:cs="Arial"/>
          <w:sz w:val="24"/>
          <w:szCs w:val="24"/>
        </w:rPr>
        <w:t xml:space="preserve">.  </w:t>
      </w:r>
      <w:r w:rsidR="004B5A0B" w:rsidRPr="00B41FDC">
        <w:rPr>
          <w:rFonts w:ascii="Arial" w:hAnsi="Arial" w:cs="Arial"/>
          <w:sz w:val="24"/>
          <w:szCs w:val="24"/>
        </w:rPr>
        <w:t xml:space="preserve">Laboratories may choose to </w:t>
      </w:r>
      <w:r w:rsidR="000E7353" w:rsidRPr="00B41FDC">
        <w:rPr>
          <w:rFonts w:ascii="Arial" w:hAnsi="Arial" w:cs="Arial"/>
          <w:sz w:val="24"/>
          <w:szCs w:val="24"/>
        </w:rPr>
        <w:t>discontinue conducting</w:t>
      </w:r>
      <w:r w:rsidR="005A47DD" w:rsidRPr="00B41FDC">
        <w:rPr>
          <w:rFonts w:ascii="Arial" w:hAnsi="Arial" w:cs="Arial"/>
          <w:sz w:val="24"/>
          <w:szCs w:val="24"/>
        </w:rPr>
        <w:t xml:space="preserve"> drinking water</w:t>
      </w:r>
      <w:r w:rsidR="004B5A0B" w:rsidRPr="00B41FDC">
        <w:rPr>
          <w:rFonts w:ascii="Arial" w:hAnsi="Arial" w:cs="Arial"/>
          <w:sz w:val="24"/>
          <w:szCs w:val="24"/>
        </w:rPr>
        <w:t xml:space="preserve"> perchlorate analys</w:t>
      </w:r>
      <w:r w:rsidR="005A47DD" w:rsidRPr="00B41FDC">
        <w:rPr>
          <w:rFonts w:ascii="Arial" w:hAnsi="Arial" w:cs="Arial"/>
          <w:sz w:val="24"/>
          <w:szCs w:val="24"/>
        </w:rPr>
        <w:t>e</w:t>
      </w:r>
      <w:r w:rsidR="004B5A0B" w:rsidRPr="00B41FDC">
        <w:rPr>
          <w:rFonts w:ascii="Arial" w:hAnsi="Arial" w:cs="Arial"/>
          <w:sz w:val="24"/>
          <w:szCs w:val="24"/>
        </w:rPr>
        <w:t xml:space="preserve">s, but if laboratories </w:t>
      </w:r>
      <w:r w:rsidR="005A47DD" w:rsidRPr="00B41FDC">
        <w:rPr>
          <w:rFonts w:ascii="Arial" w:hAnsi="Arial" w:cs="Arial"/>
          <w:sz w:val="24"/>
          <w:szCs w:val="24"/>
        </w:rPr>
        <w:t xml:space="preserve">choose </w:t>
      </w:r>
      <w:r w:rsidR="004B5A0B" w:rsidRPr="00B41FDC">
        <w:rPr>
          <w:rFonts w:ascii="Arial" w:hAnsi="Arial" w:cs="Arial"/>
          <w:sz w:val="24"/>
          <w:szCs w:val="24"/>
        </w:rPr>
        <w:t xml:space="preserve">to </w:t>
      </w:r>
      <w:r w:rsidR="000E7353" w:rsidRPr="00B41FDC">
        <w:rPr>
          <w:rFonts w:ascii="Arial" w:hAnsi="Arial" w:cs="Arial"/>
          <w:sz w:val="24"/>
          <w:szCs w:val="24"/>
        </w:rPr>
        <w:t>continue</w:t>
      </w:r>
      <w:r w:rsidR="007D46FA" w:rsidRPr="00B41FDC">
        <w:rPr>
          <w:rFonts w:ascii="Arial" w:hAnsi="Arial" w:cs="Arial"/>
          <w:sz w:val="24"/>
          <w:szCs w:val="24"/>
        </w:rPr>
        <w:t>,</w:t>
      </w:r>
      <w:r w:rsidR="004B5A0B" w:rsidRPr="00B41FDC">
        <w:rPr>
          <w:rFonts w:ascii="Arial" w:hAnsi="Arial" w:cs="Arial"/>
          <w:sz w:val="24"/>
          <w:szCs w:val="24"/>
        </w:rPr>
        <w:t xml:space="preserve"> they may have to purchase new instrumentation to implement </w:t>
      </w:r>
      <w:r w:rsidR="000E7353" w:rsidRPr="00B41FDC">
        <w:rPr>
          <w:rFonts w:ascii="Arial" w:hAnsi="Arial" w:cs="Arial"/>
          <w:sz w:val="24"/>
          <w:szCs w:val="24"/>
        </w:rPr>
        <w:t>other</w:t>
      </w:r>
      <w:r w:rsidR="004B5A0B" w:rsidRPr="00B41FDC">
        <w:rPr>
          <w:rFonts w:ascii="Arial" w:hAnsi="Arial" w:cs="Arial"/>
          <w:sz w:val="24"/>
          <w:szCs w:val="24"/>
        </w:rPr>
        <w:t xml:space="preserve"> analytical testing methods.  </w:t>
      </w:r>
      <w:r w:rsidR="00406C35" w:rsidRPr="00B41FDC">
        <w:rPr>
          <w:rFonts w:ascii="Arial" w:hAnsi="Arial" w:cs="Arial"/>
          <w:sz w:val="24"/>
          <w:szCs w:val="24"/>
        </w:rPr>
        <w:t>Based on current analytical rates charged</w:t>
      </w:r>
      <w:r w:rsidR="00BC148F" w:rsidRPr="00B41FDC">
        <w:rPr>
          <w:rFonts w:ascii="Arial" w:hAnsi="Arial" w:cs="Arial"/>
          <w:sz w:val="24"/>
          <w:szCs w:val="24"/>
        </w:rPr>
        <w:t xml:space="preserve"> for methods with demonstrated capabilities to reliably quantify to 0.001 mg/L</w:t>
      </w:r>
      <w:r w:rsidR="00406C35" w:rsidRPr="00B41FDC">
        <w:rPr>
          <w:rFonts w:ascii="Arial" w:hAnsi="Arial" w:cs="Arial"/>
          <w:sz w:val="24"/>
          <w:szCs w:val="24"/>
        </w:rPr>
        <w:t xml:space="preserve">, </w:t>
      </w:r>
      <w:r w:rsidR="004B5A0B" w:rsidRPr="00B41FDC">
        <w:rPr>
          <w:rFonts w:ascii="Arial" w:hAnsi="Arial" w:cs="Arial"/>
          <w:sz w:val="24"/>
          <w:szCs w:val="24"/>
        </w:rPr>
        <w:t>cost per analysis could increase to approximately</w:t>
      </w:r>
      <w:r w:rsidR="00E136C6" w:rsidRPr="00B41FDC">
        <w:rPr>
          <w:rFonts w:ascii="Arial" w:hAnsi="Arial" w:cs="Arial"/>
          <w:sz w:val="24"/>
          <w:szCs w:val="24"/>
        </w:rPr>
        <w:t xml:space="preserve"> four </w:t>
      </w:r>
      <w:r w:rsidR="004B5A0B" w:rsidRPr="00B41FDC">
        <w:rPr>
          <w:rFonts w:ascii="Arial" w:hAnsi="Arial" w:cs="Arial"/>
          <w:sz w:val="24"/>
          <w:szCs w:val="24"/>
        </w:rPr>
        <w:t>times</w:t>
      </w:r>
      <w:r w:rsidR="00BC148F" w:rsidRPr="00B41FDC">
        <w:rPr>
          <w:rFonts w:ascii="Arial" w:hAnsi="Arial" w:cs="Arial"/>
          <w:sz w:val="24"/>
          <w:szCs w:val="24"/>
        </w:rPr>
        <w:t xml:space="preserve"> that of the method most widely used </w:t>
      </w:r>
      <w:r w:rsidR="00AB206B" w:rsidRPr="00B41FDC">
        <w:rPr>
          <w:rFonts w:ascii="Arial" w:hAnsi="Arial" w:cs="Arial"/>
          <w:sz w:val="24"/>
          <w:szCs w:val="24"/>
        </w:rPr>
        <w:t xml:space="preserve">today </w:t>
      </w:r>
      <w:r w:rsidR="00BC148F" w:rsidRPr="00B41FDC">
        <w:rPr>
          <w:rFonts w:ascii="Arial" w:hAnsi="Arial" w:cs="Arial"/>
          <w:sz w:val="24"/>
          <w:szCs w:val="24"/>
        </w:rPr>
        <w:t>to quantify to 0.002 mg/L.</w:t>
      </w:r>
      <w:r w:rsidR="004B5A0B" w:rsidRPr="00B41FDC">
        <w:rPr>
          <w:rFonts w:ascii="Arial" w:hAnsi="Arial" w:cs="Arial"/>
          <w:sz w:val="24"/>
          <w:szCs w:val="24"/>
        </w:rPr>
        <w:t xml:space="preserve">  Some</w:t>
      </w:r>
      <w:r w:rsidR="005250B2" w:rsidRPr="00B41FDC">
        <w:rPr>
          <w:rFonts w:ascii="Arial" w:hAnsi="Arial" w:cs="Arial"/>
          <w:sz w:val="24"/>
          <w:szCs w:val="24"/>
        </w:rPr>
        <w:t xml:space="preserve"> accredited laboratories </w:t>
      </w:r>
      <w:r w:rsidR="004B5A0B" w:rsidRPr="00B41FDC">
        <w:rPr>
          <w:rFonts w:ascii="Arial" w:hAnsi="Arial" w:cs="Arial"/>
          <w:sz w:val="24"/>
          <w:szCs w:val="24"/>
        </w:rPr>
        <w:t xml:space="preserve">may refine </w:t>
      </w:r>
      <w:r w:rsidR="005250B2" w:rsidRPr="00B41FDC">
        <w:rPr>
          <w:rFonts w:ascii="Arial" w:hAnsi="Arial" w:cs="Arial"/>
          <w:sz w:val="24"/>
          <w:szCs w:val="24"/>
        </w:rPr>
        <w:t xml:space="preserve">their standard protocols </w:t>
      </w:r>
      <w:r w:rsidR="007026A0" w:rsidRPr="00B41FDC">
        <w:rPr>
          <w:rFonts w:ascii="Arial" w:hAnsi="Arial" w:cs="Arial"/>
          <w:sz w:val="24"/>
          <w:szCs w:val="24"/>
        </w:rPr>
        <w:t xml:space="preserve">to </w:t>
      </w:r>
      <w:r w:rsidR="00AB206B" w:rsidRPr="00B41FDC">
        <w:rPr>
          <w:rFonts w:ascii="Arial" w:hAnsi="Arial" w:cs="Arial"/>
          <w:sz w:val="24"/>
          <w:szCs w:val="24"/>
        </w:rPr>
        <w:t xml:space="preserve">support reliable quantitation to 0.001 mg/L and be able to </w:t>
      </w:r>
      <w:r w:rsidR="005250B2" w:rsidRPr="00B41FDC">
        <w:rPr>
          <w:rFonts w:ascii="Arial" w:hAnsi="Arial" w:cs="Arial"/>
          <w:sz w:val="24"/>
          <w:szCs w:val="24"/>
        </w:rPr>
        <w:t>continue to analyze d</w:t>
      </w:r>
      <w:r w:rsidR="007026A0" w:rsidRPr="00B41FDC">
        <w:rPr>
          <w:rFonts w:ascii="Arial" w:hAnsi="Arial" w:cs="Arial"/>
          <w:sz w:val="24"/>
          <w:szCs w:val="24"/>
        </w:rPr>
        <w:t>r</w:t>
      </w:r>
      <w:r w:rsidR="005250B2" w:rsidRPr="00B41FDC">
        <w:rPr>
          <w:rFonts w:ascii="Arial" w:hAnsi="Arial" w:cs="Arial"/>
          <w:sz w:val="24"/>
          <w:szCs w:val="24"/>
        </w:rPr>
        <w:t>inking water sample</w:t>
      </w:r>
      <w:r w:rsidR="00AB206B" w:rsidRPr="00B41FDC">
        <w:rPr>
          <w:rFonts w:ascii="Arial" w:hAnsi="Arial" w:cs="Arial"/>
          <w:sz w:val="24"/>
          <w:szCs w:val="24"/>
        </w:rPr>
        <w:t>s</w:t>
      </w:r>
      <w:r w:rsidR="005250B2" w:rsidRPr="00B41FDC">
        <w:rPr>
          <w:rFonts w:ascii="Arial" w:hAnsi="Arial" w:cs="Arial"/>
          <w:sz w:val="24"/>
          <w:szCs w:val="24"/>
        </w:rPr>
        <w:t xml:space="preserve"> </w:t>
      </w:r>
      <w:r w:rsidR="00AB206B" w:rsidRPr="00B41FDC">
        <w:rPr>
          <w:rFonts w:ascii="Arial" w:hAnsi="Arial" w:cs="Arial"/>
          <w:sz w:val="24"/>
          <w:szCs w:val="24"/>
        </w:rPr>
        <w:t xml:space="preserve">without significant investment in new instrumentation; these laboratories might </w:t>
      </w:r>
      <w:r w:rsidR="007D46FA" w:rsidRPr="00B41FDC">
        <w:rPr>
          <w:rFonts w:ascii="Arial" w:hAnsi="Arial" w:cs="Arial"/>
          <w:sz w:val="24"/>
          <w:szCs w:val="24"/>
        </w:rPr>
        <w:t xml:space="preserve">maintain </w:t>
      </w:r>
      <w:r w:rsidR="005A47DD" w:rsidRPr="00B41FDC">
        <w:rPr>
          <w:rFonts w:ascii="Arial" w:hAnsi="Arial" w:cs="Arial"/>
          <w:sz w:val="24"/>
          <w:szCs w:val="24"/>
        </w:rPr>
        <w:t xml:space="preserve">costs closer to </w:t>
      </w:r>
      <w:r w:rsidR="007D46FA" w:rsidRPr="00B41FDC">
        <w:rPr>
          <w:rFonts w:ascii="Arial" w:hAnsi="Arial" w:cs="Arial"/>
          <w:sz w:val="24"/>
          <w:szCs w:val="24"/>
        </w:rPr>
        <w:t>the current cost per analysis</w:t>
      </w:r>
      <w:r w:rsidR="009578CE" w:rsidRPr="00B41FDC">
        <w:rPr>
          <w:rFonts w:ascii="Arial" w:hAnsi="Arial" w:cs="Arial"/>
          <w:sz w:val="24"/>
          <w:szCs w:val="24"/>
        </w:rPr>
        <w:t>.</w:t>
      </w:r>
      <w:r w:rsidR="007026A0" w:rsidRPr="00B41FDC">
        <w:rPr>
          <w:rFonts w:ascii="Arial" w:hAnsi="Arial" w:cs="Arial"/>
          <w:sz w:val="24"/>
          <w:szCs w:val="24"/>
        </w:rPr>
        <w:t xml:space="preserve"> </w:t>
      </w:r>
      <w:r w:rsidR="00406C35" w:rsidRPr="00B41FDC">
        <w:rPr>
          <w:rFonts w:ascii="Arial" w:hAnsi="Arial" w:cs="Arial"/>
          <w:sz w:val="24"/>
          <w:szCs w:val="24"/>
        </w:rPr>
        <w:t xml:space="preserve"> </w:t>
      </w:r>
      <w:r w:rsidR="007026A0" w:rsidRPr="00B41FDC">
        <w:rPr>
          <w:rFonts w:ascii="Arial" w:hAnsi="Arial" w:cs="Arial"/>
          <w:sz w:val="24"/>
          <w:szCs w:val="24"/>
        </w:rPr>
        <w:t xml:space="preserve">In </w:t>
      </w:r>
      <w:r w:rsidR="004B5A0B" w:rsidRPr="00B41FDC">
        <w:rPr>
          <w:rFonts w:ascii="Arial" w:hAnsi="Arial" w:cs="Arial"/>
          <w:sz w:val="24"/>
          <w:szCs w:val="24"/>
        </w:rPr>
        <w:t>either</w:t>
      </w:r>
      <w:r w:rsidR="007026A0" w:rsidRPr="00B41FDC">
        <w:rPr>
          <w:rFonts w:ascii="Arial" w:hAnsi="Arial" w:cs="Arial"/>
          <w:sz w:val="24"/>
          <w:szCs w:val="24"/>
        </w:rPr>
        <w:t xml:space="preserve"> case, th</w:t>
      </w:r>
      <w:r w:rsidR="005A47DD" w:rsidRPr="00B41FDC">
        <w:rPr>
          <w:rFonts w:ascii="Arial" w:hAnsi="Arial" w:cs="Arial"/>
          <w:sz w:val="24"/>
          <w:szCs w:val="24"/>
        </w:rPr>
        <w:t>ese</w:t>
      </w:r>
      <w:r w:rsidR="007026A0" w:rsidRPr="00B41FDC">
        <w:rPr>
          <w:rFonts w:ascii="Arial" w:hAnsi="Arial" w:cs="Arial"/>
          <w:sz w:val="24"/>
          <w:szCs w:val="24"/>
        </w:rPr>
        <w:t xml:space="preserve"> cost</w:t>
      </w:r>
      <w:r w:rsidR="005A47DD" w:rsidRPr="00B41FDC">
        <w:rPr>
          <w:rFonts w:ascii="Arial" w:hAnsi="Arial" w:cs="Arial"/>
          <w:sz w:val="24"/>
          <w:szCs w:val="24"/>
        </w:rPr>
        <w:t>s</w:t>
      </w:r>
      <w:r w:rsidR="007026A0" w:rsidRPr="00B41FDC">
        <w:rPr>
          <w:rFonts w:ascii="Arial" w:hAnsi="Arial" w:cs="Arial"/>
          <w:sz w:val="24"/>
          <w:szCs w:val="24"/>
        </w:rPr>
        <w:t xml:space="preserve"> </w:t>
      </w:r>
      <w:r w:rsidR="007D46FA" w:rsidRPr="00B41FDC">
        <w:rPr>
          <w:rFonts w:ascii="Arial" w:hAnsi="Arial" w:cs="Arial"/>
          <w:sz w:val="24"/>
          <w:szCs w:val="24"/>
        </w:rPr>
        <w:t>would</w:t>
      </w:r>
      <w:r w:rsidR="007026A0" w:rsidRPr="00B41FDC">
        <w:rPr>
          <w:rFonts w:ascii="Arial" w:hAnsi="Arial" w:cs="Arial"/>
          <w:sz w:val="24"/>
          <w:szCs w:val="24"/>
        </w:rPr>
        <w:t xml:space="preserve"> </w:t>
      </w:r>
      <w:r w:rsidR="00586515" w:rsidRPr="00B41FDC">
        <w:rPr>
          <w:rFonts w:ascii="Arial" w:hAnsi="Arial" w:cs="Arial"/>
          <w:sz w:val="24"/>
          <w:szCs w:val="24"/>
        </w:rPr>
        <w:t>pass</w:t>
      </w:r>
      <w:r w:rsidR="007026A0" w:rsidRPr="00B41FDC">
        <w:rPr>
          <w:rFonts w:ascii="Arial" w:hAnsi="Arial" w:cs="Arial"/>
          <w:sz w:val="24"/>
          <w:szCs w:val="24"/>
        </w:rPr>
        <w:t xml:space="preserve"> from the laboratory to the public water system and eventually </w:t>
      </w:r>
      <w:r w:rsidR="00586515" w:rsidRPr="00B41FDC">
        <w:rPr>
          <w:rFonts w:ascii="Arial" w:hAnsi="Arial" w:cs="Arial"/>
          <w:sz w:val="24"/>
          <w:szCs w:val="24"/>
        </w:rPr>
        <w:t xml:space="preserve">to </w:t>
      </w:r>
      <w:r w:rsidR="007026A0" w:rsidRPr="00B41FDC">
        <w:rPr>
          <w:rFonts w:ascii="Arial" w:hAnsi="Arial" w:cs="Arial"/>
          <w:sz w:val="24"/>
          <w:szCs w:val="24"/>
        </w:rPr>
        <w:t>the consumer</w:t>
      </w:r>
      <w:r w:rsidR="005A47DD" w:rsidRPr="00B41FDC">
        <w:rPr>
          <w:rFonts w:ascii="Arial" w:hAnsi="Arial" w:cs="Arial"/>
          <w:sz w:val="24"/>
          <w:szCs w:val="24"/>
        </w:rPr>
        <w:t xml:space="preserve"> and, in combination with estimated monitoring frequencies, are the basis of the responses provided in B.1.a, b, and c</w:t>
      </w:r>
      <w:r w:rsidR="007026A0" w:rsidRPr="00B41FDC">
        <w:rPr>
          <w:rFonts w:ascii="Arial" w:hAnsi="Arial" w:cs="Arial"/>
          <w:sz w:val="24"/>
          <w:szCs w:val="24"/>
        </w:rPr>
        <w:t>.</w:t>
      </w:r>
      <w:r w:rsidR="005250B2" w:rsidRPr="00B41FDC">
        <w:rPr>
          <w:rFonts w:ascii="Arial" w:hAnsi="Arial" w:cs="Arial"/>
          <w:sz w:val="24"/>
          <w:szCs w:val="24"/>
        </w:rPr>
        <w:t xml:space="preserve">  </w:t>
      </w:r>
    </w:p>
    <w:p w14:paraId="10F68EE6" w14:textId="77777777" w:rsidR="005F55A9" w:rsidRPr="00B41FDC" w:rsidRDefault="005F55A9" w:rsidP="00360786">
      <w:pPr>
        <w:pStyle w:val="ListParagraph"/>
        <w:spacing w:line="240" w:lineRule="auto"/>
        <w:ind w:left="540"/>
        <w:rPr>
          <w:rFonts w:ascii="Arial" w:hAnsi="Arial" w:cs="Arial"/>
          <w:sz w:val="24"/>
          <w:szCs w:val="24"/>
        </w:rPr>
      </w:pPr>
    </w:p>
    <w:p w14:paraId="2326331E" w14:textId="7BCBC2ED" w:rsidR="005F55A9" w:rsidRPr="00B41FDC" w:rsidRDefault="008872F9" w:rsidP="00B93ADE">
      <w:pPr>
        <w:pStyle w:val="ListParagraph"/>
        <w:numPr>
          <w:ilvl w:val="0"/>
          <w:numId w:val="13"/>
        </w:numPr>
        <w:spacing w:line="240" w:lineRule="auto"/>
        <w:ind w:left="540"/>
        <w:rPr>
          <w:rFonts w:ascii="Arial" w:hAnsi="Arial" w:cs="Arial"/>
          <w:sz w:val="24"/>
          <w:szCs w:val="24"/>
        </w:rPr>
      </w:pPr>
      <w:r w:rsidRPr="00B41FDC">
        <w:rPr>
          <w:rFonts w:ascii="Arial" w:hAnsi="Arial" w:cs="Arial"/>
          <w:sz w:val="24"/>
          <w:szCs w:val="24"/>
          <w:u w:val="single"/>
        </w:rPr>
        <w:t>Industry-Specific Costs</w:t>
      </w:r>
      <w:r w:rsidRPr="00B41FDC">
        <w:rPr>
          <w:rFonts w:ascii="Arial" w:hAnsi="Arial" w:cs="Arial"/>
          <w:sz w:val="24"/>
          <w:szCs w:val="24"/>
        </w:rPr>
        <w:br/>
      </w:r>
      <w:r w:rsidR="005F55A9" w:rsidRPr="00B41FDC">
        <w:rPr>
          <w:rFonts w:ascii="Arial" w:hAnsi="Arial" w:cs="Arial"/>
          <w:sz w:val="24"/>
          <w:szCs w:val="24"/>
        </w:rPr>
        <w:t>Although industries served by the impacted PWS will not be directly affected, they may experience minimal increased water rates, as described above.  No specific industry would be affected more than others, although industries that use a lot of water may be more impacted than industries that do not.</w:t>
      </w:r>
    </w:p>
    <w:p w14:paraId="61752A71" w14:textId="77777777" w:rsidR="005F55A9" w:rsidRPr="00B41FDC" w:rsidRDefault="005F55A9" w:rsidP="00360786">
      <w:pPr>
        <w:pStyle w:val="ListParagraph"/>
        <w:spacing w:line="240" w:lineRule="auto"/>
        <w:ind w:left="540" w:hanging="360"/>
        <w:rPr>
          <w:rFonts w:ascii="Arial" w:hAnsi="Arial" w:cs="Arial"/>
          <w:sz w:val="24"/>
          <w:szCs w:val="24"/>
        </w:rPr>
      </w:pPr>
    </w:p>
    <w:p w14:paraId="0B83C524" w14:textId="4FC1D4D9" w:rsidR="005F55A9" w:rsidRPr="00B41FDC" w:rsidRDefault="008872F9" w:rsidP="00B93ADE">
      <w:pPr>
        <w:pStyle w:val="ListParagraph"/>
        <w:keepNext/>
        <w:keepLines/>
        <w:numPr>
          <w:ilvl w:val="0"/>
          <w:numId w:val="13"/>
        </w:numPr>
        <w:spacing w:line="240" w:lineRule="auto"/>
        <w:ind w:left="540"/>
        <w:rPr>
          <w:rFonts w:ascii="Arial" w:hAnsi="Arial" w:cs="Arial"/>
          <w:sz w:val="24"/>
          <w:szCs w:val="24"/>
        </w:rPr>
      </w:pPr>
      <w:r w:rsidRPr="00B41FDC">
        <w:rPr>
          <w:rFonts w:ascii="Arial" w:hAnsi="Arial" w:cs="Arial"/>
          <w:sz w:val="24"/>
          <w:szCs w:val="24"/>
          <w:u w:val="single"/>
        </w:rPr>
        <w:t>Annual Business Reporting Costs</w:t>
      </w:r>
      <w:r w:rsidRPr="00B41FDC">
        <w:rPr>
          <w:rFonts w:ascii="Arial" w:hAnsi="Arial" w:cs="Arial"/>
          <w:sz w:val="24"/>
          <w:szCs w:val="24"/>
        </w:rPr>
        <w:br/>
      </w:r>
      <w:r w:rsidR="005F55A9" w:rsidRPr="00B41FDC">
        <w:rPr>
          <w:rFonts w:ascii="Arial" w:hAnsi="Arial" w:cs="Arial"/>
          <w:sz w:val="24"/>
          <w:szCs w:val="24"/>
        </w:rPr>
        <w:t xml:space="preserve">The State Water Board has determined that the proposed regulations would not require reports from businesses to the extent that PWS are not considered businesses pursuant to Government Code </w:t>
      </w:r>
      <w:r w:rsidR="00AC6B57" w:rsidRPr="00B41FDC">
        <w:rPr>
          <w:rFonts w:ascii="Arial" w:hAnsi="Arial" w:cs="Arial"/>
          <w:sz w:val="24"/>
          <w:szCs w:val="24"/>
        </w:rPr>
        <w:t>S</w:t>
      </w:r>
      <w:r w:rsidR="005F55A9" w:rsidRPr="00B41FDC">
        <w:rPr>
          <w:rFonts w:ascii="Arial" w:hAnsi="Arial" w:cs="Arial"/>
          <w:sz w:val="24"/>
          <w:szCs w:val="24"/>
        </w:rPr>
        <w:t>ection 11342.610(b)(8).  Additionally, the regulation is not anticipated to impose reporting requirements of any significance beyond already existing reporting requirements.  PWS are already required to monitor for perchlorate and report the results to the State Water Board, and this regulation could increase the monitoring frequency.  Any costs for the reporting are already included in the estimate for the monitoring.  To the extent that this regulation is requiring reporting by businesses, that reporting is necessary for health, safety, or welfare of the people of the state.</w:t>
      </w:r>
    </w:p>
    <w:p w14:paraId="43075C99" w14:textId="77777777" w:rsidR="00B936D8" w:rsidRPr="00B41FDC" w:rsidRDefault="00B936D8" w:rsidP="00360786">
      <w:pPr>
        <w:pStyle w:val="ListParagraph"/>
        <w:ind w:left="540" w:hanging="360"/>
        <w:rPr>
          <w:rFonts w:ascii="Arial" w:hAnsi="Arial" w:cs="Arial"/>
          <w:sz w:val="24"/>
          <w:szCs w:val="24"/>
        </w:rPr>
      </w:pPr>
    </w:p>
    <w:p w14:paraId="6123FBDC" w14:textId="5523E524" w:rsidR="000058AE" w:rsidRPr="00B41FDC" w:rsidRDefault="00425DC5" w:rsidP="00360786">
      <w:pPr>
        <w:pStyle w:val="ListParagraph"/>
        <w:numPr>
          <w:ilvl w:val="0"/>
          <w:numId w:val="12"/>
        </w:numPr>
        <w:spacing w:line="240" w:lineRule="auto"/>
        <w:ind w:left="540"/>
        <w:rPr>
          <w:rFonts w:ascii="Arial" w:hAnsi="Arial" w:cs="Arial"/>
          <w:sz w:val="24"/>
          <w:szCs w:val="24"/>
        </w:rPr>
      </w:pPr>
      <w:r w:rsidRPr="00FF2810">
        <w:rPr>
          <w:rFonts w:ascii="Arial" w:hAnsi="Arial" w:cs="Arial"/>
          <w:sz w:val="24"/>
          <w:szCs w:val="24"/>
          <w:u w:val="single"/>
        </w:rPr>
        <w:lastRenderedPageBreak/>
        <w:t>Need for California Regulation in Absence of Federal Regulation</w:t>
      </w:r>
      <w:r w:rsidRPr="00B41FDC">
        <w:rPr>
          <w:rFonts w:ascii="Arial" w:hAnsi="Arial" w:cs="Arial"/>
          <w:sz w:val="24"/>
          <w:szCs w:val="24"/>
        </w:rPr>
        <w:br/>
      </w:r>
      <w:r w:rsidR="004B32B4" w:rsidRPr="00B41FDC">
        <w:rPr>
          <w:rFonts w:ascii="Arial" w:hAnsi="Arial" w:cs="Arial"/>
          <w:sz w:val="24"/>
          <w:szCs w:val="24"/>
        </w:rPr>
        <w:t xml:space="preserve">There is no existing federal regulation addressing perchlorate in drinking water.  </w:t>
      </w:r>
      <w:r w:rsidR="00992131" w:rsidRPr="00B41FDC">
        <w:rPr>
          <w:rFonts w:ascii="Arial" w:hAnsi="Arial" w:cs="Arial"/>
          <w:sz w:val="24"/>
          <w:szCs w:val="24"/>
        </w:rPr>
        <w:t>S</w:t>
      </w:r>
      <w:r w:rsidR="004B32B4" w:rsidRPr="00B41FDC">
        <w:rPr>
          <w:rFonts w:ascii="Arial" w:hAnsi="Arial" w:cs="Arial"/>
          <w:sz w:val="24"/>
          <w:szCs w:val="24"/>
        </w:rPr>
        <w:t xml:space="preserve">hould the United States Environmental Protection Agency promulgate any drinking water standard for perchlorate, </w:t>
      </w:r>
      <w:r w:rsidR="00472EAB" w:rsidRPr="00B41FDC">
        <w:rPr>
          <w:rFonts w:ascii="Arial" w:hAnsi="Arial" w:cs="Arial"/>
          <w:sz w:val="24"/>
          <w:szCs w:val="24"/>
        </w:rPr>
        <w:t>Health and Safety Code (</w:t>
      </w:r>
      <w:r w:rsidR="004B32B4" w:rsidRPr="00B41FDC">
        <w:rPr>
          <w:rFonts w:ascii="Arial" w:hAnsi="Arial" w:cs="Arial"/>
          <w:sz w:val="24"/>
          <w:szCs w:val="24"/>
        </w:rPr>
        <w:t>HSC</w:t>
      </w:r>
      <w:r w:rsidR="00472EAB" w:rsidRPr="00B41FDC">
        <w:rPr>
          <w:rFonts w:ascii="Arial" w:hAnsi="Arial" w:cs="Arial"/>
          <w:sz w:val="24"/>
          <w:szCs w:val="24"/>
        </w:rPr>
        <w:t>) section</w:t>
      </w:r>
      <w:r w:rsidR="004B32B4" w:rsidRPr="00B41FDC">
        <w:rPr>
          <w:rFonts w:ascii="Arial" w:hAnsi="Arial" w:cs="Arial"/>
          <w:sz w:val="24"/>
          <w:szCs w:val="24"/>
        </w:rPr>
        <w:t xml:space="preserve"> 116270 states California’s legislative intent to establish a program that is more protective of public health than the minimum federal requirements.  HSC 116365 further requires the State Water Board to adopt primary drinking water standards for contaminants at levels as close as feasible to the corresponding public health goal, placing primary emphasis on the protection of public health, and meeting, to the extent technologically and economically feasible, specified conditions.  </w:t>
      </w:r>
      <w:r w:rsidR="004B32B4" w:rsidRPr="00B41FDC">
        <w:rPr>
          <w:rFonts w:ascii="Arial" w:hAnsi="Arial" w:cs="Arial"/>
          <w:sz w:val="24"/>
          <w:szCs w:val="24"/>
        </w:rPr>
        <w:br/>
      </w:r>
      <w:r w:rsidR="004B32B4" w:rsidRPr="00B41FDC">
        <w:rPr>
          <w:rFonts w:ascii="Arial" w:hAnsi="Arial" w:cs="Arial"/>
          <w:sz w:val="24"/>
          <w:szCs w:val="24"/>
        </w:rPr>
        <w:br/>
        <w:t>California’s public health goal for perchlorate is 0.001 mg/L.  The perchlorate DLR is a monitoring and reporting element of California’s primary drinking water standard for perchlorate.  As there is no technological barrier to reliably quantifying perchlorate in drinking water to concentrations as low as 0.001 mg/L, the State Water Board is obliged to set the perchlorate DLR as close to the public health goal of 0.001 mg/L as is economically feasible.</w:t>
      </w:r>
    </w:p>
    <w:p w14:paraId="2E18C9DC" w14:textId="3C051E14" w:rsidR="003320BB" w:rsidRPr="00B41FDC" w:rsidRDefault="003320BB" w:rsidP="00B93ADE">
      <w:pPr>
        <w:pStyle w:val="Heading3"/>
        <w:ind w:left="540"/>
      </w:pPr>
      <w:r w:rsidRPr="00B41FDC">
        <w:t>Section C Estimated Benefits (p. 2):</w:t>
      </w:r>
    </w:p>
    <w:p w14:paraId="74BBE5EB" w14:textId="1998EE1C" w:rsidR="003320BB" w:rsidRPr="00B41FDC" w:rsidRDefault="007356B8" w:rsidP="00360786">
      <w:pPr>
        <w:pStyle w:val="ListParagraph"/>
        <w:numPr>
          <w:ilvl w:val="0"/>
          <w:numId w:val="4"/>
        </w:numPr>
        <w:spacing w:line="240" w:lineRule="auto"/>
        <w:ind w:left="540"/>
        <w:rPr>
          <w:rFonts w:ascii="Arial" w:hAnsi="Arial" w:cs="Arial"/>
          <w:sz w:val="24"/>
          <w:szCs w:val="24"/>
        </w:rPr>
      </w:pPr>
      <w:r w:rsidRPr="007356B8">
        <w:rPr>
          <w:rFonts w:ascii="Arial" w:hAnsi="Arial" w:cs="Arial"/>
          <w:sz w:val="24"/>
          <w:szCs w:val="24"/>
          <w:u w:val="single"/>
        </w:rPr>
        <w:t>Summary of Benefits</w:t>
      </w:r>
      <w:r>
        <w:rPr>
          <w:rFonts w:ascii="Arial" w:hAnsi="Arial" w:cs="Arial"/>
          <w:sz w:val="24"/>
          <w:szCs w:val="24"/>
        </w:rPr>
        <w:br/>
      </w:r>
      <w:r w:rsidR="003320BB" w:rsidRPr="00B41FDC">
        <w:rPr>
          <w:rFonts w:ascii="Arial" w:hAnsi="Arial" w:cs="Arial"/>
          <w:sz w:val="24"/>
          <w:szCs w:val="24"/>
        </w:rPr>
        <w:t xml:space="preserve">The established MCL for perchlorate supports the Health and Safety Code's intent to ensure the water delivered by PWS is pure, wholesome, and potable.  By revising the DLR, overall understanding of the public health protection afforded by the current MCL can be determined through performance evaluations of existing treatment and by thorough evaluation of perchlorate occurrence in drinking water sources in California. </w:t>
      </w:r>
      <w:r w:rsidR="000D632B" w:rsidRPr="00B41FDC">
        <w:rPr>
          <w:rFonts w:ascii="Arial" w:hAnsi="Arial" w:cs="Arial"/>
          <w:sz w:val="24"/>
          <w:szCs w:val="24"/>
        </w:rPr>
        <w:t xml:space="preserve"> </w:t>
      </w:r>
      <w:r w:rsidR="003320BB" w:rsidRPr="00B41FDC">
        <w:rPr>
          <w:rFonts w:ascii="Arial" w:hAnsi="Arial" w:cs="Arial"/>
          <w:sz w:val="24"/>
          <w:szCs w:val="24"/>
        </w:rPr>
        <w:t>Ultimately, a revised DLR offers the capability of determining the technical and economic feasibility for potentially lowering the MCL for perchlorate</w:t>
      </w:r>
      <w:r w:rsidR="00C86224" w:rsidRPr="00B41FDC">
        <w:rPr>
          <w:rFonts w:ascii="Arial" w:hAnsi="Arial" w:cs="Arial"/>
          <w:sz w:val="24"/>
          <w:szCs w:val="24"/>
        </w:rPr>
        <w:t xml:space="preserve"> to provide additional public health protection</w:t>
      </w:r>
      <w:r w:rsidR="003320BB" w:rsidRPr="00B41FDC">
        <w:rPr>
          <w:rFonts w:ascii="Arial" w:hAnsi="Arial" w:cs="Arial"/>
          <w:sz w:val="24"/>
          <w:szCs w:val="24"/>
        </w:rPr>
        <w:t>.</w:t>
      </w:r>
    </w:p>
    <w:p w14:paraId="47115950" w14:textId="77777777" w:rsidR="003320BB" w:rsidRPr="00B41FDC" w:rsidRDefault="003320BB" w:rsidP="00360786">
      <w:pPr>
        <w:pStyle w:val="ListParagraph"/>
        <w:spacing w:line="240" w:lineRule="auto"/>
        <w:ind w:left="540" w:hanging="360"/>
        <w:rPr>
          <w:rFonts w:ascii="Arial" w:hAnsi="Arial" w:cs="Arial"/>
          <w:sz w:val="24"/>
          <w:szCs w:val="24"/>
        </w:rPr>
      </w:pPr>
    </w:p>
    <w:p w14:paraId="0202E210" w14:textId="6B6FEB96" w:rsidR="003320BB" w:rsidRPr="00B41FDC" w:rsidRDefault="007356B8" w:rsidP="00360786">
      <w:pPr>
        <w:pStyle w:val="ListParagraph"/>
        <w:numPr>
          <w:ilvl w:val="0"/>
          <w:numId w:val="4"/>
        </w:numPr>
        <w:spacing w:line="240" w:lineRule="auto"/>
        <w:ind w:left="540"/>
        <w:rPr>
          <w:rFonts w:ascii="Arial" w:hAnsi="Arial" w:cs="Arial"/>
          <w:sz w:val="24"/>
          <w:szCs w:val="24"/>
        </w:rPr>
      </w:pPr>
      <w:r w:rsidRPr="007356B8">
        <w:rPr>
          <w:rFonts w:ascii="Arial" w:hAnsi="Arial" w:cs="Arial"/>
          <w:sz w:val="24"/>
          <w:szCs w:val="24"/>
          <w:u w:val="single"/>
        </w:rPr>
        <w:t>Basis of Benefits</w:t>
      </w:r>
      <w:r>
        <w:rPr>
          <w:rFonts w:ascii="Arial" w:hAnsi="Arial" w:cs="Arial"/>
          <w:sz w:val="24"/>
          <w:szCs w:val="24"/>
        </w:rPr>
        <w:br/>
      </w:r>
      <w:r w:rsidR="003320BB" w:rsidRPr="00B41FDC">
        <w:rPr>
          <w:rFonts w:ascii="Arial" w:hAnsi="Arial" w:cs="Arial"/>
          <w:sz w:val="24"/>
          <w:szCs w:val="24"/>
        </w:rPr>
        <w:t>The State Water Board is responsible for adopting primary drinking water standards, which must be set in accordance with the requirements of Section 116365 of the California Safe Drinking Water Act (SDWA)</w:t>
      </w:r>
      <w:r w:rsidR="004F16B4" w:rsidRPr="00B41FDC">
        <w:rPr>
          <w:rFonts w:ascii="Arial" w:hAnsi="Arial" w:cs="Arial"/>
          <w:sz w:val="24"/>
          <w:szCs w:val="24"/>
        </w:rPr>
        <w:t xml:space="preserve"> </w:t>
      </w:r>
      <w:r w:rsidR="003320BB" w:rsidRPr="00B41FDC">
        <w:rPr>
          <w:rFonts w:ascii="Arial" w:hAnsi="Arial" w:cs="Arial"/>
          <w:sz w:val="24"/>
          <w:szCs w:val="24"/>
        </w:rPr>
        <w:t>(</w:t>
      </w:r>
      <w:r w:rsidR="003320BB" w:rsidRPr="00B41FDC" w:rsidDel="00FE580B">
        <w:rPr>
          <w:rFonts w:ascii="Arial" w:hAnsi="Arial" w:cs="Arial"/>
          <w:sz w:val="24"/>
          <w:szCs w:val="24"/>
        </w:rPr>
        <w:t xml:space="preserve"> </w:t>
      </w:r>
      <w:r w:rsidR="003320BB" w:rsidRPr="00B41FDC">
        <w:rPr>
          <w:rFonts w:ascii="Arial" w:hAnsi="Arial" w:cs="Arial"/>
          <w:sz w:val="24"/>
          <w:szCs w:val="24"/>
        </w:rPr>
        <w:t xml:space="preserve">Health and Safety Code, div. 104, pt. 12, ch. 4, §116270 </w:t>
      </w:r>
      <w:r w:rsidR="003320BB" w:rsidRPr="00B41FDC">
        <w:rPr>
          <w:rFonts w:ascii="Arial" w:hAnsi="Arial" w:cs="Arial"/>
          <w:i/>
          <w:sz w:val="24"/>
          <w:szCs w:val="24"/>
        </w:rPr>
        <w:t>et seq</w:t>
      </w:r>
      <w:r w:rsidR="003320BB" w:rsidRPr="00B41FDC">
        <w:rPr>
          <w:rFonts w:ascii="Arial" w:hAnsi="Arial" w:cs="Arial"/>
          <w:sz w:val="24"/>
          <w:szCs w:val="24"/>
        </w:rPr>
        <w:t xml:space="preserve">.).  Section 116365 requires that the MCL be set as close as feasible to the public health goal placing primary emphasis on the protection of public health, and that to the extent technologically and economically feasible, avoids any significant risk to public health.  The DLR is a parameter that is set by regulation for each reportable </w:t>
      </w:r>
      <w:r w:rsidR="00B570F7" w:rsidRPr="00B41FDC">
        <w:rPr>
          <w:rFonts w:ascii="Arial" w:hAnsi="Arial" w:cs="Arial"/>
          <w:sz w:val="24"/>
          <w:szCs w:val="24"/>
        </w:rPr>
        <w:t>chemical and</w:t>
      </w:r>
      <w:r w:rsidR="003320BB" w:rsidRPr="00B41FDC">
        <w:rPr>
          <w:rFonts w:ascii="Arial" w:hAnsi="Arial" w:cs="Arial"/>
          <w:sz w:val="24"/>
          <w:szCs w:val="24"/>
        </w:rPr>
        <w:t xml:space="preserve"> would be an important element when considering whether it is technologica</w:t>
      </w:r>
      <w:r w:rsidR="008D32D6" w:rsidRPr="00B41FDC">
        <w:rPr>
          <w:rFonts w:ascii="Arial" w:hAnsi="Arial" w:cs="Arial"/>
          <w:sz w:val="24"/>
          <w:szCs w:val="24"/>
        </w:rPr>
        <w:t>l</w:t>
      </w:r>
      <w:r w:rsidR="003320BB" w:rsidRPr="00B41FDC">
        <w:rPr>
          <w:rFonts w:ascii="Arial" w:hAnsi="Arial" w:cs="Arial"/>
          <w:sz w:val="24"/>
          <w:szCs w:val="24"/>
        </w:rPr>
        <w:t>l</w:t>
      </w:r>
      <w:r w:rsidR="008D32D6" w:rsidRPr="00B41FDC">
        <w:rPr>
          <w:rFonts w:ascii="Arial" w:hAnsi="Arial" w:cs="Arial"/>
          <w:sz w:val="24"/>
          <w:szCs w:val="24"/>
        </w:rPr>
        <w:t>y</w:t>
      </w:r>
      <w:r w:rsidR="003320BB" w:rsidRPr="00B41FDC">
        <w:rPr>
          <w:rFonts w:ascii="Arial" w:hAnsi="Arial" w:cs="Arial"/>
          <w:sz w:val="24"/>
          <w:szCs w:val="24"/>
        </w:rPr>
        <w:t xml:space="preserve"> feasibl</w:t>
      </w:r>
      <w:r w:rsidR="008D32D6" w:rsidRPr="00B41FDC">
        <w:rPr>
          <w:rFonts w:ascii="Arial" w:hAnsi="Arial" w:cs="Arial"/>
          <w:sz w:val="24"/>
          <w:szCs w:val="24"/>
        </w:rPr>
        <w:t>e</w:t>
      </w:r>
      <w:r w:rsidR="003320BB" w:rsidRPr="00B41FDC">
        <w:rPr>
          <w:rFonts w:ascii="Arial" w:hAnsi="Arial" w:cs="Arial"/>
          <w:sz w:val="24"/>
          <w:szCs w:val="24"/>
        </w:rPr>
        <w:t xml:space="preserve"> to lower the MCL closer to the public health goal.</w:t>
      </w:r>
    </w:p>
    <w:p w14:paraId="44797178" w14:textId="77777777" w:rsidR="003320BB" w:rsidRPr="00B41FDC" w:rsidRDefault="003320BB" w:rsidP="00360786">
      <w:pPr>
        <w:pStyle w:val="ListParagraph"/>
        <w:spacing w:line="240" w:lineRule="auto"/>
        <w:ind w:left="540" w:hanging="360"/>
        <w:rPr>
          <w:rFonts w:ascii="Arial" w:hAnsi="Arial" w:cs="Arial"/>
          <w:sz w:val="24"/>
          <w:szCs w:val="24"/>
        </w:rPr>
      </w:pPr>
    </w:p>
    <w:p w14:paraId="3C0A3294" w14:textId="5C2F558E" w:rsidR="003320BB" w:rsidRPr="00B41FDC" w:rsidRDefault="007356B8" w:rsidP="00360786">
      <w:pPr>
        <w:pStyle w:val="ListParagraph"/>
        <w:numPr>
          <w:ilvl w:val="0"/>
          <w:numId w:val="4"/>
        </w:numPr>
        <w:tabs>
          <w:tab w:val="left" w:pos="360"/>
        </w:tabs>
        <w:spacing w:line="240" w:lineRule="auto"/>
        <w:ind w:left="540"/>
        <w:rPr>
          <w:rFonts w:ascii="Arial" w:hAnsi="Arial" w:cs="Arial"/>
          <w:sz w:val="24"/>
          <w:szCs w:val="24"/>
        </w:rPr>
      </w:pPr>
      <w:r w:rsidRPr="007356B8">
        <w:rPr>
          <w:rFonts w:ascii="Arial" w:hAnsi="Arial" w:cs="Arial"/>
          <w:sz w:val="24"/>
          <w:szCs w:val="24"/>
          <w:u w:val="single"/>
        </w:rPr>
        <w:t>Lifetime Benefits</w:t>
      </w:r>
      <w:r>
        <w:rPr>
          <w:rFonts w:ascii="Arial" w:hAnsi="Arial" w:cs="Arial"/>
          <w:sz w:val="24"/>
          <w:szCs w:val="24"/>
        </w:rPr>
        <w:br/>
      </w:r>
      <w:r w:rsidR="003320BB" w:rsidRPr="00B41FDC">
        <w:rPr>
          <w:rFonts w:ascii="Arial" w:hAnsi="Arial" w:cs="Arial"/>
          <w:sz w:val="24"/>
          <w:szCs w:val="24"/>
        </w:rPr>
        <w:t>A lower DLR would allow for earlier indication of perchlorate and allow for treatment mitigation for drinking water sources with perchlorate contamination.  Reduction in the health impacts are not measurable, therefore the potential health benefits cannot be financially quantified.  As noted above, it is also one of the first steps in determining if it is feasible to lower the MCL for perchlorate, which would have potential benefits to the health and welfare of California residents.</w:t>
      </w:r>
    </w:p>
    <w:p w14:paraId="726C33C0" w14:textId="77777777" w:rsidR="003320BB" w:rsidRPr="00B41FDC" w:rsidRDefault="003320BB" w:rsidP="00360786">
      <w:pPr>
        <w:pStyle w:val="ListParagraph"/>
        <w:tabs>
          <w:tab w:val="left" w:pos="360"/>
        </w:tabs>
        <w:spacing w:line="240" w:lineRule="auto"/>
        <w:ind w:left="540" w:hanging="360"/>
        <w:rPr>
          <w:rFonts w:ascii="Arial" w:hAnsi="Arial" w:cs="Arial"/>
          <w:sz w:val="24"/>
          <w:szCs w:val="24"/>
        </w:rPr>
      </w:pPr>
    </w:p>
    <w:p w14:paraId="0B10E558" w14:textId="7D50BF45" w:rsidR="003320BB" w:rsidRPr="00B41FDC" w:rsidRDefault="007356B8" w:rsidP="00360786">
      <w:pPr>
        <w:pStyle w:val="ListParagraph"/>
        <w:numPr>
          <w:ilvl w:val="0"/>
          <w:numId w:val="4"/>
        </w:numPr>
        <w:spacing w:line="240" w:lineRule="auto"/>
        <w:ind w:left="540"/>
        <w:rPr>
          <w:rFonts w:ascii="Arial" w:hAnsi="Arial" w:cs="Arial"/>
          <w:sz w:val="24"/>
          <w:szCs w:val="24"/>
        </w:rPr>
      </w:pPr>
      <w:r w:rsidRPr="007356B8">
        <w:rPr>
          <w:rFonts w:ascii="Arial" w:hAnsi="Arial" w:cs="Arial"/>
          <w:sz w:val="24"/>
          <w:szCs w:val="24"/>
          <w:u w:val="single"/>
        </w:rPr>
        <w:t>Expansion of California Businesses</w:t>
      </w:r>
      <w:r>
        <w:rPr>
          <w:rFonts w:ascii="Arial" w:hAnsi="Arial" w:cs="Arial"/>
          <w:sz w:val="24"/>
          <w:szCs w:val="24"/>
        </w:rPr>
        <w:br/>
      </w:r>
      <w:r w:rsidR="003320BB" w:rsidRPr="00B41FDC">
        <w:rPr>
          <w:rFonts w:ascii="Arial" w:hAnsi="Arial" w:cs="Arial"/>
          <w:sz w:val="24"/>
          <w:szCs w:val="24"/>
        </w:rPr>
        <w:t>Businesses providing laboratory/monitoring services may expand in size and/or number.  There are also opportunities for companies to be expanded in response to the increased demand to develop new analytical technologies to address the lower detection requirements for perchlorate.  However, given that there are existing laboratory analytical methods for detecting perchlorate, the extent of possible expansion of businesses cannot be predicted, and the State Water Board does not anticipate the creation or elimination of any businesses.</w:t>
      </w:r>
    </w:p>
    <w:p w14:paraId="6040BA89" w14:textId="77777777" w:rsidR="003320BB" w:rsidRPr="00B41FDC" w:rsidRDefault="003320BB" w:rsidP="00BC14FC">
      <w:pPr>
        <w:pStyle w:val="ListParagraph"/>
        <w:spacing w:line="240" w:lineRule="auto"/>
        <w:ind w:left="540" w:hanging="360"/>
        <w:rPr>
          <w:rFonts w:ascii="Arial" w:hAnsi="Arial" w:cs="Arial"/>
          <w:sz w:val="24"/>
          <w:szCs w:val="24"/>
        </w:rPr>
      </w:pPr>
    </w:p>
    <w:p w14:paraId="505ECF3A" w14:textId="0080D961" w:rsidR="003320BB" w:rsidRPr="00B41FDC" w:rsidRDefault="003320BB" w:rsidP="00D9388B">
      <w:pPr>
        <w:pStyle w:val="Heading3"/>
        <w:ind w:left="540"/>
      </w:pPr>
      <w:r w:rsidRPr="00B41FDC">
        <w:t>Section D Alternatives to the Regulation (pp. 2-3):</w:t>
      </w:r>
    </w:p>
    <w:p w14:paraId="2BF0A29A" w14:textId="62801E9C" w:rsidR="002A23DB" w:rsidRPr="00B41FDC" w:rsidRDefault="001C3A41" w:rsidP="00360786">
      <w:pPr>
        <w:pStyle w:val="ListParagraph"/>
        <w:numPr>
          <w:ilvl w:val="0"/>
          <w:numId w:val="6"/>
        </w:numPr>
        <w:spacing w:line="240" w:lineRule="auto"/>
        <w:ind w:left="540"/>
        <w:rPr>
          <w:rFonts w:ascii="Arial" w:hAnsi="Arial" w:cs="Arial"/>
          <w:sz w:val="24"/>
          <w:szCs w:val="24"/>
        </w:rPr>
      </w:pPr>
      <w:r w:rsidRPr="00B41FDC">
        <w:rPr>
          <w:rFonts w:ascii="Arial" w:hAnsi="Arial" w:cs="Arial"/>
          <w:sz w:val="24"/>
          <w:szCs w:val="24"/>
          <w:u w:val="single"/>
        </w:rPr>
        <w:t>Alternatives Considered</w:t>
      </w:r>
      <w:r w:rsidRPr="00B41FDC">
        <w:rPr>
          <w:rFonts w:ascii="Arial" w:hAnsi="Arial" w:cs="Arial"/>
          <w:sz w:val="24"/>
          <w:szCs w:val="24"/>
        </w:rPr>
        <w:t xml:space="preserve"> </w:t>
      </w:r>
      <w:r w:rsidR="003A23B1" w:rsidRPr="00B41FDC">
        <w:rPr>
          <w:rFonts w:ascii="Arial" w:hAnsi="Arial" w:cs="Arial"/>
          <w:sz w:val="24"/>
          <w:szCs w:val="24"/>
        </w:rPr>
        <w:br/>
      </w:r>
      <w:r w:rsidR="00176E26" w:rsidRPr="00B41FDC">
        <w:rPr>
          <w:rFonts w:ascii="Arial" w:hAnsi="Arial" w:cs="Arial"/>
          <w:sz w:val="24"/>
          <w:szCs w:val="24"/>
        </w:rPr>
        <w:t>The State Water Board, in its March 6, 2020 Notice of Proposed Rulemaking, initially proposed a DLR of 0.002 mg/L, with an alternative of 0.001 mg/L initially rejected on the basis of in</w:t>
      </w:r>
      <w:r w:rsidR="00270024" w:rsidRPr="00B41FDC">
        <w:rPr>
          <w:rFonts w:ascii="Arial" w:hAnsi="Arial" w:cs="Arial"/>
          <w:sz w:val="24"/>
          <w:szCs w:val="24"/>
        </w:rPr>
        <w:t>sufficient</w:t>
      </w:r>
      <w:r w:rsidR="00176E26" w:rsidRPr="00B41FDC">
        <w:rPr>
          <w:rFonts w:ascii="Arial" w:hAnsi="Arial" w:cs="Arial"/>
          <w:sz w:val="24"/>
          <w:szCs w:val="24"/>
        </w:rPr>
        <w:t xml:space="preserve"> current laboratory capacity at this level.  Based on public comments received, the State Water Board has reconsidered that alternative.  As there is no technological barrier to 0.001 mg/L, the State Water Board </w:t>
      </w:r>
      <w:r w:rsidR="001A193D" w:rsidRPr="00B41FDC">
        <w:rPr>
          <w:rFonts w:ascii="Arial" w:hAnsi="Arial" w:cs="Arial"/>
          <w:sz w:val="24"/>
          <w:szCs w:val="24"/>
        </w:rPr>
        <w:t>revised the regulation proposal to include</w:t>
      </w:r>
      <w:r w:rsidR="00176E26" w:rsidRPr="00B41FDC">
        <w:rPr>
          <w:rFonts w:ascii="Arial" w:hAnsi="Arial" w:cs="Arial"/>
          <w:sz w:val="24"/>
          <w:szCs w:val="24"/>
        </w:rPr>
        <w:t xml:space="preserve"> phased, or stepped, implementation to allow time to develop the necessary laboratory capacity at the 0.001 mg/L level.  </w:t>
      </w:r>
      <w:r w:rsidR="00813A28" w:rsidRPr="00B41FDC">
        <w:rPr>
          <w:rFonts w:ascii="Arial" w:hAnsi="Arial" w:cs="Arial"/>
          <w:sz w:val="24"/>
          <w:szCs w:val="24"/>
        </w:rPr>
        <w:t xml:space="preserve">The proposed regulation is primarily now what was, initially, the alternative, with the alternative now what was, initially, the proposed regulation.  </w:t>
      </w:r>
      <w:r w:rsidR="003320BB" w:rsidRPr="00B41FDC">
        <w:rPr>
          <w:rFonts w:ascii="Arial" w:hAnsi="Arial" w:cs="Arial"/>
          <w:sz w:val="24"/>
          <w:szCs w:val="24"/>
        </w:rPr>
        <w:t xml:space="preserve">A DLR of 0.001 mg/L was considered since it is equal to the public health goal and </w:t>
      </w:r>
      <w:r w:rsidR="00642CC3" w:rsidRPr="00B41FDC">
        <w:rPr>
          <w:rFonts w:ascii="Arial" w:hAnsi="Arial" w:cs="Arial"/>
          <w:sz w:val="24"/>
          <w:szCs w:val="24"/>
        </w:rPr>
        <w:t>could afford</w:t>
      </w:r>
      <w:r w:rsidR="003320BB" w:rsidRPr="00B41FDC">
        <w:rPr>
          <w:rFonts w:ascii="Arial" w:hAnsi="Arial" w:cs="Arial"/>
          <w:sz w:val="24"/>
          <w:szCs w:val="24"/>
        </w:rPr>
        <w:t xml:space="preserve"> the </w:t>
      </w:r>
      <w:r w:rsidR="00813A28" w:rsidRPr="00B41FDC">
        <w:rPr>
          <w:rFonts w:ascii="Arial" w:hAnsi="Arial" w:cs="Arial"/>
          <w:sz w:val="24"/>
          <w:szCs w:val="24"/>
        </w:rPr>
        <w:t>data necessary to evaluate</w:t>
      </w:r>
      <w:r w:rsidR="003320BB" w:rsidRPr="00B41FDC">
        <w:rPr>
          <w:rFonts w:ascii="Arial" w:hAnsi="Arial" w:cs="Arial"/>
          <w:sz w:val="24"/>
          <w:szCs w:val="24"/>
        </w:rPr>
        <w:t xml:space="preserve"> develop</w:t>
      </w:r>
      <w:r w:rsidR="00813A28" w:rsidRPr="00B41FDC">
        <w:rPr>
          <w:rFonts w:ascii="Arial" w:hAnsi="Arial" w:cs="Arial"/>
          <w:sz w:val="24"/>
          <w:szCs w:val="24"/>
        </w:rPr>
        <w:t>ment of</w:t>
      </w:r>
      <w:r w:rsidR="003320BB" w:rsidRPr="00B41FDC">
        <w:rPr>
          <w:rFonts w:ascii="Arial" w:hAnsi="Arial" w:cs="Arial"/>
          <w:sz w:val="24"/>
          <w:szCs w:val="24"/>
        </w:rPr>
        <w:t xml:space="preserve"> a future MCL that is closer to the public health goal.  </w:t>
      </w:r>
      <w:r w:rsidR="003A23B1" w:rsidRPr="00B41FDC">
        <w:rPr>
          <w:rFonts w:ascii="Arial" w:hAnsi="Arial" w:cs="Arial"/>
          <w:sz w:val="24"/>
          <w:szCs w:val="24"/>
        </w:rPr>
        <w:t>T</w:t>
      </w:r>
      <w:r w:rsidR="003320BB" w:rsidRPr="00B41FDC">
        <w:rPr>
          <w:rFonts w:ascii="Arial" w:hAnsi="Arial" w:cs="Arial"/>
          <w:sz w:val="24"/>
          <w:szCs w:val="24"/>
        </w:rPr>
        <w:t xml:space="preserve">o comply with a DLR of 0.001 mg/L, a laboratory would have to use a more sensitive validated analytical method.  </w:t>
      </w:r>
      <w:r w:rsidR="003A23B1" w:rsidRPr="00B41FDC">
        <w:rPr>
          <w:rFonts w:ascii="Arial" w:hAnsi="Arial" w:cs="Arial"/>
          <w:sz w:val="24"/>
          <w:szCs w:val="24"/>
        </w:rPr>
        <w:t xml:space="preserve">While currently more than 80% of California laboratories analyzing for perchlorate in drinking water are using methods capable of reliably quantifying to 0.002 mg/L, only about </w:t>
      </w:r>
      <w:r w:rsidR="003320BB" w:rsidRPr="00B41FDC">
        <w:rPr>
          <w:rFonts w:ascii="Arial" w:hAnsi="Arial" w:cs="Arial"/>
          <w:sz w:val="24"/>
          <w:szCs w:val="24"/>
        </w:rPr>
        <w:t xml:space="preserve">20% of laboratories </w:t>
      </w:r>
      <w:r w:rsidR="003A23B1" w:rsidRPr="00B41FDC">
        <w:rPr>
          <w:rFonts w:ascii="Arial" w:hAnsi="Arial" w:cs="Arial"/>
          <w:sz w:val="24"/>
          <w:szCs w:val="24"/>
        </w:rPr>
        <w:t>are accredited for methods capable of reliably quantifying to 0.001 mg/L</w:t>
      </w:r>
      <w:r w:rsidR="003320BB" w:rsidRPr="00B41FDC">
        <w:rPr>
          <w:rFonts w:ascii="Arial" w:hAnsi="Arial" w:cs="Arial"/>
          <w:sz w:val="24"/>
          <w:szCs w:val="24"/>
        </w:rPr>
        <w:t xml:space="preserve">.  </w:t>
      </w:r>
    </w:p>
    <w:p w14:paraId="2530F060" w14:textId="77777777" w:rsidR="002A23DB" w:rsidRPr="00B41FDC" w:rsidRDefault="002A23DB" w:rsidP="00360786">
      <w:pPr>
        <w:pStyle w:val="ListParagraph"/>
        <w:spacing w:line="240" w:lineRule="auto"/>
        <w:ind w:left="540" w:hanging="360"/>
        <w:rPr>
          <w:rFonts w:ascii="Arial" w:hAnsi="Arial" w:cs="Arial"/>
          <w:sz w:val="24"/>
          <w:szCs w:val="24"/>
        </w:rPr>
      </w:pPr>
    </w:p>
    <w:p w14:paraId="70F4EA7C" w14:textId="37DBFEBD" w:rsidR="005F55A9" w:rsidRPr="00B41FDC" w:rsidRDefault="00205766" w:rsidP="00360786">
      <w:pPr>
        <w:pStyle w:val="ListParagraph"/>
        <w:spacing w:line="240" w:lineRule="auto"/>
        <w:ind w:left="540"/>
        <w:rPr>
          <w:rFonts w:ascii="Arial" w:hAnsi="Arial" w:cs="Arial"/>
          <w:sz w:val="24"/>
          <w:szCs w:val="24"/>
        </w:rPr>
      </w:pPr>
      <w:r w:rsidRPr="00B41FDC">
        <w:rPr>
          <w:rFonts w:ascii="Arial" w:hAnsi="Arial" w:cs="Arial"/>
          <w:sz w:val="24"/>
          <w:szCs w:val="24"/>
        </w:rPr>
        <w:t xml:space="preserve">For </w:t>
      </w:r>
      <w:r w:rsidR="00DF37EB" w:rsidRPr="00B41FDC">
        <w:rPr>
          <w:rFonts w:ascii="Arial" w:hAnsi="Arial" w:cs="Arial"/>
          <w:sz w:val="24"/>
          <w:szCs w:val="24"/>
        </w:rPr>
        <w:t>comparison</w:t>
      </w:r>
      <w:r w:rsidRPr="00B41FDC">
        <w:rPr>
          <w:rFonts w:ascii="Arial" w:hAnsi="Arial" w:cs="Arial"/>
          <w:sz w:val="24"/>
          <w:szCs w:val="24"/>
        </w:rPr>
        <w:t>, t</w:t>
      </w:r>
      <w:r w:rsidR="003320BB" w:rsidRPr="00B41FDC">
        <w:rPr>
          <w:rFonts w:ascii="Arial" w:hAnsi="Arial" w:cs="Arial"/>
          <w:sz w:val="24"/>
          <w:szCs w:val="24"/>
        </w:rPr>
        <w:t xml:space="preserve">he current DLR </w:t>
      </w:r>
      <w:r w:rsidR="00DF37EB" w:rsidRPr="00B41FDC">
        <w:rPr>
          <w:rFonts w:ascii="Arial" w:hAnsi="Arial" w:cs="Arial"/>
          <w:sz w:val="24"/>
          <w:szCs w:val="24"/>
        </w:rPr>
        <w:t xml:space="preserve">of 0.004 mg/L </w:t>
      </w:r>
      <w:r w:rsidR="003320BB" w:rsidRPr="00B41FDC">
        <w:rPr>
          <w:rFonts w:ascii="Arial" w:hAnsi="Arial" w:cs="Arial"/>
          <w:sz w:val="24"/>
          <w:szCs w:val="24"/>
        </w:rPr>
        <w:t xml:space="preserve">was established based on a capacity of greater than 75% of the accredited laboratories currently offering </w:t>
      </w:r>
      <w:r w:rsidR="005A1569" w:rsidRPr="00B41FDC">
        <w:rPr>
          <w:rFonts w:ascii="Arial" w:hAnsi="Arial" w:cs="Arial"/>
          <w:sz w:val="24"/>
          <w:szCs w:val="24"/>
        </w:rPr>
        <w:t xml:space="preserve">adequately sensitive </w:t>
      </w:r>
      <w:r w:rsidR="003320BB" w:rsidRPr="00B41FDC">
        <w:rPr>
          <w:rFonts w:ascii="Arial" w:hAnsi="Arial" w:cs="Arial"/>
          <w:sz w:val="24"/>
          <w:szCs w:val="24"/>
        </w:rPr>
        <w:t xml:space="preserve">analytical methods.  </w:t>
      </w:r>
      <w:r w:rsidR="00DF3F10" w:rsidRPr="00B41FDC">
        <w:rPr>
          <w:rFonts w:ascii="Arial" w:hAnsi="Arial" w:cs="Arial"/>
          <w:sz w:val="24"/>
          <w:szCs w:val="24"/>
        </w:rPr>
        <w:t>Sufficient l</w:t>
      </w:r>
      <w:r w:rsidR="003320BB" w:rsidRPr="00B41FDC">
        <w:rPr>
          <w:rFonts w:ascii="Arial" w:hAnsi="Arial" w:cs="Arial"/>
          <w:sz w:val="24"/>
          <w:szCs w:val="24"/>
        </w:rPr>
        <w:t xml:space="preserve">aboratory capacity </w:t>
      </w:r>
      <w:r w:rsidR="001A193D" w:rsidRPr="00B41FDC">
        <w:rPr>
          <w:rFonts w:ascii="Arial" w:hAnsi="Arial" w:cs="Arial"/>
          <w:sz w:val="24"/>
          <w:szCs w:val="24"/>
        </w:rPr>
        <w:t>at the 0.001 mg/L</w:t>
      </w:r>
      <w:r w:rsidR="00BB13E6" w:rsidRPr="00B41FDC">
        <w:rPr>
          <w:rFonts w:ascii="Arial" w:hAnsi="Arial" w:cs="Arial"/>
          <w:sz w:val="24"/>
          <w:szCs w:val="24"/>
        </w:rPr>
        <w:t xml:space="preserve"> </w:t>
      </w:r>
      <w:r w:rsidR="002A23DB" w:rsidRPr="00B41FDC">
        <w:rPr>
          <w:rFonts w:ascii="Arial" w:hAnsi="Arial" w:cs="Arial"/>
          <w:sz w:val="24"/>
          <w:szCs w:val="24"/>
        </w:rPr>
        <w:t xml:space="preserve">performance </w:t>
      </w:r>
      <w:r w:rsidR="001A193D" w:rsidRPr="00B41FDC">
        <w:rPr>
          <w:rFonts w:ascii="Arial" w:hAnsi="Arial" w:cs="Arial"/>
          <w:sz w:val="24"/>
          <w:szCs w:val="24"/>
        </w:rPr>
        <w:t xml:space="preserve">level </w:t>
      </w:r>
      <w:r w:rsidR="003320BB" w:rsidRPr="00B41FDC">
        <w:rPr>
          <w:rFonts w:ascii="Arial" w:hAnsi="Arial" w:cs="Arial"/>
          <w:sz w:val="24"/>
          <w:szCs w:val="24"/>
        </w:rPr>
        <w:t xml:space="preserve">does not </w:t>
      </w:r>
      <w:r w:rsidRPr="00B41FDC">
        <w:rPr>
          <w:rFonts w:ascii="Arial" w:hAnsi="Arial" w:cs="Arial"/>
          <w:sz w:val="24"/>
          <w:szCs w:val="24"/>
        </w:rPr>
        <w:t xml:space="preserve">currently </w:t>
      </w:r>
      <w:r w:rsidR="003320BB" w:rsidRPr="00B41FDC">
        <w:rPr>
          <w:rFonts w:ascii="Arial" w:hAnsi="Arial" w:cs="Arial"/>
          <w:sz w:val="24"/>
          <w:szCs w:val="24"/>
        </w:rPr>
        <w:t xml:space="preserve">exist, so </w:t>
      </w:r>
      <w:r w:rsidR="005A1569" w:rsidRPr="00B41FDC">
        <w:rPr>
          <w:rFonts w:ascii="Arial" w:hAnsi="Arial" w:cs="Arial"/>
          <w:sz w:val="24"/>
          <w:szCs w:val="24"/>
        </w:rPr>
        <w:t>a DLR of 0.001 mg/L</w:t>
      </w:r>
      <w:r w:rsidR="003320BB" w:rsidRPr="00B41FDC">
        <w:rPr>
          <w:rFonts w:ascii="Arial" w:hAnsi="Arial" w:cs="Arial"/>
          <w:sz w:val="24"/>
          <w:szCs w:val="24"/>
        </w:rPr>
        <w:t xml:space="preserve"> is not </w:t>
      </w:r>
      <w:r w:rsidR="001A193D" w:rsidRPr="00B41FDC">
        <w:rPr>
          <w:rFonts w:ascii="Arial" w:hAnsi="Arial" w:cs="Arial"/>
          <w:sz w:val="24"/>
          <w:szCs w:val="24"/>
        </w:rPr>
        <w:t>immediately</w:t>
      </w:r>
      <w:r w:rsidR="003320BB" w:rsidRPr="00B41FDC">
        <w:rPr>
          <w:rFonts w:ascii="Arial" w:hAnsi="Arial" w:cs="Arial"/>
          <w:sz w:val="24"/>
          <w:szCs w:val="24"/>
        </w:rPr>
        <w:t xml:space="preserve"> feasible</w:t>
      </w:r>
      <w:r w:rsidR="002A23DB" w:rsidRPr="00B41FDC">
        <w:rPr>
          <w:rFonts w:ascii="Arial" w:hAnsi="Arial" w:cs="Arial"/>
          <w:sz w:val="24"/>
          <w:szCs w:val="24"/>
        </w:rPr>
        <w:t xml:space="preserve">. </w:t>
      </w:r>
      <w:r w:rsidR="007C0E0A" w:rsidRPr="00B41FDC">
        <w:rPr>
          <w:rFonts w:ascii="Arial" w:hAnsi="Arial" w:cs="Arial"/>
          <w:sz w:val="24"/>
          <w:szCs w:val="24"/>
        </w:rPr>
        <w:t xml:space="preserve"> </w:t>
      </w:r>
      <w:r w:rsidR="00C359F8" w:rsidRPr="00B41FDC">
        <w:rPr>
          <w:rFonts w:ascii="Arial" w:hAnsi="Arial" w:cs="Arial"/>
          <w:sz w:val="24"/>
          <w:szCs w:val="24"/>
        </w:rPr>
        <w:t xml:space="preserve">Therefore, this alternative was incorporated into the current proposed regulation to offer a </w:t>
      </w:r>
      <w:r w:rsidR="00B570F7" w:rsidRPr="00B41FDC">
        <w:rPr>
          <w:rFonts w:ascii="Arial" w:hAnsi="Arial" w:cs="Arial"/>
          <w:sz w:val="24"/>
          <w:szCs w:val="24"/>
        </w:rPr>
        <w:t>two-phase</w:t>
      </w:r>
      <w:r w:rsidR="00C359F8" w:rsidRPr="00B41FDC">
        <w:rPr>
          <w:rFonts w:ascii="Arial" w:hAnsi="Arial" w:cs="Arial"/>
          <w:sz w:val="24"/>
          <w:szCs w:val="24"/>
        </w:rPr>
        <w:t xml:space="preserve"> approach to revising the DLR</w:t>
      </w:r>
      <w:r w:rsidR="003A23B1" w:rsidRPr="00B41FDC">
        <w:rPr>
          <w:rFonts w:ascii="Arial" w:hAnsi="Arial" w:cs="Arial"/>
          <w:sz w:val="24"/>
          <w:szCs w:val="24"/>
        </w:rPr>
        <w:t xml:space="preserve">, with a 3-year timeline </w:t>
      </w:r>
      <w:r w:rsidR="00520B92" w:rsidRPr="00B41FDC">
        <w:rPr>
          <w:rFonts w:ascii="Arial" w:hAnsi="Arial" w:cs="Arial"/>
          <w:sz w:val="24"/>
          <w:szCs w:val="24"/>
        </w:rPr>
        <w:t>provided to allow development of laboratory capacity at the 0.001 mg/L level</w:t>
      </w:r>
      <w:r w:rsidR="00C359F8" w:rsidRPr="00B41FDC">
        <w:rPr>
          <w:rFonts w:ascii="Arial" w:hAnsi="Arial" w:cs="Arial"/>
          <w:sz w:val="24"/>
          <w:szCs w:val="24"/>
        </w:rPr>
        <w:t>.</w:t>
      </w:r>
      <w:r w:rsidR="003320BB" w:rsidRPr="00B41FDC">
        <w:rPr>
          <w:rFonts w:ascii="Arial" w:hAnsi="Arial" w:cs="Arial"/>
          <w:sz w:val="24"/>
          <w:szCs w:val="24"/>
        </w:rPr>
        <w:t xml:space="preserve">  </w:t>
      </w:r>
      <w:r w:rsidR="00DF3F10" w:rsidRPr="00B41FDC">
        <w:rPr>
          <w:rFonts w:ascii="Arial" w:hAnsi="Arial" w:cs="Arial"/>
          <w:sz w:val="24"/>
          <w:szCs w:val="24"/>
        </w:rPr>
        <w:t>No</w:t>
      </w:r>
      <w:r w:rsidR="003320BB" w:rsidRPr="00B41FDC">
        <w:rPr>
          <w:rFonts w:ascii="Arial" w:hAnsi="Arial" w:cs="Arial"/>
          <w:sz w:val="24"/>
          <w:szCs w:val="24"/>
        </w:rPr>
        <w:t xml:space="preserve"> other alternative</w:t>
      </w:r>
      <w:r w:rsidR="00DF3F10" w:rsidRPr="00B41FDC">
        <w:rPr>
          <w:rFonts w:ascii="Arial" w:hAnsi="Arial" w:cs="Arial"/>
          <w:sz w:val="24"/>
          <w:szCs w:val="24"/>
        </w:rPr>
        <w:t>s were</w:t>
      </w:r>
      <w:r w:rsidR="003320BB" w:rsidRPr="00B41FDC">
        <w:rPr>
          <w:rFonts w:ascii="Arial" w:hAnsi="Arial" w:cs="Arial"/>
          <w:sz w:val="24"/>
          <w:szCs w:val="24"/>
        </w:rPr>
        <w:t xml:space="preserve"> considered.</w:t>
      </w:r>
    </w:p>
    <w:p w14:paraId="7C190898" w14:textId="77777777" w:rsidR="003320BB" w:rsidRPr="00B41FDC" w:rsidRDefault="003320BB" w:rsidP="00D9388B">
      <w:pPr>
        <w:pStyle w:val="ListParagraph"/>
        <w:spacing w:line="240" w:lineRule="auto"/>
        <w:ind w:left="540"/>
        <w:rPr>
          <w:rFonts w:ascii="Arial" w:hAnsi="Arial" w:cs="Arial"/>
          <w:sz w:val="24"/>
          <w:szCs w:val="24"/>
        </w:rPr>
      </w:pPr>
    </w:p>
    <w:p w14:paraId="72736639" w14:textId="5A1D61C7" w:rsidR="009E5EA8" w:rsidRPr="009E5EA8" w:rsidRDefault="001C3A41" w:rsidP="00360786">
      <w:pPr>
        <w:pStyle w:val="ListParagraph"/>
        <w:numPr>
          <w:ilvl w:val="0"/>
          <w:numId w:val="6"/>
        </w:numPr>
        <w:spacing w:line="240" w:lineRule="auto"/>
        <w:ind w:left="540"/>
        <w:rPr>
          <w:rFonts w:ascii="Arial" w:hAnsi="Arial" w:cs="Arial"/>
          <w:sz w:val="24"/>
          <w:szCs w:val="24"/>
        </w:rPr>
      </w:pPr>
      <w:r w:rsidRPr="00B41FDC">
        <w:rPr>
          <w:rFonts w:ascii="Arial" w:hAnsi="Arial" w:cs="Arial"/>
          <w:sz w:val="24"/>
          <w:szCs w:val="24"/>
          <w:u w:val="single"/>
        </w:rPr>
        <w:t>Costs and Benefits for Regulation and Alternative</w:t>
      </w:r>
      <w:r w:rsidR="0069755E" w:rsidRPr="00B41FDC">
        <w:rPr>
          <w:rFonts w:ascii="Arial" w:hAnsi="Arial" w:cs="Arial"/>
          <w:sz w:val="24"/>
          <w:szCs w:val="24"/>
        </w:rPr>
        <w:br/>
      </w:r>
      <w:r w:rsidR="003320BB" w:rsidRPr="00B41FDC">
        <w:rPr>
          <w:rFonts w:ascii="Arial" w:hAnsi="Arial" w:cs="Arial"/>
          <w:sz w:val="24"/>
          <w:szCs w:val="24"/>
        </w:rPr>
        <w:t xml:space="preserve">The proposed regulation does not have an end-date and therefore will not have a lifetime cost; however, the estimated total cost </w:t>
      </w:r>
      <w:r w:rsidR="00B00099">
        <w:rPr>
          <w:rFonts w:ascii="Arial" w:hAnsi="Arial" w:cs="Arial"/>
          <w:sz w:val="24"/>
          <w:szCs w:val="24"/>
        </w:rPr>
        <w:t xml:space="preserve">(see Table II) </w:t>
      </w:r>
      <w:r w:rsidR="003320BB" w:rsidRPr="00B41FDC">
        <w:rPr>
          <w:rFonts w:ascii="Arial" w:hAnsi="Arial" w:cs="Arial"/>
          <w:sz w:val="24"/>
          <w:szCs w:val="24"/>
        </w:rPr>
        <w:t>for each year</w:t>
      </w:r>
      <w:r w:rsidR="009578CE" w:rsidRPr="00B41FDC">
        <w:rPr>
          <w:rFonts w:ascii="Arial" w:hAnsi="Arial" w:cs="Arial"/>
          <w:sz w:val="24"/>
          <w:szCs w:val="24"/>
        </w:rPr>
        <w:t xml:space="preserve"> </w:t>
      </w:r>
      <w:r w:rsidR="00A35F0D">
        <w:rPr>
          <w:rFonts w:ascii="Arial" w:hAnsi="Arial" w:cs="Arial"/>
          <w:sz w:val="24"/>
          <w:szCs w:val="24"/>
        </w:rPr>
        <w:t>is</w:t>
      </w:r>
      <w:r w:rsidR="002E3E10" w:rsidRPr="00B41FDC">
        <w:rPr>
          <w:rFonts w:ascii="Arial" w:hAnsi="Arial" w:cs="Arial"/>
          <w:sz w:val="24"/>
          <w:szCs w:val="24"/>
        </w:rPr>
        <w:t xml:space="preserve"> </w:t>
      </w:r>
      <w:r w:rsidR="002E3E10" w:rsidRPr="002E3E10">
        <w:rPr>
          <w:rFonts w:ascii="Arial" w:hAnsi="Arial" w:cs="Arial"/>
          <w:b/>
          <w:bCs/>
          <w:sz w:val="24"/>
          <w:szCs w:val="24"/>
        </w:rPr>
        <w:t>$1,</w:t>
      </w:r>
      <w:r w:rsidR="006C56D6">
        <w:rPr>
          <w:rFonts w:ascii="Arial" w:hAnsi="Arial" w:cs="Arial"/>
          <w:b/>
          <w:bCs/>
          <w:sz w:val="24"/>
          <w:szCs w:val="24"/>
        </w:rPr>
        <w:t>611,456</w:t>
      </w:r>
      <w:r w:rsidR="002E3E10" w:rsidRPr="00D9388B" w:rsidDel="002E3E10">
        <w:rPr>
          <w:rFonts w:ascii="Arial" w:hAnsi="Arial" w:cs="Arial"/>
          <w:b/>
          <w:bCs/>
          <w:sz w:val="24"/>
          <w:szCs w:val="24"/>
        </w:rPr>
        <w:t xml:space="preserve"> </w:t>
      </w:r>
      <w:r w:rsidR="009578CE" w:rsidRPr="00B41FDC">
        <w:rPr>
          <w:rFonts w:ascii="Arial" w:hAnsi="Arial" w:cs="Arial"/>
          <w:sz w:val="24"/>
          <w:szCs w:val="24"/>
        </w:rPr>
        <w:t xml:space="preserve">for the first 3 years </w:t>
      </w:r>
      <w:r w:rsidR="009578CE" w:rsidRPr="00D9388B">
        <w:rPr>
          <w:rFonts w:ascii="Arial" w:hAnsi="Arial" w:cs="Arial"/>
          <w:sz w:val="24"/>
          <w:szCs w:val="24"/>
        </w:rPr>
        <w:t xml:space="preserve">and </w:t>
      </w:r>
      <w:r w:rsidR="00460F42">
        <w:rPr>
          <w:rFonts w:ascii="Arial" w:hAnsi="Arial" w:cs="Arial"/>
          <w:sz w:val="24"/>
          <w:szCs w:val="24"/>
        </w:rPr>
        <w:t xml:space="preserve">approximately </w:t>
      </w:r>
      <w:r w:rsidR="00CD00C5" w:rsidRPr="00D9388B">
        <w:rPr>
          <w:rFonts w:ascii="Arial" w:hAnsi="Arial" w:cs="Arial"/>
          <w:b/>
          <w:bCs/>
          <w:sz w:val="24"/>
          <w:szCs w:val="24"/>
        </w:rPr>
        <w:t>$</w:t>
      </w:r>
      <w:r w:rsidR="006C56D6">
        <w:rPr>
          <w:rFonts w:ascii="Arial" w:hAnsi="Arial" w:cs="Arial"/>
          <w:b/>
          <w:bCs/>
          <w:sz w:val="24"/>
          <w:szCs w:val="24"/>
        </w:rPr>
        <w:t>7,080,267</w:t>
      </w:r>
      <w:r w:rsidR="002E3E10">
        <w:rPr>
          <w:rFonts w:ascii="Arial" w:hAnsi="Arial" w:cs="Arial"/>
          <w:b/>
          <w:bCs/>
          <w:sz w:val="24"/>
          <w:szCs w:val="24"/>
        </w:rPr>
        <w:t xml:space="preserve"> </w:t>
      </w:r>
      <w:r w:rsidR="00A05A17">
        <w:rPr>
          <w:rFonts w:ascii="Arial" w:hAnsi="Arial" w:cs="Arial"/>
          <w:sz w:val="24"/>
          <w:szCs w:val="24"/>
        </w:rPr>
        <w:t>(</w:t>
      </w:r>
      <w:r w:rsidR="00A05A17" w:rsidRPr="00A05A17">
        <w:rPr>
          <w:rFonts w:ascii="Arial" w:hAnsi="Arial" w:cs="Arial"/>
          <w:sz w:val="24"/>
          <w:szCs w:val="24"/>
        </w:rPr>
        <w:t>$</w:t>
      </w:r>
      <w:r w:rsidR="006C56D6">
        <w:rPr>
          <w:rFonts w:ascii="Arial" w:hAnsi="Arial" w:cs="Arial"/>
          <w:sz w:val="24"/>
          <w:szCs w:val="24"/>
        </w:rPr>
        <w:t>125,198,901</w:t>
      </w:r>
      <w:r w:rsidR="002E3E10" w:rsidRPr="002E3E10">
        <w:rPr>
          <w:rFonts w:ascii="Arial" w:hAnsi="Arial" w:cs="Arial"/>
          <w:sz w:val="24"/>
          <w:szCs w:val="24"/>
        </w:rPr>
        <w:t xml:space="preserve"> </w:t>
      </w:r>
      <w:r w:rsidR="00460F42">
        <w:rPr>
          <w:rFonts w:ascii="Arial" w:hAnsi="Arial" w:cs="Arial"/>
          <w:sz w:val="24"/>
          <w:szCs w:val="24"/>
        </w:rPr>
        <w:t>/ 17 years)</w:t>
      </w:r>
      <w:r w:rsidR="00CD00C5" w:rsidRPr="00D9388B">
        <w:rPr>
          <w:rFonts w:ascii="Arial" w:hAnsi="Arial" w:cs="Arial"/>
          <w:sz w:val="24"/>
          <w:szCs w:val="24"/>
        </w:rPr>
        <w:t xml:space="preserve"> </w:t>
      </w:r>
      <w:r w:rsidR="009578CE" w:rsidRPr="00B41FDC">
        <w:rPr>
          <w:rFonts w:ascii="Arial" w:hAnsi="Arial" w:cs="Arial"/>
          <w:sz w:val="24"/>
          <w:szCs w:val="24"/>
        </w:rPr>
        <w:t xml:space="preserve">per year </w:t>
      </w:r>
      <w:r w:rsidR="00C239ED" w:rsidRPr="00B41FDC">
        <w:rPr>
          <w:rFonts w:ascii="Arial" w:hAnsi="Arial" w:cs="Arial"/>
          <w:sz w:val="24"/>
          <w:szCs w:val="24"/>
        </w:rPr>
        <w:t>thereafter</w:t>
      </w:r>
      <w:r w:rsidR="009578CE" w:rsidRPr="00B41FDC">
        <w:rPr>
          <w:rFonts w:ascii="Arial" w:hAnsi="Arial" w:cs="Arial"/>
          <w:sz w:val="24"/>
          <w:szCs w:val="24"/>
        </w:rPr>
        <w:t xml:space="preserve">. </w:t>
      </w:r>
      <w:r w:rsidR="003320BB" w:rsidRPr="00B41FDC">
        <w:rPr>
          <w:rFonts w:ascii="Arial" w:hAnsi="Arial" w:cs="Arial"/>
          <w:sz w:val="24"/>
          <w:szCs w:val="24"/>
        </w:rPr>
        <w:t xml:space="preserve">Current per-analysis costs associated with the 0.001 mg/L </w:t>
      </w:r>
      <w:r w:rsidR="009578CE" w:rsidRPr="00B41FDC">
        <w:rPr>
          <w:rFonts w:ascii="Arial" w:hAnsi="Arial" w:cs="Arial"/>
          <w:sz w:val="24"/>
          <w:szCs w:val="24"/>
        </w:rPr>
        <w:t xml:space="preserve">proposed regulation </w:t>
      </w:r>
      <w:r w:rsidR="003E321D" w:rsidRPr="00B41FDC">
        <w:rPr>
          <w:rFonts w:ascii="Arial" w:hAnsi="Arial" w:cs="Arial"/>
          <w:sz w:val="24"/>
          <w:szCs w:val="24"/>
        </w:rPr>
        <w:t xml:space="preserve">are </w:t>
      </w:r>
      <w:r w:rsidR="003320BB" w:rsidRPr="00B41FDC">
        <w:rPr>
          <w:rFonts w:ascii="Arial" w:hAnsi="Arial" w:cs="Arial"/>
          <w:sz w:val="24"/>
          <w:szCs w:val="24"/>
        </w:rPr>
        <w:t xml:space="preserve">approximately </w:t>
      </w:r>
      <w:r w:rsidR="00C239ED" w:rsidRPr="00B41FDC">
        <w:rPr>
          <w:rFonts w:ascii="Arial" w:hAnsi="Arial" w:cs="Arial"/>
          <w:sz w:val="24"/>
          <w:szCs w:val="24"/>
        </w:rPr>
        <w:t xml:space="preserve">four </w:t>
      </w:r>
      <w:r w:rsidR="003320BB" w:rsidRPr="00B41FDC">
        <w:rPr>
          <w:rFonts w:ascii="Arial" w:hAnsi="Arial" w:cs="Arial"/>
          <w:sz w:val="24"/>
          <w:szCs w:val="24"/>
        </w:rPr>
        <w:t xml:space="preserve">times </w:t>
      </w:r>
      <w:r w:rsidR="009578CE" w:rsidRPr="00B41FDC">
        <w:rPr>
          <w:rFonts w:ascii="Arial" w:hAnsi="Arial" w:cs="Arial"/>
          <w:sz w:val="24"/>
          <w:szCs w:val="24"/>
        </w:rPr>
        <w:t xml:space="preserve">greater than the </w:t>
      </w:r>
      <w:r w:rsidR="00BE701A" w:rsidRPr="00B41FDC">
        <w:rPr>
          <w:rFonts w:ascii="Arial" w:hAnsi="Arial" w:cs="Arial"/>
          <w:sz w:val="24"/>
          <w:szCs w:val="24"/>
        </w:rPr>
        <w:t>alternative</w:t>
      </w:r>
      <w:r w:rsidR="000427F4" w:rsidRPr="00B41FDC">
        <w:rPr>
          <w:rFonts w:ascii="Arial" w:hAnsi="Arial" w:cs="Arial"/>
          <w:sz w:val="24"/>
          <w:szCs w:val="24"/>
        </w:rPr>
        <w:t xml:space="preserve"> of 0.002 mg/L</w:t>
      </w:r>
      <w:r w:rsidR="009E5EA8">
        <w:rPr>
          <w:rFonts w:ascii="Arial" w:hAnsi="Arial" w:cs="Arial"/>
          <w:sz w:val="24"/>
          <w:szCs w:val="24"/>
        </w:rPr>
        <w:t xml:space="preserve">.  The alternative regulation has an estimated annual cost of </w:t>
      </w:r>
      <w:r w:rsidR="00187C8C" w:rsidRPr="002E3E10">
        <w:rPr>
          <w:rFonts w:ascii="Arial" w:hAnsi="Arial" w:cs="Arial"/>
          <w:b/>
          <w:bCs/>
          <w:sz w:val="24"/>
          <w:szCs w:val="24"/>
        </w:rPr>
        <w:t>$1,</w:t>
      </w:r>
      <w:r w:rsidR="00187C8C">
        <w:rPr>
          <w:rFonts w:ascii="Arial" w:hAnsi="Arial" w:cs="Arial"/>
          <w:b/>
          <w:bCs/>
          <w:sz w:val="24"/>
          <w:szCs w:val="24"/>
        </w:rPr>
        <w:t>611,456</w:t>
      </w:r>
      <w:r w:rsidR="00187C8C" w:rsidRPr="00D9388B" w:rsidDel="002E3E10">
        <w:rPr>
          <w:rFonts w:ascii="Arial" w:hAnsi="Arial" w:cs="Arial"/>
          <w:b/>
          <w:bCs/>
          <w:sz w:val="24"/>
          <w:szCs w:val="24"/>
        </w:rPr>
        <w:t xml:space="preserve"> </w:t>
      </w:r>
      <w:r w:rsidR="009E5EA8" w:rsidRPr="00A35F0D">
        <w:rPr>
          <w:rFonts w:ascii="Arial" w:hAnsi="Arial" w:cs="Arial"/>
          <w:sz w:val="24"/>
          <w:szCs w:val="24"/>
        </w:rPr>
        <w:t>for the duration of the alternative regulation.</w:t>
      </w:r>
    </w:p>
    <w:p w14:paraId="332F21DB" w14:textId="77777777" w:rsidR="009E5EA8" w:rsidRDefault="009E5EA8" w:rsidP="00A35F0D">
      <w:pPr>
        <w:pStyle w:val="ListParagraph"/>
        <w:spacing w:line="240" w:lineRule="auto"/>
        <w:ind w:left="540"/>
        <w:rPr>
          <w:rFonts w:ascii="Arial" w:hAnsi="Arial" w:cs="Arial"/>
          <w:sz w:val="24"/>
          <w:szCs w:val="24"/>
        </w:rPr>
      </w:pPr>
    </w:p>
    <w:p w14:paraId="1F248130" w14:textId="1DEAE7C2" w:rsidR="003320BB" w:rsidRPr="00B41FDC" w:rsidRDefault="00BE701A" w:rsidP="00A35F0D">
      <w:pPr>
        <w:pStyle w:val="ListParagraph"/>
        <w:spacing w:line="240" w:lineRule="auto"/>
        <w:ind w:left="540"/>
        <w:rPr>
          <w:rFonts w:ascii="Arial" w:hAnsi="Arial" w:cs="Arial"/>
          <w:sz w:val="24"/>
          <w:szCs w:val="24"/>
        </w:rPr>
      </w:pPr>
      <w:r w:rsidRPr="00B41FDC">
        <w:rPr>
          <w:rFonts w:ascii="Arial" w:hAnsi="Arial" w:cs="Arial"/>
          <w:sz w:val="24"/>
          <w:szCs w:val="24"/>
        </w:rPr>
        <w:lastRenderedPageBreak/>
        <w:t>T</w:t>
      </w:r>
      <w:r w:rsidR="001E49E9" w:rsidRPr="00B41FDC">
        <w:rPr>
          <w:rFonts w:ascii="Arial" w:hAnsi="Arial" w:cs="Arial"/>
          <w:sz w:val="24"/>
          <w:szCs w:val="24"/>
        </w:rPr>
        <w:t xml:space="preserve">he State Water Board </w:t>
      </w:r>
      <w:r w:rsidRPr="00B41FDC">
        <w:rPr>
          <w:rFonts w:ascii="Arial" w:hAnsi="Arial" w:cs="Arial"/>
          <w:sz w:val="24"/>
          <w:szCs w:val="24"/>
        </w:rPr>
        <w:t>presents</w:t>
      </w:r>
      <w:r w:rsidR="001E49E9" w:rsidRPr="00B41FDC">
        <w:rPr>
          <w:rFonts w:ascii="Arial" w:hAnsi="Arial" w:cs="Arial"/>
          <w:sz w:val="24"/>
          <w:szCs w:val="24"/>
        </w:rPr>
        <w:t xml:space="preserve"> a </w:t>
      </w:r>
      <w:r w:rsidR="00B20F6D" w:rsidRPr="00B41FDC">
        <w:rPr>
          <w:rFonts w:ascii="Arial" w:hAnsi="Arial" w:cs="Arial"/>
          <w:sz w:val="24"/>
          <w:szCs w:val="24"/>
        </w:rPr>
        <w:t xml:space="preserve">conservative, </w:t>
      </w:r>
      <w:r w:rsidR="001E49E9" w:rsidRPr="00B41FDC">
        <w:rPr>
          <w:rFonts w:ascii="Arial" w:hAnsi="Arial" w:cs="Arial"/>
          <w:sz w:val="24"/>
          <w:szCs w:val="24"/>
        </w:rPr>
        <w:t>worst</w:t>
      </w:r>
      <w:r w:rsidR="00942C52" w:rsidRPr="00B41FDC">
        <w:rPr>
          <w:rFonts w:ascii="Arial" w:hAnsi="Arial" w:cs="Arial"/>
          <w:sz w:val="24"/>
          <w:szCs w:val="24"/>
        </w:rPr>
        <w:t>-</w:t>
      </w:r>
      <w:r w:rsidR="001E49E9" w:rsidRPr="00B41FDC">
        <w:rPr>
          <w:rFonts w:ascii="Arial" w:hAnsi="Arial" w:cs="Arial"/>
          <w:sz w:val="24"/>
          <w:szCs w:val="24"/>
        </w:rPr>
        <w:t>case cost estimate</w:t>
      </w:r>
      <w:r w:rsidR="003320BB" w:rsidRPr="00B41FDC">
        <w:rPr>
          <w:rFonts w:ascii="Arial" w:hAnsi="Arial" w:cs="Arial"/>
          <w:sz w:val="24"/>
          <w:szCs w:val="24"/>
        </w:rPr>
        <w:t xml:space="preserve"> </w:t>
      </w:r>
      <w:r w:rsidR="008472E8" w:rsidRPr="00B41FDC">
        <w:rPr>
          <w:rFonts w:ascii="Arial" w:hAnsi="Arial" w:cs="Arial"/>
          <w:sz w:val="24"/>
          <w:szCs w:val="24"/>
        </w:rPr>
        <w:t xml:space="preserve">for projected increased monitoring frequencies and using </w:t>
      </w:r>
      <w:r w:rsidRPr="00B41FDC">
        <w:rPr>
          <w:rFonts w:ascii="Arial" w:hAnsi="Arial" w:cs="Arial"/>
          <w:sz w:val="24"/>
          <w:szCs w:val="24"/>
        </w:rPr>
        <w:t>currently available laboratory service</w:t>
      </w:r>
      <w:r w:rsidR="00B20F6D" w:rsidRPr="00B41FDC">
        <w:rPr>
          <w:rFonts w:ascii="Arial" w:hAnsi="Arial" w:cs="Arial"/>
          <w:sz w:val="24"/>
          <w:szCs w:val="24"/>
        </w:rPr>
        <w:t xml:space="preserve"> and analysis rates</w:t>
      </w:r>
      <w:r w:rsidRPr="00B41FDC">
        <w:rPr>
          <w:rFonts w:ascii="Arial" w:hAnsi="Arial" w:cs="Arial"/>
          <w:sz w:val="24"/>
          <w:szCs w:val="24"/>
        </w:rPr>
        <w:t xml:space="preserve">. </w:t>
      </w:r>
      <w:r w:rsidR="00B20F6D" w:rsidRPr="00B41FDC">
        <w:rPr>
          <w:rFonts w:ascii="Arial" w:hAnsi="Arial" w:cs="Arial"/>
          <w:sz w:val="24"/>
          <w:szCs w:val="24"/>
        </w:rPr>
        <w:t xml:space="preserve"> </w:t>
      </w:r>
    </w:p>
    <w:p w14:paraId="567CD40B" w14:textId="77777777" w:rsidR="003320BB" w:rsidRPr="00B41FDC" w:rsidRDefault="003320BB" w:rsidP="00360786">
      <w:pPr>
        <w:pStyle w:val="ListParagraph"/>
        <w:spacing w:line="240" w:lineRule="auto"/>
        <w:ind w:left="540" w:hanging="360"/>
        <w:rPr>
          <w:rFonts w:ascii="Arial" w:hAnsi="Arial" w:cs="Arial"/>
          <w:sz w:val="24"/>
          <w:szCs w:val="24"/>
        </w:rPr>
      </w:pPr>
    </w:p>
    <w:p w14:paraId="0BBFBD7B" w14:textId="354EACC1" w:rsidR="003320BB" w:rsidRPr="00B41FDC" w:rsidRDefault="003320BB" w:rsidP="00360786">
      <w:pPr>
        <w:pStyle w:val="ListParagraph"/>
        <w:spacing w:line="240" w:lineRule="auto"/>
        <w:ind w:left="540"/>
        <w:rPr>
          <w:rFonts w:ascii="Arial" w:hAnsi="Arial" w:cs="Arial"/>
          <w:sz w:val="24"/>
          <w:szCs w:val="24"/>
        </w:rPr>
      </w:pPr>
      <w:r w:rsidRPr="00B41FDC">
        <w:rPr>
          <w:rFonts w:ascii="Arial" w:hAnsi="Arial" w:cs="Arial"/>
          <w:sz w:val="24"/>
          <w:szCs w:val="24"/>
        </w:rPr>
        <w:t xml:space="preserve">The benefit from reduction of health risk cannot be </w:t>
      </w:r>
      <w:r w:rsidR="00520B92" w:rsidRPr="00B41FDC">
        <w:rPr>
          <w:rFonts w:ascii="Arial" w:hAnsi="Arial" w:cs="Arial"/>
          <w:sz w:val="24"/>
          <w:szCs w:val="24"/>
        </w:rPr>
        <w:t xml:space="preserve">quantified </w:t>
      </w:r>
      <w:r w:rsidRPr="00B41FDC">
        <w:rPr>
          <w:rFonts w:ascii="Arial" w:hAnsi="Arial" w:cs="Arial"/>
          <w:sz w:val="24"/>
          <w:szCs w:val="24"/>
        </w:rPr>
        <w:t>since the perchlorate MCL will remain unchanged for both the proposed regulation and Alternative 1.</w:t>
      </w:r>
      <w:r w:rsidR="00520B92" w:rsidRPr="00B41FDC">
        <w:rPr>
          <w:rFonts w:ascii="Arial" w:hAnsi="Arial" w:cs="Arial"/>
          <w:sz w:val="24"/>
          <w:szCs w:val="24"/>
        </w:rPr>
        <w:t xml:space="preserve">  An additional nonquantifiable benefit includes consumer confidence and education afforded through the reporting of lower concentrations of perchlorate.  </w:t>
      </w:r>
    </w:p>
    <w:p w14:paraId="40A854F8" w14:textId="77777777" w:rsidR="003320BB" w:rsidRPr="00B41FDC" w:rsidRDefault="003320BB" w:rsidP="00360786">
      <w:pPr>
        <w:pStyle w:val="ListParagraph"/>
        <w:spacing w:line="240" w:lineRule="auto"/>
        <w:ind w:left="540" w:hanging="360"/>
        <w:rPr>
          <w:rFonts w:ascii="Arial" w:hAnsi="Arial" w:cs="Arial"/>
          <w:sz w:val="24"/>
          <w:szCs w:val="24"/>
        </w:rPr>
      </w:pPr>
    </w:p>
    <w:p w14:paraId="5F01421C" w14:textId="0F9788A0" w:rsidR="003320BB" w:rsidRPr="00B41FDC" w:rsidRDefault="001C3A41" w:rsidP="00360786">
      <w:pPr>
        <w:pStyle w:val="ListParagraph"/>
        <w:numPr>
          <w:ilvl w:val="0"/>
          <w:numId w:val="6"/>
        </w:numPr>
        <w:spacing w:line="240" w:lineRule="auto"/>
        <w:ind w:left="540"/>
        <w:rPr>
          <w:rFonts w:ascii="Arial" w:hAnsi="Arial" w:cs="Arial"/>
          <w:sz w:val="24"/>
          <w:szCs w:val="24"/>
        </w:rPr>
      </w:pPr>
      <w:r w:rsidRPr="00B41FDC">
        <w:rPr>
          <w:rFonts w:ascii="Arial" w:hAnsi="Arial" w:cs="Arial"/>
          <w:sz w:val="24"/>
          <w:szCs w:val="24"/>
          <w:u w:val="single"/>
        </w:rPr>
        <w:t>Comparison Quantification Issues</w:t>
      </w:r>
      <w:r w:rsidR="0069755E" w:rsidRPr="00B41FDC">
        <w:rPr>
          <w:rFonts w:ascii="Arial" w:hAnsi="Arial" w:cs="Arial"/>
          <w:sz w:val="24"/>
          <w:szCs w:val="24"/>
        </w:rPr>
        <w:br/>
      </w:r>
      <w:r w:rsidR="003320BB" w:rsidRPr="00B41FDC">
        <w:rPr>
          <w:rFonts w:ascii="Arial" w:hAnsi="Arial" w:cs="Arial"/>
          <w:sz w:val="24"/>
          <w:szCs w:val="24"/>
        </w:rPr>
        <w:t xml:space="preserve">As discussed at B.1, total lifetime cost for this regulation cannot be estimated as the regulation does not have an end-date and it </w:t>
      </w:r>
      <w:r w:rsidR="00BD17B2" w:rsidRPr="00B41FDC">
        <w:rPr>
          <w:rFonts w:ascii="Arial" w:hAnsi="Arial" w:cs="Arial"/>
          <w:sz w:val="24"/>
          <w:szCs w:val="24"/>
        </w:rPr>
        <w:t xml:space="preserve">would be speculative to </w:t>
      </w:r>
      <w:r w:rsidR="00F9186E" w:rsidRPr="00B41FDC">
        <w:rPr>
          <w:rFonts w:ascii="Arial" w:hAnsi="Arial" w:cs="Arial"/>
          <w:sz w:val="24"/>
          <w:szCs w:val="24"/>
        </w:rPr>
        <w:t xml:space="preserve">further </w:t>
      </w:r>
      <w:r w:rsidR="00BD17B2" w:rsidRPr="00B41FDC">
        <w:rPr>
          <w:rFonts w:ascii="Arial" w:hAnsi="Arial" w:cs="Arial"/>
          <w:sz w:val="24"/>
          <w:szCs w:val="24"/>
        </w:rPr>
        <w:t>attempt</w:t>
      </w:r>
      <w:r w:rsidR="003320BB" w:rsidRPr="00B41FDC">
        <w:rPr>
          <w:rFonts w:ascii="Arial" w:hAnsi="Arial" w:cs="Arial"/>
          <w:sz w:val="24"/>
          <w:szCs w:val="24"/>
        </w:rPr>
        <w:t xml:space="preserve"> to predict</w:t>
      </w:r>
      <w:r w:rsidR="00BD17B2" w:rsidRPr="00B41FDC">
        <w:rPr>
          <w:rFonts w:ascii="Arial" w:hAnsi="Arial" w:cs="Arial"/>
          <w:sz w:val="24"/>
          <w:szCs w:val="24"/>
        </w:rPr>
        <w:t xml:space="preserve"> the number of PWS that might eventually be required to conduct additional monitoring</w:t>
      </w:r>
      <w:r w:rsidR="003320BB" w:rsidRPr="00B41FDC">
        <w:rPr>
          <w:rFonts w:ascii="Arial" w:hAnsi="Arial" w:cs="Arial"/>
          <w:sz w:val="24"/>
          <w:szCs w:val="24"/>
        </w:rPr>
        <w:t xml:space="preserve">.  </w:t>
      </w:r>
      <w:r w:rsidR="008472E8" w:rsidRPr="00B41FDC">
        <w:rPr>
          <w:rFonts w:ascii="Arial" w:hAnsi="Arial" w:cs="Arial"/>
          <w:sz w:val="24"/>
          <w:szCs w:val="24"/>
        </w:rPr>
        <w:br/>
      </w:r>
      <w:r w:rsidR="008472E8" w:rsidRPr="00B41FDC">
        <w:rPr>
          <w:rFonts w:ascii="Arial" w:hAnsi="Arial" w:cs="Arial"/>
          <w:sz w:val="24"/>
          <w:szCs w:val="24"/>
        </w:rPr>
        <w:br/>
      </w:r>
      <w:r w:rsidR="00F9186E" w:rsidRPr="00B41FDC">
        <w:rPr>
          <w:rFonts w:ascii="Arial" w:hAnsi="Arial" w:cs="Arial"/>
          <w:sz w:val="24"/>
          <w:szCs w:val="24"/>
        </w:rPr>
        <w:t>The State Water Board is unable to quantify the variety of potential laboratory industry market responses to the proposed regulation</w:t>
      </w:r>
      <w:r w:rsidR="00D146DC" w:rsidRPr="00B41FDC">
        <w:rPr>
          <w:rFonts w:ascii="Arial" w:hAnsi="Arial" w:cs="Arial"/>
          <w:sz w:val="24"/>
          <w:szCs w:val="24"/>
        </w:rPr>
        <w:t xml:space="preserve"> and alternative</w:t>
      </w:r>
      <w:r w:rsidR="00F9186E" w:rsidRPr="00B41FDC">
        <w:rPr>
          <w:rFonts w:ascii="Arial" w:hAnsi="Arial" w:cs="Arial"/>
          <w:sz w:val="24"/>
          <w:szCs w:val="24"/>
        </w:rPr>
        <w:t xml:space="preserve">.  </w:t>
      </w:r>
      <w:r w:rsidR="00D146DC" w:rsidRPr="00B41FDC">
        <w:rPr>
          <w:rFonts w:ascii="Arial" w:hAnsi="Arial" w:cs="Arial"/>
          <w:sz w:val="24"/>
          <w:szCs w:val="24"/>
        </w:rPr>
        <w:t>T</w:t>
      </w:r>
      <w:r w:rsidR="008472E8" w:rsidRPr="00B41FDC">
        <w:rPr>
          <w:rFonts w:ascii="Arial" w:hAnsi="Arial" w:cs="Arial"/>
          <w:sz w:val="24"/>
          <w:szCs w:val="24"/>
        </w:rPr>
        <w:t xml:space="preserve">he State Water Board </w:t>
      </w:r>
      <w:r w:rsidR="00F9186E" w:rsidRPr="00B41FDC">
        <w:rPr>
          <w:rFonts w:ascii="Arial" w:hAnsi="Arial" w:cs="Arial"/>
          <w:sz w:val="24"/>
          <w:szCs w:val="24"/>
        </w:rPr>
        <w:t>cannot</w:t>
      </w:r>
      <w:r w:rsidR="008472E8" w:rsidRPr="00B41FDC">
        <w:rPr>
          <w:rFonts w:ascii="Arial" w:hAnsi="Arial" w:cs="Arial"/>
          <w:sz w:val="24"/>
          <w:szCs w:val="24"/>
        </w:rPr>
        <w:t xml:space="preserve"> predict and quantify how many laboratories will choose to upgrade instrumentation and methodology</w:t>
      </w:r>
      <w:r w:rsidR="00D146DC" w:rsidRPr="00B41FDC">
        <w:rPr>
          <w:rFonts w:ascii="Arial" w:hAnsi="Arial" w:cs="Arial"/>
          <w:sz w:val="24"/>
          <w:szCs w:val="24"/>
        </w:rPr>
        <w:t xml:space="preserve"> for the proposed regulation of 0.001 mg/L</w:t>
      </w:r>
      <w:r w:rsidR="008472E8" w:rsidRPr="00B41FDC">
        <w:rPr>
          <w:rFonts w:ascii="Arial" w:hAnsi="Arial" w:cs="Arial"/>
          <w:sz w:val="24"/>
          <w:szCs w:val="24"/>
        </w:rPr>
        <w:t xml:space="preserve">, how many may choose to cease analysis of perchlorate, how many may choose to subcontract perchlorate analyses, how many may choose to </w:t>
      </w:r>
      <w:r w:rsidR="00D146DC" w:rsidRPr="00B41FDC">
        <w:rPr>
          <w:rFonts w:ascii="Arial" w:hAnsi="Arial" w:cs="Arial"/>
          <w:sz w:val="24"/>
          <w:szCs w:val="24"/>
        </w:rPr>
        <w:t>refine their protocols to support reliable quantitation to 0.001 mg/L and avoid costs associated with instrumentation acquisition</w:t>
      </w:r>
      <w:r w:rsidR="008472E8" w:rsidRPr="00B41FDC">
        <w:rPr>
          <w:rFonts w:ascii="Arial" w:hAnsi="Arial" w:cs="Arial"/>
          <w:sz w:val="24"/>
          <w:szCs w:val="24"/>
        </w:rPr>
        <w:t xml:space="preserve">, </w:t>
      </w:r>
      <w:r w:rsidR="00D146DC" w:rsidRPr="00B41FDC">
        <w:rPr>
          <w:rFonts w:ascii="Arial" w:hAnsi="Arial" w:cs="Arial"/>
          <w:sz w:val="24"/>
          <w:szCs w:val="24"/>
        </w:rPr>
        <w:t xml:space="preserve">and how these decisions and their timing </w:t>
      </w:r>
      <w:r w:rsidR="00271AF8" w:rsidRPr="00B41FDC">
        <w:rPr>
          <w:rFonts w:ascii="Arial" w:hAnsi="Arial" w:cs="Arial"/>
          <w:sz w:val="24"/>
          <w:szCs w:val="24"/>
        </w:rPr>
        <w:t xml:space="preserve">would be impacted by either the proposed regulation or its alternative.  </w:t>
      </w:r>
      <w:r w:rsidR="00271AF8" w:rsidRPr="00B41FDC">
        <w:rPr>
          <w:rFonts w:ascii="Arial" w:hAnsi="Arial" w:cs="Arial"/>
          <w:sz w:val="24"/>
          <w:szCs w:val="24"/>
        </w:rPr>
        <w:br/>
      </w:r>
      <w:r w:rsidR="00271AF8" w:rsidRPr="00B41FDC">
        <w:rPr>
          <w:rFonts w:ascii="Arial" w:hAnsi="Arial" w:cs="Arial"/>
          <w:sz w:val="24"/>
          <w:szCs w:val="24"/>
        </w:rPr>
        <w:br/>
        <w:t>Overall demand for drinking water perchlorate analyses is expected to increase with either the proposed regulation or the alternative; it is expected to specifically increase at the 0.001 mg/L quantitation level for the regulation.  While i</w:t>
      </w:r>
      <w:r w:rsidR="00F9186E" w:rsidRPr="00B41FDC">
        <w:rPr>
          <w:rFonts w:ascii="Arial" w:hAnsi="Arial" w:cs="Arial"/>
          <w:sz w:val="24"/>
          <w:szCs w:val="24"/>
        </w:rPr>
        <w:t>t is possible that costs to perform analyses to report perchlorate at 0.001 mg/L may decrease with an increased supply of laboratories performing analyses at that level</w:t>
      </w:r>
      <w:r w:rsidR="00271AF8" w:rsidRPr="00B41FDC">
        <w:rPr>
          <w:rFonts w:ascii="Arial" w:hAnsi="Arial" w:cs="Arial"/>
          <w:sz w:val="24"/>
          <w:szCs w:val="24"/>
        </w:rPr>
        <w:t>, the State Water Board is unable to predict or quantify that impact</w:t>
      </w:r>
      <w:r w:rsidR="00F9186E" w:rsidRPr="00B41FDC">
        <w:rPr>
          <w:rFonts w:ascii="Arial" w:hAnsi="Arial" w:cs="Arial"/>
          <w:sz w:val="24"/>
          <w:szCs w:val="24"/>
        </w:rPr>
        <w:t xml:space="preserve">.  </w:t>
      </w:r>
    </w:p>
    <w:p w14:paraId="10F4AF92" w14:textId="77777777" w:rsidR="003320BB" w:rsidRPr="00B41FDC" w:rsidRDefault="003320BB" w:rsidP="00360786">
      <w:pPr>
        <w:pStyle w:val="ListParagraph"/>
        <w:spacing w:line="240" w:lineRule="auto"/>
        <w:ind w:left="540" w:hanging="360"/>
        <w:rPr>
          <w:rFonts w:ascii="Arial" w:hAnsi="Arial" w:cs="Arial"/>
          <w:sz w:val="24"/>
          <w:szCs w:val="24"/>
        </w:rPr>
      </w:pPr>
    </w:p>
    <w:p w14:paraId="25524907" w14:textId="0C7105FD" w:rsidR="00A2199C" w:rsidRPr="00A2199C" w:rsidRDefault="00165C65" w:rsidP="00BC14FC">
      <w:pPr>
        <w:pStyle w:val="ListParagraph"/>
        <w:numPr>
          <w:ilvl w:val="0"/>
          <w:numId w:val="6"/>
        </w:numPr>
        <w:spacing w:line="240" w:lineRule="auto"/>
        <w:ind w:left="540"/>
        <w:rPr>
          <w:rFonts w:ascii="Arial" w:hAnsi="Arial" w:cs="Arial"/>
          <w:sz w:val="24"/>
          <w:szCs w:val="24"/>
        </w:rPr>
      </w:pPr>
      <w:r w:rsidRPr="00B41FDC">
        <w:rPr>
          <w:rFonts w:ascii="Arial" w:hAnsi="Arial" w:cs="Arial"/>
          <w:sz w:val="24"/>
          <w:szCs w:val="24"/>
          <w:u w:val="single"/>
        </w:rPr>
        <w:t>Consideration of Performance Standard</w:t>
      </w:r>
      <w:r w:rsidRPr="00B41FDC">
        <w:rPr>
          <w:rFonts w:ascii="Arial" w:hAnsi="Arial" w:cs="Arial"/>
          <w:sz w:val="24"/>
          <w:szCs w:val="24"/>
        </w:rPr>
        <w:br/>
      </w:r>
      <w:r w:rsidR="003320BB" w:rsidRPr="00B41FDC">
        <w:rPr>
          <w:rFonts w:ascii="Arial" w:hAnsi="Arial" w:cs="Arial"/>
          <w:sz w:val="24"/>
          <w:szCs w:val="24"/>
        </w:rPr>
        <w:t>The DLR is a performance standard.  Any analytical method that can meet the DLR can be used</w:t>
      </w:r>
      <w:r w:rsidR="000C644F" w:rsidRPr="00B41FDC">
        <w:rPr>
          <w:rFonts w:ascii="Arial" w:hAnsi="Arial" w:cs="Arial"/>
          <w:sz w:val="24"/>
          <w:szCs w:val="24"/>
        </w:rPr>
        <w:t>, provided the laboratory is accredited by California’s Environmental Laboratory Accreditation Program to perform that method</w:t>
      </w:r>
      <w:r w:rsidR="003320BB" w:rsidRPr="00B41FDC">
        <w:rPr>
          <w:rFonts w:ascii="Arial" w:hAnsi="Arial" w:cs="Arial"/>
          <w:sz w:val="24"/>
          <w:szCs w:val="24"/>
        </w:rPr>
        <w:t>.  Currently, there are three methods that can meet the proposed DLR</w:t>
      </w:r>
      <w:r w:rsidR="000D70E9" w:rsidRPr="00B41FDC">
        <w:rPr>
          <w:rFonts w:ascii="Arial" w:hAnsi="Arial" w:cs="Arial"/>
          <w:sz w:val="24"/>
          <w:szCs w:val="24"/>
        </w:rPr>
        <w:t>s</w:t>
      </w:r>
      <w:r w:rsidR="003320BB" w:rsidRPr="00B41FDC">
        <w:rPr>
          <w:rFonts w:ascii="Arial" w:hAnsi="Arial" w:cs="Arial"/>
          <w:sz w:val="24"/>
          <w:szCs w:val="24"/>
        </w:rPr>
        <w:t xml:space="preserve"> of </w:t>
      </w:r>
      <w:r w:rsidR="000D70E9" w:rsidRPr="00B41FDC">
        <w:rPr>
          <w:rFonts w:ascii="Arial" w:hAnsi="Arial" w:cs="Arial"/>
          <w:sz w:val="24"/>
          <w:szCs w:val="24"/>
        </w:rPr>
        <w:t xml:space="preserve">0.002 mg/L and </w:t>
      </w:r>
      <w:r w:rsidR="003320BB" w:rsidRPr="00B41FDC">
        <w:rPr>
          <w:rFonts w:ascii="Arial" w:hAnsi="Arial" w:cs="Arial"/>
          <w:sz w:val="24"/>
          <w:szCs w:val="24"/>
        </w:rPr>
        <w:t>0.00</w:t>
      </w:r>
      <w:r w:rsidR="00587444" w:rsidRPr="00B41FDC">
        <w:rPr>
          <w:rFonts w:ascii="Arial" w:hAnsi="Arial" w:cs="Arial"/>
          <w:sz w:val="24"/>
          <w:szCs w:val="24"/>
        </w:rPr>
        <w:t>1</w:t>
      </w:r>
      <w:r w:rsidR="003320BB" w:rsidRPr="00B41FDC">
        <w:rPr>
          <w:rFonts w:ascii="Arial" w:hAnsi="Arial" w:cs="Arial"/>
          <w:sz w:val="24"/>
          <w:szCs w:val="24"/>
        </w:rPr>
        <w:t xml:space="preserve"> mg/l.  </w:t>
      </w:r>
      <w:r w:rsidR="000C644F" w:rsidRPr="00B41FDC">
        <w:rPr>
          <w:rFonts w:ascii="Arial" w:hAnsi="Arial" w:cs="Arial"/>
          <w:sz w:val="24"/>
          <w:szCs w:val="24"/>
        </w:rPr>
        <w:t>I</w:t>
      </w:r>
      <w:r w:rsidR="003320BB" w:rsidRPr="00B41FDC">
        <w:rPr>
          <w:rFonts w:ascii="Arial" w:hAnsi="Arial" w:cs="Arial"/>
          <w:sz w:val="24"/>
          <w:szCs w:val="24"/>
        </w:rPr>
        <w:t xml:space="preserve">f new analytical laboratory methods are validated to meet the proposed DLR, those methods could also be used in the future.  Of the accredited laboratories surveyed, 84% report perchlorate </w:t>
      </w:r>
      <w:r w:rsidR="000C644F" w:rsidRPr="00B41FDC">
        <w:rPr>
          <w:rFonts w:ascii="Arial" w:hAnsi="Arial" w:cs="Arial"/>
          <w:sz w:val="24"/>
          <w:szCs w:val="24"/>
        </w:rPr>
        <w:t>results</w:t>
      </w:r>
      <w:r w:rsidR="003320BB" w:rsidRPr="00B41FDC">
        <w:rPr>
          <w:rFonts w:ascii="Arial" w:hAnsi="Arial" w:cs="Arial"/>
          <w:sz w:val="24"/>
          <w:szCs w:val="24"/>
        </w:rPr>
        <w:t xml:space="preserve"> using EPA Method 314.0.</w:t>
      </w:r>
    </w:p>
    <w:p w14:paraId="6B4A6C05" w14:textId="1BC0BEB7" w:rsidR="003320BB" w:rsidRPr="00B41FDC" w:rsidRDefault="003320BB" w:rsidP="00D9388B">
      <w:pPr>
        <w:pStyle w:val="Heading2"/>
        <w:spacing w:after="240"/>
        <w:ind w:left="540"/>
      </w:pPr>
      <w:r w:rsidRPr="00B41FDC">
        <w:t>Fiscal Impact Statement</w:t>
      </w:r>
    </w:p>
    <w:p w14:paraId="3BEBFC38" w14:textId="192458B4" w:rsidR="003320BB" w:rsidRPr="00B41FDC" w:rsidRDefault="003320BB" w:rsidP="00D9388B">
      <w:pPr>
        <w:pStyle w:val="Heading3"/>
        <w:ind w:left="540"/>
      </w:pPr>
      <w:r w:rsidRPr="00B41FDC">
        <w:t>Section A Fiscal Effect on Local Government (p. 4):</w:t>
      </w:r>
    </w:p>
    <w:p w14:paraId="6FCFCFB9" w14:textId="0FADFDA3" w:rsidR="00354B78" w:rsidRDefault="00354B78" w:rsidP="00354B78">
      <w:pPr>
        <w:pStyle w:val="ListParagraph"/>
        <w:spacing w:line="240" w:lineRule="auto"/>
        <w:ind w:left="540"/>
        <w:rPr>
          <w:rFonts w:ascii="Arial" w:hAnsi="Arial" w:cs="Arial"/>
          <w:i/>
          <w:iCs/>
          <w:sz w:val="24"/>
          <w:szCs w:val="24"/>
        </w:rPr>
      </w:pPr>
      <w:bookmarkStart w:id="2" w:name="_Hlk27653955"/>
      <w:r>
        <w:rPr>
          <w:rFonts w:ascii="Arial" w:hAnsi="Arial" w:cs="Arial"/>
          <w:i/>
          <w:iCs/>
          <w:sz w:val="24"/>
          <w:szCs w:val="24"/>
        </w:rPr>
        <w:t>Since c</w:t>
      </w:r>
      <w:r w:rsidRPr="00110733">
        <w:rPr>
          <w:rFonts w:ascii="Arial" w:hAnsi="Arial" w:cs="Arial"/>
          <w:i/>
          <w:iCs/>
          <w:sz w:val="24"/>
          <w:szCs w:val="24"/>
        </w:rPr>
        <w:t>alculations and assumptions of the fiscal impacts are based on the current year and the two subsequent Fiscal Years</w:t>
      </w:r>
      <w:r>
        <w:rPr>
          <w:rFonts w:ascii="Arial" w:hAnsi="Arial" w:cs="Arial"/>
          <w:i/>
          <w:iCs/>
          <w:sz w:val="24"/>
          <w:szCs w:val="24"/>
        </w:rPr>
        <w:t>, they are derived from the fiscal changes that occur during Phase I of the proposed regulation. These can be found on Table 3 of the ISOR.</w:t>
      </w:r>
    </w:p>
    <w:tbl>
      <w:tblPr>
        <w:tblStyle w:val="TableGrid"/>
        <w:tblpPr w:leftFromText="180" w:rightFromText="180" w:vertAnchor="text" w:horzAnchor="margin" w:tblpX="85" w:tblpY="303"/>
        <w:tblW w:w="9684" w:type="dxa"/>
        <w:tblLook w:val="04A0" w:firstRow="1" w:lastRow="0" w:firstColumn="1" w:lastColumn="0" w:noHBand="0" w:noVBand="1"/>
      </w:tblPr>
      <w:tblGrid>
        <w:gridCol w:w="2335"/>
        <w:gridCol w:w="2520"/>
        <w:gridCol w:w="2430"/>
        <w:gridCol w:w="2399"/>
      </w:tblGrid>
      <w:tr w:rsidR="00354B78" w:rsidRPr="009F386E" w14:paraId="212FC681" w14:textId="77777777" w:rsidTr="00CC725F">
        <w:trPr>
          <w:trHeight w:val="315"/>
          <w:tblHeader/>
        </w:trPr>
        <w:tc>
          <w:tcPr>
            <w:tcW w:w="2335" w:type="dxa"/>
            <w:noWrap/>
            <w:vAlign w:val="center"/>
            <w:hideMark/>
          </w:tcPr>
          <w:p w14:paraId="45E13997" w14:textId="77777777" w:rsidR="00354B78" w:rsidRPr="009F386E" w:rsidRDefault="00354B78" w:rsidP="005F43B0">
            <w:pPr>
              <w:keepNext/>
              <w:keepLines/>
              <w:spacing w:before="60" w:after="60"/>
              <w:jc w:val="center"/>
              <w:rPr>
                <w:rFonts w:ascii="Arial" w:hAnsi="Arial" w:cs="Arial"/>
                <w:sz w:val="24"/>
                <w:szCs w:val="24"/>
              </w:rPr>
            </w:pPr>
            <w:r w:rsidRPr="009F386E">
              <w:rPr>
                <w:rFonts w:ascii="Arial" w:hAnsi="Arial" w:cs="Arial"/>
                <w:sz w:val="24"/>
                <w:szCs w:val="24"/>
              </w:rPr>
              <w:lastRenderedPageBreak/>
              <w:t>System Ownership</w:t>
            </w:r>
          </w:p>
        </w:tc>
        <w:tc>
          <w:tcPr>
            <w:tcW w:w="2520" w:type="dxa"/>
            <w:noWrap/>
            <w:vAlign w:val="center"/>
            <w:hideMark/>
          </w:tcPr>
          <w:p w14:paraId="6C6B2E6B" w14:textId="77777777" w:rsidR="00354B78" w:rsidRPr="009F386E" w:rsidRDefault="00354B78" w:rsidP="005F43B0">
            <w:pPr>
              <w:keepNext/>
              <w:keepLines/>
              <w:spacing w:before="60" w:after="60"/>
              <w:jc w:val="center"/>
              <w:rPr>
                <w:rFonts w:ascii="Arial" w:hAnsi="Arial" w:cs="Arial"/>
                <w:sz w:val="24"/>
                <w:szCs w:val="24"/>
              </w:rPr>
            </w:pPr>
            <w:r w:rsidRPr="009F386E">
              <w:rPr>
                <w:rFonts w:ascii="Arial" w:hAnsi="Arial" w:cs="Arial"/>
                <w:sz w:val="24"/>
                <w:szCs w:val="24"/>
              </w:rPr>
              <w:t>Number of Affected Sources</w:t>
            </w:r>
          </w:p>
        </w:tc>
        <w:tc>
          <w:tcPr>
            <w:tcW w:w="2430" w:type="dxa"/>
            <w:noWrap/>
            <w:vAlign w:val="center"/>
            <w:hideMark/>
          </w:tcPr>
          <w:p w14:paraId="66E0B388" w14:textId="77777777" w:rsidR="00354B78" w:rsidRPr="009F386E" w:rsidRDefault="00354B78" w:rsidP="005F43B0">
            <w:pPr>
              <w:keepNext/>
              <w:keepLines/>
              <w:spacing w:before="60" w:after="60"/>
              <w:jc w:val="center"/>
              <w:rPr>
                <w:rFonts w:ascii="Arial" w:hAnsi="Arial" w:cs="Arial"/>
                <w:sz w:val="24"/>
                <w:szCs w:val="24"/>
              </w:rPr>
            </w:pPr>
            <w:r w:rsidRPr="009F386E">
              <w:rPr>
                <w:rFonts w:ascii="Arial" w:hAnsi="Arial" w:cs="Arial"/>
                <w:sz w:val="24"/>
                <w:szCs w:val="24"/>
              </w:rPr>
              <w:t>% of All Affected Sources</w:t>
            </w:r>
          </w:p>
        </w:tc>
        <w:tc>
          <w:tcPr>
            <w:tcW w:w="2399" w:type="dxa"/>
            <w:noWrap/>
            <w:vAlign w:val="center"/>
            <w:hideMark/>
          </w:tcPr>
          <w:p w14:paraId="55546190" w14:textId="77777777" w:rsidR="00354B78" w:rsidRPr="009F386E" w:rsidRDefault="00354B78" w:rsidP="005F43B0">
            <w:pPr>
              <w:keepNext/>
              <w:keepLines/>
              <w:spacing w:before="60" w:after="60"/>
              <w:jc w:val="center"/>
              <w:rPr>
                <w:rFonts w:ascii="Arial" w:hAnsi="Arial" w:cs="Arial"/>
                <w:sz w:val="24"/>
                <w:szCs w:val="24"/>
              </w:rPr>
            </w:pPr>
            <w:r w:rsidRPr="009F386E">
              <w:rPr>
                <w:rFonts w:ascii="Arial" w:hAnsi="Arial" w:cs="Arial"/>
                <w:sz w:val="24"/>
                <w:szCs w:val="24"/>
              </w:rPr>
              <w:t>Estimated Annual Cost</w:t>
            </w:r>
            <w:r w:rsidRPr="009F386E">
              <w:rPr>
                <w:rFonts w:ascii="Arial" w:hAnsi="Arial" w:cs="Arial"/>
                <w:sz w:val="24"/>
                <w:szCs w:val="24"/>
              </w:rPr>
              <w:br/>
            </w:r>
          </w:p>
        </w:tc>
      </w:tr>
      <w:tr w:rsidR="00354B78" w:rsidRPr="009F386E" w14:paraId="20636782" w14:textId="77777777" w:rsidTr="00CC725F">
        <w:trPr>
          <w:trHeight w:hRule="exact" w:val="360"/>
        </w:trPr>
        <w:tc>
          <w:tcPr>
            <w:tcW w:w="2335" w:type="dxa"/>
            <w:noWrap/>
            <w:vAlign w:val="center"/>
            <w:hideMark/>
          </w:tcPr>
          <w:p w14:paraId="40DEF9A3" w14:textId="77777777" w:rsidR="00354B78" w:rsidRPr="009F386E" w:rsidRDefault="00354B78" w:rsidP="005F43B0">
            <w:pPr>
              <w:keepNext/>
              <w:keepLines/>
              <w:spacing w:after="120"/>
              <w:rPr>
                <w:rFonts w:ascii="Arial" w:hAnsi="Arial" w:cs="Arial"/>
                <w:sz w:val="24"/>
                <w:szCs w:val="24"/>
              </w:rPr>
            </w:pPr>
            <w:r w:rsidRPr="009F386E">
              <w:rPr>
                <w:rFonts w:ascii="Arial" w:hAnsi="Arial" w:cs="Arial"/>
                <w:sz w:val="24"/>
                <w:szCs w:val="24"/>
              </w:rPr>
              <w:t xml:space="preserve">Federal </w:t>
            </w:r>
          </w:p>
        </w:tc>
        <w:tc>
          <w:tcPr>
            <w:tcW w:w="2520" w:type="dxa"/>
            <w:noWrap/>
            <w:tcMar>
              <w:left w:w="115" w:type="dxa"/>
              <w:right w:w="864" w:type="dxa"/>
            </w:tcMar>
            <w:vAlign w:val="center"/>
            <w:hideMark/>
          </w:tcPr>
          <w:p w14:paraId="451BB396" w14:textId="77777777" w:rsidR="00354B78" w:rsidRPr="009F386E" w:rsidRDefault="00354B78" w:rsidP="005F43B0">
            <w:pPr>
              <w:keepNext/>
              <w:keepLines/>
              <w:jc w:val="right"/>
              <w:rPr>
                <w:rFonts w:ascii="Arial" w:hAnsi="Arial" w:cs="Arial"/>
                <w:sz w:val="24"/>
                <w:szCs w:val="24"/>
              </w:rPr>
            </w:pPr>
            <w:r w:rsidRPr="009F386E">
              <w:rPr>
                <w:rFonts w:ascii="Arial" w:hAnsi="Arial" w:cs="Arial"/>
                <w:sz w:val="24"/>
                <w:szCs w:val="24"/>
              </w:rPr>
              <w:t>96</w:t>
            </w:r>
          </w:p>
        </w:tc>
        <w:tc>
          <w:tcPr>
            <w:tcW w:w="2430" w:type="dxa"/>
            <w:noWrap/>
            <w:tcMar>
              <w:left w:w="115" w:type="dxa"/>
              <w:right w:w="115" w:type="dxa"/>
            </w:tcMar>
            <w:vAlign w:val="center"/>
            <w:hideMark/>
          </w:tcPr>
          <w:p w14:paraId="52C5655F" w14:textId="77777777" w:rsidR="00354B78" w:rsidRPr="009F386E" w:rsidRDefault="00354B78" w:rsidP="005F43B0">
            <w:pPr>
              <w:keepNext/>
              <w:keepLines/>
              <w:jc w:val="center"/>
              <w:rPr>
                <w:rFonts w:ascii="Arial" w:hAnsi="Arial" w:cs="Arial"/>
                <w:sz w:val="24"/>
                <w:szCs w:val="24"/>
              </w:rPr>
            </w:pPr>
            <w:r w:rsidRPr="009F386E">
              <w:rPr>
                <w:rFonts w:ascii="Arial" w:hAnsi="Arial" w:cs="Arial"/>
                <w:sz w:val="24"/>
                <w:szCs w:val="24"/>
              </w:rPr>
              <w:t>1.3%</w:t>
            </w:r>
          </w:p>
        </w:tc>
        <w:tc>
          <w:tcPr>
            <w:tcW w:w="2399" w:type="dxa"/>
            <w:noWrap/>
            <w:tcMar>
              <w:left w:w="115" w:type="dxa"/>
              <w:right w:w="432" w:type="dxa"/>
            </w:tcMar>
            <w:vAlign w:val="center"/>
            <w:hideMark/>
          </w:tcPr>
          <w:p w14:paraId="79CECC38" w14:textId="77777777" w:rsidR="00354B78" w:rsidRPr="009F386E" w:rsidRDefault="00354B78" w:rsidP="005F43B0">
            <w:pPr>
              <w:keepNext/>
              <w:keepLines/>
              <w:jc w:val="right"/>
              <w:rPr>
                <w:rFonts w:ascii="Arial" w:hAnsi="Arial" w:cs="Arial"/>
                <w:sz w:val="24"/>
                <w:szCs w:val="24"/>
              </w:rPr>
            </w:pPr>
            <w:r w:rsidRPr="009F386E">
              <w:rPr>
                <w:rFonts w:ascii="Arial" w:hAnsi="Arial" w:cs="Arial"/>
                <w:sz w:val="24"/>
                <w:szCs w:val="24"/>
              </w:rPr>
              <w:t>$21,504</w:t>
            </w:r>
          </w:p>
          <w:p w14:paraId="0D7D70F7" w14:textId="77777777" w:rsidR="00354B78" w:rsidRPr="009F386E" w:rsidRDefault="00354B78" w:rsidP="005F43B0">
            <w:pPr>
              <w:keepNext/>
              <w:keepLines/>
              <w:jc w:val="right"/>
              <w:rPr>
                <w:rFonts w:ascii="Arial" w:hAnsi="Arial" w:cs="Arial"/>
                <w:sz w:val="24"/>
                <w:szCs w:val="24"/>
              </w:rPr>
            </w:pPr>
          </w:p>
        </w:tc>
      </w:tr>
      <w:tr w:rsidR="00354B78" w:rsidRPr="009F386E" w14:paraId="603F2D0A" w14:textId="77777777" w:rsidTr="00CC725F">
        <w:trPr>
          <w:trHeight w:hRule="exact" w:val="360"/>
        </w:trPr>
        <w:tc>
          <w:tcPr>
            <w:tcW w:w="2335" w:type="dxa"/>
            <w:noWrap/>
            <w:vAlign w:val="center"/>
            <w:hideMark/>
          </w:tcPr>
          <w:p w14:paraId="2086AD69" w14:textId="77777777" w:rsidR="00354B78" w:rsidRPr="009F386E" w:rsidRDefault="00354B78" w:rsidP="005F43B0">
            <w:pPr>
              <w:spacing w:after="120"/>
              <w:rPr>
                <w:rFonts w:ascii="Arial" w:hAnsi="Arial" w:cs="Arial"/>
                <w:sz w:val="24"/>
                <w:szCs w:val="24"/>
              </w:rPr>
            </w:pPr>
            <w:r w:rsidRPr="009F386E">
              <w:rPr>
                <w:rFonts w:ascii="Arial" w:hAnsi="Arial" w:cs="Arial"/>
                <w:sz w:val="24"/>
                <w:szCs w:val="24"/>
              </w:rPr>
              <w:t>State</w:t>
            </w:r>
          </w:p>
        </w:tc>
        <w:tc>
          <w:tcPr>
            <w:tcW w:w="2520" w:type="dxa"/>
            <w:noWrap/>
            <w:tcMar>
              <w:left w:w="115" w:type="dxa"/>
              <w:right w:w="864" w:type="dxa"/>
            </w:tcMar>
            <w:vAlign w:val="center"/>
            <w:hideMark/>
          </w:tcPr>
          <w:p w14:paraId="69B75E0C" w14:textId="77777777" w:rsidR="00354B78" w:rsidRPr="009F386E" w:rsidRDefault="00354B78" w:rsidP="005F43B0">
            <w:pPr>
              <w:jc w:val="right"/>
              <w:rPr>
                <w:rFonts w:ascii="Arial" w:hAnsi="Arial" w:cs="Arial"/>
                <w:sz w:val="24"/>
                <w:szCs w:val="24"/>
              </w:rPr>
            </w:pPr>
            <w:r w:rsidRPr="009F386E">
              <w:rPr>
                <w:rFonts w:ascii="Arial" w:hAnsi="Arial" w:cs="Arial"/>
                <w:sz w:val="24"/>
                <w:szCs w:val="24"/>
              </w:rPr>
              <w:t>92</w:t>
            </w:r>
          </w:p>
        </w:tc>
        <w:tc>
          <w:tcPr>
            <w:tcW w:w="2430" w:type="dxa"/>
            <w:noWrap/>
            <w:tcMar>
              <w:left w:w="115" w:type="dxa"/>
              <w:right w:w="115" w:type="dxa"/>
            </w:tcMar>
            <w:vAlign w:val="center"/>
            <w:hideMark/>
          </w:tcPr>
          <w:p w14:paraId="3A9FE872" w14:textId="77777777" w:rsidR="00354B78" w:rsidRPr="009F386E" w:rsidRDefault="00354B78" w:rsidP="005F43B0">
            <w:pPr>
              <w:jc w:val="center"/>
              <w:rPr>
                <w:rFonts w:ascii="Arial" w:hAnsi="Arial" w:cs="Arial"/>
                <w:sz w:val="24"/>
                <w:szCs w:val="24"/>
              </w:rPr>
            </w:pPr>
            <w:r w:rsidRPr="009F386E">
              <w:rPr>
                <w:rFonts w:ascii="Arial" w:hAnsi="Arial" w:cs="Arial"/>
                <w:sz w:val="24"/>
                <w:szCs w:val="24"/>
              </w:rPr>
              <w:t>1.3%</w:t>
            </w:r>
          </w:p>
        </w:tc>
        <w:tc>
          <w:tcPr>
            <w:tcW w:w="2399" w:type="dxa"/>
            <w:noWrap/>
            <w:tcMar>
              <w:left w:w="115" w:type="dxa"/>
              <w:right w:w="432" w:type="dxa"/>
            </w:tcMar>
            <w:vAlign w:val="center"/>
            <w:hideMark/>
          </w:tcPr>
          <w:p w14:paraId="23A54172" w14:textId="77777777" w:rsidR="00354B78" w:rsidRPr="009F386E" w:rsidRDefault="00354B78" w:rsidP="005F43B0">
            <w:pPr>
              <w:jc w:val="right"/>
              <w:rPr>
                <w:rFonts w:ascii="Arial" w:hAnsi="Arial" w:cs="Arial"/>
                <w:sz w:val="24"/>
                <w:szCs w:val="24"/>
              </w:rPr>
            </w:pPr>
            <w:r w:rsidRPr="009F386E">
              <w:rPr>
                <w:rFonts w:ascii="Arial" w:hAnsi="Arial" w:cs="Arial"/>
                <w:sz w:val="24"/>
                <w:szCs w:val="24"/>
              </w:rPr>
              <w:t>$20,608</w:t>
            </w:r>
          </w:p>
          <w:p w14:paraId="15CC78B3" w14:textId="77777777" w:rsidR="00354B78" w:rsidRPr="009F386E" w:rsidRDefault="00354B78" w:rsidP="005F43B0">
            <w:pPr>
              <w:jc w:val="right"/>
              <w:rPr>
                <w:rFonts w:ascii="Arial" w:hAnsi="Arial" w:cs="Arial"/>
                <w:sz w:val="24"/>
                <w:szCs w:val="24"/>
              </w:rPr>
            </w:pPr>
          </w:p>
        </w:tc>
      </w:tr>
      <w:tr w:rsidR="00354B78" w:rsidRPr="009F386E" w14:paraId="48D0C103" w14:textId="77777777" w:rsidTr="00CC725F">
        <w:trPr>
          <w:trHeight w:hRule="exact" w:val="360"/>
        </w:trPr>
        <w:tc>
          <w:tcPr>
            <w:tcW w:w="2335" w:type="dxa"/>
            <w:noWrap/>
            <w:vAlign w:val="center"/>
            <w:hideMark/>
          </w:tcPr>
          <w:p w14:paraId="72AFB371" w14:textId="77777777" w:rsidR="00354B78" w:rsidRPr="009F386E" w:rsidRDefault="00354B78" w:rsidP="005F43B0">
            <w:pPr>
              <w:spacing w:after="120"/>
              <w:rPr>
                <w:rFonts w:ascii="Arial" w:hAnsi="Arial" w:cs="Arial"/>
                <w:sz w:val="24"/>
                <w:szCs w:val="24"/>
              </w:rPr>
            </w:pPr>
            <w:r w:rsidRPr="009F386E">
              <w:rPr>
                <w:rFonts w:ascii="Arial" w:hAnsi="Arial" w:cs="Arial"/>
                <w:sz w:val="24"/>
                <w:szCs w:val="24"/>
              </w:rPr>
              <w:t xml:space="preserve">Local </w:t>
            </w:r>
          </w:p>
        </w:tc>
        <w:tc>
          <w:tcPr>
            <w:tcW w:w="2520" w:type="dxa"/>
            <w:noWrap/>
            <w:tcMar>
              <w:left w:w="115" w:type="dxa"/>
              <w:right w:w="864" w:type="dxa"/>
            </w:tcMar>
            <w:vAlign w:val="center"/>
            <w:hideMark/>
          </w:tcPr>
          <w:p w14:paraId="5983FBF2" w14:textId="77777777" w:rsidR="00354B78" w:rsidRPr="009F386E" w:rsidRDefault="00354B78" w:rsidP="005F43B0">
            <w:pPr>
              <w:jc w:val="right"/>
              <w:rPr>
                <w:rFonts w:ascii="Arial" w:hAnsi="Arial" w:cs="Arial"/>
                <w:sz w:val="24"/>
                <w:szCs w:val="24"/>
              </w:rPr>
            </w:pPr>
            <w:r w:rsidRPr="009F386E">
              <w:rPr>
                <w:rFonts w:ascii="Arial" w:hAnsi="Arial" w:cs="Arial"/>
                <w:sz w:val="24"/>
                <w:szCs w:val="24"/>
              </w:rPr>
              <w:t>3,735</w:t>
            </w:r>
          </w:p>
        </w:tc>
        <w:tc>
          <w:tcPr>
            <w:tcW w:w="2430" w:type="dxa"/>
            <w:noWrap/>
            <w:tcMar>
              <w:left w:w="115" w:type="dxa"/>
              <w:right w:w="115" w:type="dxa"/>
            </w:tcMar>
            <w:vAlign w:val="center"/>
            <w:hideMark/>
          </w:tcPr>
          <w:p w14:paraId="37656388" w14:textId="77777777" w:rsidR="00354B78" w:rsidRPr="009F386E" w:rsidRDefault="00354B78" w:rsidP="005F43B0">
            <w:pPr>
              <w:jc w:val="center"/>
              <w:rPr>
                <w:rFonts w:ascii="Arial" w:hAnsi="Arial" w:cs="Arial"/>
                <w:sz w:val="24"/>
                <w:szCs w:val="24"/>
              </w:rPr>
            </w:pPr>
            <w:r w:rsidRPr="009F386E">
              <w:rPr>
                <w:rFonts w:ascii="Arial" w:hAnsi="Arial" w:cs="Arial"/>
                <w:sz w:val="24"/>
                <w:szCs w:val="24"/>
              </w:rPr>
              <w:t>52%</w:t>
            </w:r>
          </w:p>
        </w:tc>
        <w:tc>
          <w:tcPr>
            <w:tcW w:w="2399" w:type="dxa"/>
            <w:noWrap/>
            <w:tcMar>
              <w:left w:w="115" w:type="dxa"/>
              <w:right w:w="432" w:type="dxa"/>
            </w:tcMar>
            <w:vAlign w:val="center"/>
            <w:hideMark/>
          </w:tcPr>
          <w:p w14:paraId="47A83278" w14:textId="77777777" w:rsidR="00354B78" w:rsidRPr="009F386E" w:rsidRDefault="00354B78" w:rsidP="005F43B0">
            <w:pPr>
              <w:jc w:val="right"/>
              <w:rPr>
                <w:rFonts w:ascii="Arial" w:hAnsi="Arial" w:cs="Arial"/>
                <w:sz w:val="24"/>
                <w:szCs w:val="24"/>
              </w:rPr>
            </w:pPr>
            <w:r w:rsidRPr="009F386E">
              <w:rPr>
                <w:rFonts w:ascii="Arial" w:hAnsi="Arial" w:cs="Arial"/>
                <w:sz w:val="24"/>
                <w:szCs w:val="24"/>
              </w:rPr>
              <w:t>$836,640</w:t>
            </w:r>
          </w:p>
          <w:p w14:paraId="1AA50C2C" w14:textId="77777777" w:rsidR="00354B78" w:rsidRPr="009F386E" w:rsidRDefault="00354B78" w:rsidP="005F43B0">
            <w:pPr>
              <w:jc w:val="right"/>
              <w:rPr>
                <w:rFonts w:ascii="Arial" w:hAnsi="Arial" w:cs="Arial"/>
                <w:sz w:val="24"/>
                <w:szCs w:val="24"/>
              </w:rPr>
            </w:pPr>
          </w:p>
        </w:tc>
      </w:tr>
      <w:tr w:rsidR="00354B78" w:rsidRPr="009F386E" w14:paraId="4B353770" w14:textId="77777777" w:rsidTr="00CC725F">
        <w:trPr>
          <w:trHeight w:hRule="exact" w:val="360"/>
        </w:trPr>
        <w:tc>
          <w:tcPr>
            <w:tcW w:w="2335" w:type="dxa"/>
            <w:noWrap/>
            <w:vAlign w:val="center"/>
            <w:hideMark/>
          </w:tcPr>
          <w:p w14:paraId="0B895F71" w14:textId="77777777" w:rsidR="00354B78" w:rsidRPr="009F386E" w:rsidRDefault="00354B78" w:rsidP="005F43B0">
            <w:pPr>
              <w:spacing w:after="120"/>
              <w:rPr>
                <w:rFonts w:ascii="Arial" w:hAnsi="Arial" w:cs="Arial"/>
                <w:sz w:val="24"/>
                <w:szCs w:val="24"/>
              </w:rPr>
            </w:pPr>
            <w:r w:rsidRPr="009F386E">
              <w:rPr>
                <w:rFonts w:ascii="Arial" w:hAnsi="Arial" w:cs="Arial"/>
                <w:sz w:val="24"/>
                <w:szCs w:val="24"/>
              </w:rPr>
              <w:t>Private</w:t>
            </w:r>
          </w:p>
        </w:tc>
        <w:tc>
          <w:tcPr>
            <w:tcW w:w="2520" w:type="dxa"/>
            <w:noWrap/>
            <w:tcMar>
              <w:left w:w="115" w:type="dxa"/>
              <w:right w:w="864" w:type="dxa"/>
            </w:tcMar>
            <w:vAlign w:val="center"/>
            <w:hideMark/>
          </w:tcPr>
          <w:p w14:paraId="301F333D" w14:textId="77777777" w:rsidR="00354B78" w:rsidRPr="009F386E" w:rsidRDefault="00354B78" w:rsidP="005F43B0">
            <w:pPr>
              <w:jc w:val="right"/>
              <w:rPr>
                <w:rFonts w:ascii="Arial" w:hAnsi="Arial" w:cs="Arial"/>
                <w:sz w:val="24"/>
                <w:szCs w:val="24"/>
              </w:rPr>
            </w:pPr>
            <w:r w:rsidRPr="009F386E">
              <w:rPr>
                <w:rFonts w:ascii="Arial" w:hAnsi="Arial" w:cs="Arial"/>
                <w:sz w:val="24"/>
                <w:szCs w:val="24"/>
              </w:rPr>
              <w:t>3,257</w:t>
            </w:r>
          </w:p>
        </w:tc>
        <w:tc>
          <w:tcPr>
            <w:tcW w:w="2430" w:type="dxa"/>
            <w:noWrap/>
            <w:tcMar>
              <w:left w:w="115" w:type="dxa"/>
              <w:right w:w="115" w:type="dxa"/>
            </w:tcMar>
            <w:vAlign w:val="center"/>
            <w:hideMark/>
          </w:tcPr>
          <w:p w14:paraId="37FD860D" w14:textId="77777777" w:rsidR="00354B78" w:rsidRPr="009F386E" w:rsidRDefault="00354B78" w:rsidP="005F43B0">
            <w:pPr>
              <w:jc w:val="center"/>
              <w:rPr>
                <w:rFonts w:ascii="Arial" w:hAnsi="Arial" w:cs="Arial"/>
                <w:sz w:val="24"/>
                <w:szCs w:val="24"/>
              </w:rPr>
            </w:pPr>
            <w:r w:rsidRPr="009F386E">
              <w:rPr>
                <w:rFonts w:ascii="Arial" w:hAnsi="Arial" w:cs="Arial"/>
                <w:sz w:val="24"/>
                <w:szCs w:val="24"/>
              </w:rPr>
              <w:t>45%</w:t>
            </w:r>
          </w:p>
        </w:tc>
        <w:tc>
          <w:tcPr>
            <w:tcW w:w="2399" w:type="dxa"/>
            <w:noWrap/>
            <w:tcMar>
              <w:left w:w="115" w:type="dxa"/>
              <w:right w:w="432" w:type="dxa"/>
            </w:tcMar>
            <w:vAlign w:val="center"/>
            <w:hideMark/>
          </w:tcPr>
          <w:p w14:paraId="140C60DD" w14:textId="77777777" w:rsidR="00354B78" w:rsidRPr="009F386E" w:rsidRDefault="00354B78" w:rsidP="005F43B0">
            <w:pPr>
              <w:jc w:val="right"/>
              <w:rPr>
                <w:rFonts w:ascii="Arial" w:hAnsi="Arial" w:cs="Arial"/>
                <w:sz w:val="24"/>
                <w:szCs w:val="24"/>
              </w:rPr>
            </w:pPr>
            <w:r w:rsidRPr="009F386E">
              <w:rPr>
                <w:rFonts w:ascii="Arial" w:hAnsi="Arial" w:cs="Arial"/>
                <w:sz w:val="24"/>
                <w:szCs w:val="24"/>
              </w:rPr>
              <w:t>$729,568</w:t>
            </w:r>
          </w:p>
          <w:p w14:paraId="39ECC458" w14:textId="77777777" w:rsidR="00354B78" w:rsidRPr="009F386E" w:rsidRDefault="00354B78" w:rsidP="005F43B0">
            <w:pPr>
              <w:jc w:val="right"/>
              <w:rPr>
                <w:rFonts w:ascii="Arial" w:hAnsi="Arial" w:cs="Arial"/>
                <w:sz w:val="24"/>
                <w:szCs w:val="24"/>
              </w:rPr>
            </w:pPr>
          </w:p>
        </w:tc>
      </w:tr>
      <w:tr w:rsidR="00354B78" w:rsidRPr="009F386E" w14:paraId="1EC7FABF" w14:textId="77777777" w:rsidTr="00CC725F">
        <w:trPr>
          <w:trHeight w:hRule="exact" w:val="775"/>
        </w:trPr>
        <w:tc>
          <w:tcPr>
            <w:tcW w:w="2335" w:type="dxa"/>
            <w:noWrap/>
            <w:vAlign w:val="center"/>
            <w:hideMark/>
          </w:tcPr>
          <w:p w14:paraId="539CAADD" w14:textId="77777777" w:rsidR="00354B78" w:rsidRPr="009F386E" w:rsidRDefault="00354B78" w:rsidP="005F43B0">
            <w:pPr>
              <w:spacing w:after="120"/>
              <w:rPr>
                <w:rFonts w:ascii="Arial" w:hAnsi="Arial" w:cs="Arial"/>
                <w:sz w:val="24"/>
                <w:szCs w:val="24"/>
              </w:rPr>
            </w:pPr>
            <w:r w:rsidRPr="009F386E">
              <w:rPr>
                <w:rFonts w:ascii="Arial" w:hAnsi="Arial" w:cs="Arial"/>
                <w:sz w:val="24"/>
                <w:szCs w:val="24"/>
              </w:rPr>
              <w:t>Mixed</w:t>
            </w:r>
            <w:r>
              <w:rPr>
                <w:rFonts w:ascii="Arial" w:hAnsi="Arial" w:cs="Arial"/>
                <w:sz w:val="24"/>
                <w:szCs w:val="24"/>
              </w:rPr>
              <w:br/>
            </w:r>
            <w:r w:rsidRPr="009F386E">
              <w:rPr>
                <w:rFonts w:ascii="Arial" w:hAnsi="Arial" w:cs="Arial"/>
                <w:sz w:val="24"/>
                <w:szCs w:val="24"/>
              </w:rPr>
              <w:t>(Private/Public)</w:t>
            </w:r>
          </w:p>
        </w:tc>
        <w:tc>
          <w:tcPr>
            <w:tcW w:w="2520" w:type="dxa"/>
            <w:noWrap/>
            <w:tcMar>
              <w:left w:w="115" w:type="dxa"/>
              <w:right w:w="864" w:type="dxa"/>
            </w:tcMar>
            <w:vAlign w:val="center"/>
            <w:hideMark/>
          </w:tcPr>
          <w:p w14:paraId="3C53BEB2" w14:textId="77777777" w:rsidR="00354B78" w:rsidRPr="009F386E" w:rsidRDefault="00354B78" w:rsidP="005F43B0">
            <w:pPr>
              <w:jc w:val="right"/>
              <w:rPr>
                <w:rFonts w:ascii="Arial" w:hAnsi="Arial" w:cs="Arial"/>
                <w:sz w:val="24"/>
                <w:szCs w:val="24"/>
              </w:rPr>
            </w:pPr>
            <w:r w:rsidRPr="009F386E">
              <w:rPr>
                <w:rFonts w:ascii="Arial" w:hAnsi="Arial" w:cs="Arial"/>
                <w:sz w:val="24"/>
                <w:szCs w:val="24"/>
              </w:rPr>
              <w:t>5</w:t>
            </w:r>
          </w:p>
        </w:tc>
        <w:tc>
          <w:tcPr>
            <w:tcW w:w="2430" w:type="dxa"/>
            <w:noWrap/>
            <w:tcMar>
              <w:left w:w="115" w:type="dxa"/>
              <w:right w:w="115" w:type="dxa"/>
            </w:tcMar>
            <w:vAlign w:val="center"/>
            <w:hideMark/>
          </w:tcPr>
          <w:p w14:paraId="73C78768" w14:textId="77777777" w:rsidR="00354B78" w:rsidRPr="009F386E" w:rsidRDefault="00354B78" w:rsidP="005F43B0">
            <w:pPr>
              <w:jc w:val="center"/>
              <w:rPr>
                <w:rFonts w:ascii="Arial" w:hAnsi="Arial" w:cs="Arial"/>
                <w:sz w:val="24"/>
                <w:szCs w:val="24"/>
              </w:rPr>
            </w:pPr>
            <w:r w:rsidRPr="009F386E">
              <w:rPr>
                <w:rFonts w:ascii="Arial" w:hAnsi="Arial" w:cs="Arial"/>
                <w:sz w:val="24"/>
                <w:szCs w:val="24"/>
              </w:rPr>
              <w:t>0.1%</w:t>
            </w:r>
          </w:p>
        </w:tc>
        <w:tc>
          <w:tcPr>
            <w:tcW w:w="2399" w:type="dxa"/>
            <w:noWrap/>
            <w:tcMar>
              <w:left w:w="115" w:type="dxa"/>
              <w:right w:w="432" w:type="dxa"/>
            </w:tcMar>
            <w:vAlign w:val="center"/>
            <w:hideMark/>
          </w:tcPr>
          <w:p w14:paraId="48A28B54" w14:textId="77777777" w:rsidR="00354B78" w:rsidRPr="009F386E" w:rsidRDefault="00354B78" w:rsidP="005F43B0">
            <w:pPr>
              <w:jc w:val="right"/>
              <w:rPr>
                <w:rFonts w:ascii="Arial" w:hAnsi="Arial" w:cs="Arial"/>
                <w:sz w:val="24"/>
                <w:szCs w:val="24"/>
              </w:rPr>
            </w:pPr>
            <w:r w:rsidRPr="009F386E">
              <w:rPr>
                <w:rFonts w:ascii="Arial" w:hAnsi="Arial" w:cs="Arial"/>
                <w:sz w:val="24"/>
                <w:szCs w:val="24"/>
              </w:rPr>
              <w:t>$1,120</w:t>
            </w:r>
          </w:p>
        </w:tc>
      </w:tr>
      <w:tr w:rsidR="00354B78" w:rsidRPr="009F386E" w14:paraId="661663CA" w14:textId="77777777" w:rsidTr="00CC725F">
        <w:trPr>
          <w:trHeight w:hRule="exact" w:val="712"/>
        </w:trPr>
        <w:tc>
          <w:tcPr>
            <w:tcW w:w="2335" w:type="dxa"/>
            <w:noWrap/>
            <w:vAlign w:val="center"/>
            <w:hideMark/>
          </w:tcPr>
          <w:p w14:paraId="78EB3412" w14:textId="77777777" w:rsidR="00354B78" w:rsidRPr="009F386E" w:rsidRDefault="00354B78" w:rsidP="005F43B0">
            <w:pPr>
              <w:spacing w:after="120"/>
              <w:rPr>
                <w:rFonts w:ascii="Arial" w:hAnsi="Arial" w:cs="Arial"/>
                <w:sz w:val="24"/>
                <w:szCs w:val="24"/>
              </w:rPr>
            </w:pPr>
            <w:r w:rsidRPr="009F386E">
              <w:rPr>
                <w:rFonts w:ascii="Arial" w:hAnsi="Arial" w:cs="Arial"/>
                <w:sz w:val="24"/>
                <w:szCs w:val="24"/>
              </w:rPr>
              <w:t xml:space="preserve">Blank </w:t>
            </w:r>
            <w:r>
              <w:rPr>
                <w:rFonts w:ascii="Arial" w:hAnsi="Arial" w:cs="Arial"/>
                <w:sz w:val="24"/>
                <w:szCs w:val="24"/>
              </w:rPr>
              <w:br/>
            </w:r>
            <w:r w:rsidRPr="009F386E">
              <w:rPr>
                <w:rFonts w:ascii="Arial" w:hAnsi="Arial" w:cs="Arial"/>
                <w:sz w:val="24"/>
                <w:szCs w:val="24"/>
              </w:rPr>
              <w:t>(Not Designated)</w:t>
            </w:r>
          </w:p>
        </w:tc>
        <w:tc>
          <w:tcPr>
            <w:tcW w:w="2520" w:type="dxa"/>
            <w:noWrap/>
            <w:tcMar>
              <w:left w:w="115" w:type="dxa"/>
              <w:right w:w="864" w:type="dxa"/>
            </w:tcMar>
            <w:vAlign w:val="center"/>
            <w:hideMark/>
          </w:tcPr>
          <w:p w14:paraId="723989B3" w14:textId="77777777" w:rsidR="00354B78" w:rsidRPr="009F386E" w:rsidRDefault="00354B78" w:rsidP="005F43B0">
            <w:pPr>
              <w:jc w:val="right"/>
              <w:rPr>
                <w:rFonts w:ascii="Arial" w:hAnsi="Arial" w:cs="Arial"/>
                <w:sz w:val="24"/>
                <w:szCs w:val="24"/>
              </w:rPr>
            </w:pPr>
            <w:r w:rsidRPr="009F386E">
              <w:rPr>
                <w:rFonts w:ascii="Arial" w:hAnsi="Arial" w:cs="Arial"/>
                <w:sz w:val="24"/>
                <w:szCs w:val="24"/>
              </w:rPr>
              <w:t>9</w:t>
            </w:r>
          </w:p>
        </w:tc>
        <w:tc>
          <w:tcPr>
            <w:tcW w:w="2430" w:type="dxa"/>
            <w:noWrap/>
            <w:tcMar>
              <w:left w:w="115" w:type="dxa"/>
              <w:right w:w="115" w:type="dxa"/>
            </w:tcMar>
            <w:vAlign w:val="center"/>
            <w:hideMark/>
          </w:tcPr>
          <w:p w14:paraId="24649F46" w14:textId="77777777" w:rsidR="00354B78" w:rsidRPr="009F386E" w:rsidRDefault="00354B78" w:rsidP="005F43B0">
            <w:pPr>
              <w:jc w:val="center"/>
              <w:rPr>
                <w:rFonts w:ascii="Arial" w:hAnsi="Arial" w:cs="Arial"/>
                <w:sz w:val="24"/>
                <w:szCs w:val="24"/>
              </w:rPr>
            </w:pPr>
            <w:r w:rsidRPr="009F386E">
              <w:rPr>
                <w:rFonts w:ascii="Arial" w:hAnsi="Arial" w:cs="Arial"/>
                <w:sz w:val="24"/>
                <w:szCs w:val="24"/>
              </w:rPr>
              <w:t>0.1%</w:t>
            </w:r>
          </w:p>
        </w:tc>
        <w:tc>
          <w:tcPr>
            <w:tcW w:w="2399" w:type="dxa"/>
            <w:noWrap/>
            <w:tcMar>
              <w:left w:w="115" w:type="dxa"/>
              <w:right w:w="432" w:type="dxa"/>
            </w:tcMar>
            <w:vAlign w:val="center"/>
            <w:hideMark/>
          </w:tcPr>
          <w:p w14:paraId="433F1506" w14:textId="77777777" w:rsidR="00354B78" w:rsidRPr="009F386E" w:rsidRDefault="00354B78" w:rsidP="005F43B0">
            <w:pPr>
              <w:jc w:val="right"/>
              <w:rPr>
                <w:rFonts w:ascii="Arial" w:hAnsi="Arial" w:cs="Arial"/>
                <w:sz w:val="24"/>
                <w:szCs w:val="24"/>
              </w:rPr>
            </w:pPr>
            <w:r w:rsidRPr="009F386E">
              <w:rPr>
                <w:rFonts w:ascii="Arial" w:hAnsi="Arial" w:cs="Arial"/>
                <w:sz w:val="24"/>
                <w:szCs w:val="24"/>
              </w:rPr>
              <w:t>$2,016</w:t>
            </w:r>
          </w:p>
        </w:tc>
      </w:tr>
      <w:tr w:rsidR="00354B78" w:rsidRPr="009F386E" w14:paraId="6EB8A135" w14:textId="77777777" w:rsidTr="00CC725F">
        <w:trPr>
          <w:trHeight w:hRule="exact" w:val="360"/>
        </w:trPr>
        <w:tc>
          <w:tcPr>
            <w:tcW w:w="2335" w:type="dxa"/>
            <w:noWrap/>
            <w:vAlign w:val="center"/>
            <w:hideMark/>
          </w:tcPr>
          <w:p w14:paraId="03FF29B5" w14:textId="77777777" w:rsidR="00354B78" w:rsidRPr="009F386E" w:rsidRDefault="00354B78" w:rsidP="005F43B0">
            <w:pPr>
              <w:jc w:val="right"/>
              <w:rPr>
                <w:rFonts w:ascii="Arial" w:hAnsi="Arial" w:cs="Arial"/>
                <w:sz w:val="24"/>
                <w:szCs w:val="24"/>
              </w:rPr>
            </w:pPr>
            <w:r w:rsidRPr="009F386E">
              <w:rPr>
                <w:rFonts w:ascii="Arial" w:hAnsi="Arial" w:cs="Arial"/>
                <w:sz w:val="24"/>
                <w:szCs w:val="24"/>
              </w:rPr>
              <w:t>Totals:</w:t>
            </w:r>
          </w:p>
        </w:tc>
        <w:tc>
          <w:tcPr>
            <w:tcW w:w="2520" w:type="dxa"/>
            <w:noWrap/>
            <w:tcMar>
              <w:left w:w="115" w:type="dxa"/>
              <w:right w:w="864" w:type="dxa"/>
            </w:tcMar>
            <w:vAlign w:val="center"/>
            <w:hideMark/>
          </w:tcPr>
          <w:p w14:paraId="6EEFB8C0" w14:textId="77777777" w:rsidR="00354B78" w:rsidRPr="009F386E" w:rsidRDefault="00354B78" w:rsidP="005F43B0">
            <w:pPr>
              <w:jc w:val="right"/>
              <w:rPr>
                <w:rFonts w:ascii="Arial" w:hAnsi="Arial" w:cs="Arial"/>
                <w:sz w:val="24"/>
                <w:szCs w:val="24"/>
              </w:rPr>
            </w:pPr>
            <w:r w:rsidRPr="009F386E">
              <w:rPr>
                <w:rFonts w:ascii="Arial" w:hAnsi="Arial" w:cs="Arial"/>
                <w:sz w:val="24"/>
                <w:szCs w:val="24"/>
              </w:rPr>
              <w:t>7,194</w:t>
            </w:r>
          </w:p>
        </w:tc>
        <w:tc>
          <w:tcPr>
            <w:tcW w:w="2430" w:type="dxa"/>
            <w:noWrap/>
            <w:tcMar>
              <w:left w:w="115" w:type="dxa"/>
              <w:right w:w="720" w:type="dxa"/>
            </w:tcMar>
            <w:vAlign w:val="center"/>
            <w:hideMark/>
          </w:tcPr>
          <w:p w14:paraId="7D8FA032" w14:textId="77777777" w:rsidR="00354B78" w:rsidRPr="009F386E" w:rsidRDefault="00354B78" w:rsidP="005F43B0">
            <w:pPr>
              <w:jc w:val="right"/>
              <w:rPr>
                <w:rFonts w:ascii="Arial" w:hAnsi="Arial" w:cs="Arial"/>
                <w:sz w:val="24"/>
                <w:szCs w:val="24"/>
              </w:rPr>
            </w:pPr>
            <w:r w:rsidRPr="009F386E">
              <w:rPr>
                <w:rFonts w:ascii="Arial" w:hAnsi="Arial" w:cs="Arial"/>
                <w:sz w:val="24"/>
                <w:szCs w:val="24"/>
              </w:rPr>
              <w:t>100%</w:t>
            </w:r>
          </w:p>
        </w:tc>
        <w:tc>
          <w:tcPr>
            <w:tcW w:w="2399" w:type="dxa"/>
            <w:noWrap/>
            <w:tcMar>
              <w:left w:w="115" w:type="dxa"/>
              <w:right w:w="432" w:type="dxa"/>
            </w:tcMar>
            <w:vAlign w:val="center"/>
            <w:hideMark/>
          </w:tcPr>
          <w:p w14:paraId="0A01A783" w14:textId="77777777" w:rsidR="00354B78" w:rsidRPr="009F386E" w:rsidRDefault="00354B78" w:rsidP="005F43B0">
            <w:pPr>
              <w:jc w:val="right"/>
              <w:rPr>
                <w:rFonts w:ascii="Arial" w:hAnsi="Arial" w:cs="Arial"/>
                <w:sz w:val="24"/>
                <w:szCs w:val="24"/>
              </w:rPr>
            </w:pPr>
            <w:r w:rsidRPr="009F386E">
              <w:rPr>
                <w:rFonts w:ascii="Arial" w:hAnsi="Arial" w:cs="Arial"/>
                <w:sz w:val="24"/>
                <w:szCs w:val="24"/>
              </w:rPr>
              <w:t>$1,611,456</w:t>
            </w:r>
          </w:p>
          <w:p w14:paraId="7C83FE1D" w14:textId="77777777" w:rsidR="00354B78" w:rsidRPr="009F386E" w:rsidRDefault="00354B78" w:rsidP="005F43B0">
            <w:pPr>
              <w:jc w:val="right"/>
              <w:rPr>
                <w:rFonts w:ascii="Arial" w:hAnsi="Arial" w:cs="Arial"/>
                <w:sz w:val="24"/>
                <w:szCs w:val="24"/>
              </w:rPr>
            </w:pPr>
          </w:p>
        </w:tc>
      </w:tr>
    </w:tbl>
    <w:p w14:paraId="20E80C04" w14:textId="0121B8F8" w:rsidR="00354B78" w:rsidRDefault="00354B78" w:rsidP="00354B78">
      <w:pPr>
        <w:pStyle w:val="ListParagraph"/>
        <w:spacing w:line="240" w:lineRule="auto"/>
        <w:ind w:left="540"/>
        <w:rPr>
          <w:rFonts w:ascii="Arial" w:hAnsi="Arial" w:cs="Arial"/>
          <w:i/>
          <w:iCs/>
          <w:sz w:val="24"/>
          <w:szCs w:val="24"/>
        </w:rPr>
      </w:pPr>
    </w:p>
    <w:p w14:paraId="05C1A876" w14:textId="77777777" w:rsidR="00354B78" w:rsidRPr="0075322B" w:rsidRDefault="00354B78" w:rsidP="00354B78">
      <w:pPr>
        <w:pStyle w:val="ListParagraph"/>
        <w:spacing w:line="240" w:lineRule="auto"/>
        <w:ind w:left="540"/>
        <w:rPr>
          <w:rFonts w:ascii="Arial" w:hAnsi="Arial" w:cs="Arial"/>
          <w:i/>
          <w:iCs/>
          <w:sz w:val="24"/>
          <w:szCs w:val="24"/>
        </w:rPr>
      </w:pPr>
    </w:p>
    <w:p w14:paraId="77D53770" w14:textId="77777777" w:rsidR="00354B78" w:rsidRPr="0075322B" w:rsidRDefault="00354B78" w:rsidP="0075322B">
      <w:pPr>
        <w:pStyle w:val="ListParagraph"/>
        <w:spacing w:line="240" w:lineRule="auto"/>
        <w:ind w:left="540"/>
        <w:rPr>
          <w:rFonts w:ascii="Arial" w:hAnsi="Arial" w:cs="Arial"/>
          <w:sz w:val="24"/>
          <w:szCs w:val="24"/>
        </w:rPr>
      </w:pPr>
    </w:p>
    <w:p w14:paraId="5B773EB4" w14:textId="57C9B273" w:rsidR="003320BB" w:rsidRPr="00B41FDC" w:rsidRDefault="00881FAB" w:rsidP="00360786">
      <w:pPr>
        <w:pStyle w:val="ListParagraph"/>
        <w:numPr>
          <w:ilvl w:val="0"/>
          <w:numId w:val="8"/>
        </w:numPr>
        <w:spacing w:line="240" w:lineRule="auto"/>
        <w:ind w:left="540"/>
        <w:rPr>
          <w:rFonts w:ascii="Arial" w:hAnsi="Arial" w:cs="Arial"/>
          <w:sz w:val="24"/>
          <w:szCs w:val="24"/>
        </w:rPr>
      </w:pPr>
      <w:r w:rsidRPr="00881FAB">
        <w:rPr>
          <w:rFonts w:ascii="Arial" w:hAnsi="Arial" w:cs="Arial"/>
          <w:sz w:val="24"/>
          <w:szCs w:val="24"/>
          <w:u w:val="single"/>
        </w:rPr>
        <w:t>Non-reimbursable Expenditures in Current State Fiscal Year</w:t>
      </w:r>
      <w:r>
        <w:rPr>
          <w:rFonts w:ascii="Arial" w:hAnsi="Arial" w:cs="Arial"/>
          <w:sz w:val="24"/>
          <w:szCs w:val="24"/>
        </w:rPr>
        <w:br/>
      </w:r>
      <w:r w:rsidR="003320BB" w:rsidRPr="00B41FDC">
        <w:rPr>
          <w:rFonts w:ascii="Arial" w:hAnsi="Arial" w:cs="Arial"/>
          <w:sz w:val="24"/>
          <w:szCs w:val="24"/>
        </w:rPr>
        <w:t xml:space="preserve">Fiscal Impact on Local Government:  $836,640 annually in direct impacts to PWS run by local government, which are not reimbursable by the State pursuant to Article XIIIB, Section 6 of the California Constitution.  This value was determined using total estimated annual costs of complying with this regulation multiplied by the number of PWS that are operated by local governments (obtained from the State Water Board’s databases).  </w:t>
      </w:r>
      <w:bookmarkEnd w:id="2"/>
    </w:p>
    <w:p w14:paraId="407EA24C" w14:textId="77777777" w:rsidR="003320BB" w:rsidRPr="00B41FDC" w:rsidRDefault="003320BB" w:rsidP="00D9388B">
      <w:pPr>
        <w:pStyle w:val="ListParagraph"/>
        <w:spacing w:line="240" w:lineRule="auto"/>
        <w:ind w:left="540"/>
        <w:rPr>
          <w:rFonts w:ascii="Arial" w:hAnsi="Arial" w:cs="Arial"/>
          <w:sz w:val="24"/>
          <w:szCs w:val="24"/>
        </w:rPr>
      </w:pPr>
    </w:p>
    <w:p w14:paraId="170408C6" w14:textId="35C623EC" w:rsidR="003320BB" w:rsidRPr="00B41FDC" w:rsidRDefault="003320BB" w:rsidP="00D9388B">
      <w:pPr>
        <w:pStyle w:val="ListParagraph"/>
        <w:spacing w:line="240" w:lineRule="auto"/>
        <w:ind w:left="540"/>
        <w:rPr>
          <w:rFonts w:ascii="Arial" w:hAnsi="Arial" w:cs="Arial"/>
          <w:sz w:val="24"/>
          <w:szCs w:val="24"/>
        </w:rPr>
      </w:pPr>
      <w:r w:rsidRPr="00B41FDC">
        <w:rPr>
          <w:rFonts w:ascii="Arial" w:hAnsi="Arial" w:cs="Arial"/>
          <w:sz w:val="24"/>
          <w:szCs w:val="24"/>
        </w:rPr>
        <w:t xml:space="preserve">(e) The </w:t>
      </w:r>
      <w:r w:rsidR="00B570F7" w:rsidRPr="00B41FDC">
        <w:rPr>
          <w:rFonts w:ascii="Arial" w:hAnsi="Arial" w:cs="Arial"/>
          <w:sz w:val="24"/>
          <w:szCs w:val="24"/>
        </w:rPr>
        <w:t>publicly owned</w:t>
      </w:r>
      <w:r w:rsidRPr="00B41FDC">
        <w:rPr>
          <w:rFonts w:ascii="Arial" w:hAnsi="Arial" w:cs="Arial"/>
          <w:sz w:val="24"/>
          <w:szCs w:val="24"/>
        </w:rPr>
        <w:t xml:space="preserve"> systems can pass on the costs in increased service charges, fees, or assessments.  This estimate represents the greatest cost to local government based on detections above the DLR.  The proposed regulation does not significantly impact local government costs or tax revenue</w:t>
      </w:r>
      <w:r w:rsidR="000C6F9E" w:rsidRPr="00B41FDC">
        <w:rPr>
          <w:rFonts w:ascii="Arial" w:hAnsi="Arial" w:cs="Arial"/>
          <w:sz w:val="24"/>
          <w:szCs w:val="24"/>
        </w:rPr>
        <w:t>.</w:t>
      </w:r>
    </w:p>
    <w:p w14:paraId="550161E6" w14:textId="77777777" w:rsidR="003320BB" w:rsidRPr="00B41FDC" w:rsidRDefault="003320BB" w:rsidP="00D9388B">
      <w:pPr>
        <w:pStyle w:val="ListParagraph"/>
        <w:spacing w:line="240" w:lineRule="auto"/>
        <w:ind w:left="540"/>
        <w:rPr>
          <w:rFonts w:ascii="Arial" w:hAnsi="Arial" w:cs="Arial"/>
          <w:sz w:val="24"/>
          <w:szCs w:val="24"/>
        </w:rPr>
      </w:pPr>
    </w:p>
    <w:p w14:paraId="1897D057" w14:textId="181BB293" w:rsidR="003320BB" w:rsidRPr="00B41FDC" w:rsidRDefault="003320BB" w:rsidP="00D9388B">
      <w:pPr>
        <w:pStyle w:val="ListParagraph"/>
        <w:spacing w:line="240" w:lineRule="auto"/>
        <w:ind w:left="540"/>
        <w:rPr>
          <w:rFonts w:ascii="Arial" w:hAnsi="Arial" w:cs="Arial"/>
          <w:sz w:val="24"/>
          <w:szCs w:val="24"/>
        </w:rPr>
      </w:pPr>
      <w:r w:rsidRPr="00B41FDC">
        <w:rPr>
          <w:rFonts w:ascii="Arial" w:hAnsi="Arial" w:cs="Arial"/>
          <w:sz w:val="24"/>
          <w:szCs w:val="24"/>
        </w:rPr>
        <w:t xml:space="preserve">These costs are not reimbursable because the regulation does not impose unique requirements on local governments; the regulation applies equally to both </w:t>
      </w:r>
      <w:r w:rsidR="00B570F7" w:rsidRPr="00B41FDC">
        <w:rPr>
          <w:rFonts w:ascii="Arial" w:hAnsi="Arial" w:cs="Arial"/>
          <w:sz w:val="24"/>
          <w:szCs w:val="24"/>
        </w:rPr>
        <w:t>publicly owned</w:t>
      </w:r>
      <w:r w:rsidRPr="00B41FDC">
        <w:rPr>
          <w:rFonts w:ascii="Arial" w:hAnsi="Arial" w:cs="Arial"/>
          <w:sz w:val="24"/>
          <w:szCs w:val="24"/>
        </w:rPr>
        <w:t xml:space="preserve"> and privately-owned water systems.</w:t>
      </w:r>
    </w:p>
    <w:p w14:paraId="2B8BF768" w14:textId="2D0F0668" w:rsidR="003320BB" w:rsidRPr="00B41FDC" w:rsidRDefault="003320BB" w:rsidP="00D9388B">
      <w:pPr>
        <w:pStyle w:val="ListParagraph"/>
        <w:ind w:left="540"/>
        <w:rPr>
          <w:rFonts w:ascii="Arial" w:hAnsi="Arial" w:cs="Arial"/>
          <w:sz w:val="24"/>
          <w:szCs w:val="24"/>
        </w:rPr>
      </w:pPr>
    </w:p>
    <w:p w14:paraId="34758053" w14:textId="22A0F677" w:rsidR="003320BB" w:rsidRPr="00B41FDC" w:rsidRDefault="003320BB" w:rsidP="00D9388B">
      <w:pPr>
        <w:pStyle w:val="Heading3"/>
        <w:ind w:left="540"/>
      </w:pPr>
      <w:r w:rsidRPr="00B41FDC">
        <w:t>Section B Fiscal Effect on State Government (p. 5):</w:t>
      </w:r>
    </w:p>
    <w:p w14:paraId="6DA487E3" w14:textId="77777777" w:rsidR="00F1308F" w:rsidRDefault="003320BB" w:rsidP="00360786">
      <w:pPr>
        <w:pStyle w:val="ListParagraph"/>
        <w:numPr>
          <w:ilvl w:val="0"/>
          <w:numId w:val="10"/>
        </w:numPr>
        <w:spacing w:line="240" w:lineRule="auto"/>
        <w:ind w:left="540"/>
        <w:rPr>
          <w:rFonts w:ascii="Arial" w:hAnsi="Arial" w:cs="Arial"/>
          <w:sz w:val="24"/>
          <w:szCs w:val="24"/>
        </w:rPr>
      </w:pPr>
      <w:r w:rsidRPr="00B41FDC">
        <w:rPr>
          <w:rFonts w:ascii="Arial" w:hAnsi="Arial" w:cs="Arial"/>
          <w:sz w:val="24"/>
          <w:szCs w:val="24"/>
          <w:u w:val="single"/>
        </w:rPr>
        <w:t>Fiscal Impact on PWS Owned by State Government:</w:t>
      </w:r>
      <w:r w:rsidRPr="00B41FDC">
        <w:rPr>
          <w:rFonts w:ascii="Arial" w:hAnsi="Arial" w:cs="Arial"/>
          <w:sz w:val="24"/>
          <w:szCs w:val="24"/>
        </w:rPr>
        <w:t xml:space="preserve">  $20,608 annually for PWS owned by the state, which is anticipated to be absorbable by State agencies within their existing budgets.  This value was determined using total estimated annual costs of complying with this regulation for those PWS that are operated by state government (obtained from the State Water Board’s databases).  </w:t>
      </w:r>
    </w:p>
    <w:p w14:paraId="389593F1" w14:textId="77777777" w:rsidR="00F1308F" w:rsidRDefault="00F1308F" w:rsidP="00CC725F">
      <w:pPr>
        <w:pStyle w:val="ListParagraph"/>
        <w:spacing w:line="240" w:lineRule="auto"/>
        <w:ind w:left="540"/>
        <w:rPr>
          <w:rFonts w:ascii="Arial" w:hAnsi="Arial" w:cs="Arial"/>
          <w:sz w:val="24"/>
          <w:szCs w:val="24"/>
        </w:rPr>
      </w:pPr>
    </w:p>
    <w:p w14:paraId="75A42D0A" w14:textId="0BDA4D79" w:rsidR="003320BB" w:rsidRPr="00B41FDC" w:rsidRDefault="00F1308F" w:rsidP="00CC725F">
      <w:pPr>
        <w:pStyle w:val="ListParagraph"/>
        <w:spacing w:line="240" w:lineRule="auto"/>
        <w:ind w:left="540"/>
        <w:rPr>
          <w:rFonts w:ascii="Arial" w:hAnsi="Arial" w:cs="Arial"/>
          <w:sz w:val="24"/>
          <w:szCs w:val="24"/>
        </w:rPr>
      </w:pPr>
      <w:r>
        <w:rPr>
          <w:rFonts w:ascii="Arial" w:hAnsi="Arial" w:cs="Arial"/>
          <w:sz w:val="24"/>
          <w:szCs w:val="24"/>
        </w:rPr>
        <w:t>These costs are associated with compliance for state government entities that have public water systems subject to these regulations. The State Water Board does not anticipate this regulation will result in any increased costs/workload for state water board staff to implement these regulations.</w:t>
      </w:r>
    </w:p>
    <w:p w14:paraId="4085454C" w14:textId="77777777" w:rsidR="003320BB" w:rsidRPr="00B41FDC" w:rsidRDefault="003320BB" w:rsidP="00360786">
      <w:pPr>
        <w:pStyle w:val="ListParagraph"/>
        <w:spacing w:line="240" w:lineRule="auto"/>
        <w:ind w:left="540" w:hanging="360"/>
        <w:rPr>
          <w:rFonts w:ascii="Arial" w:hAnsi="Arial" w:cs="Arial"/>
          <w:sz w:val="24"/>
          <w:szCs w:val="24"/>
        </w:rPr>
      </w:pPr>
    </w:p>
    <w:p w14:paraId="3660D7F0" w14:textId="009D3594" w:rsidR="003320BB" w:rsidRPr="00B41FDC" w:rsidRDefault="003320BB" w:rsidP="00360786">
      <w:pPr>
        <w:pStyle w:val="ListParagraph"/>
        <w:spacing w:line="240" w:lineRule="auto"/>
        <w:ind w:left="540"/>
        <w:rPr>
          <w:rFonts w:ascii="Arial" w:hAnsi="Arial" w:cs="Arial"/>
          <w:sz w:val="24"/>
          <w:szCs w:val="24"/>
        </w:rPr>
      </w:pPr>
      <w:r w:rsidRPr="00B41FDC">
        <w:rPr>
          <w:rFonts w:ascii="Arial" w:hAnsi="Arial" w:cs="Arial"/>
          <w:sz w:val="24"/>
          <w:szCs w:val="24"/>
        </w:rPr>
        <w:lastRenderedPageBreak/>
        <w:t xml:space="preserve">The State Water Board estimates that there will be no change to the Division of Drinking Water’s (DDW) Safe Drinking Water Account fees and caps.  The fees, caps, and annual adjustments are specified in statute under </w:t>
      </w:r>
      <w:r w:rsidR="001438EC" w:rsidRPr="00B41FDC">
        <w:rPr>
          <w:rFonts w:ascii="Arial" w:hAnsi="Arial" w:cs="Arial"/>
          <w:sz w:val="24"/>
          <w:szCs w:val="24"/>
        </w:rPr>
        <w:t xml:space="preserve">California Health and Safety Code, </w:t>
      </w:r>
      <w:r w:rsidRPr="00B41FDC">
        <w:rPr>
          <w:rFonts w:ascii="Arial" w:hAnsi="Arial" w:cs="Arial"/>
          <w:sz w:val="24"/>
          <w:szCs w:val="24"/>
        </w:rPr>
        <w:t>Sections 116565, 116577, 116585, and 116590</w:t>
      </w:r>
      <w:r w:rsidR="001438EC" w:rsidRPr="00B41FDC">
        <w:rPr>
          <w:rFonts w:ascii="Arial" w:hAnsi="Arial" w:cs="Arial"/>
          <w:sz w:val="24"/>
          <w:szCs w:val="24"/>
        </w:rPr>
        <w:t>.</w:t>
      </w:r>
    </w:p>
    <w:p w14:paraId="4C1AA588" w14:textId="22C36D23" w:rsidR="005F55A9" w:rsidRDefault="003320BB" w:rsidP="00360786">
      <w:pPr>
        <w:pStyle w:val="Default"/>
        <w:spacing w:after="240"/>
        <w:ind w:left="540"/>
        <w:rPr>
          <w:rFonts w:ascii="Arial" w:hAnsi="Arial" w:cs="Arial"/>
          <w:color w:val="auto"/>
        </w:rPr>
      </w:pPr>
      <w:r w:rsidRPr="00B41FDC">
        <w:rPr>
          <w:rFonts w:ascii="Arial" w:hAnsi="Arial" w:cs="Arial"/>
          <w:u w:val="single"/>
        </w:rPr>
        <w:t>Fiscal Impact on State Water Board and other State Agencies:</w:t>
      </w:r>
      <w:r w:rsidRPr="00B41FDC">
        <w:rPr>
          <w:rFonts w:ascii="Arial" w:hAnsi="Arial" w:cs="Arial"/>
        </w:rPr>
        <w:t xml:space="preserve">  The State Water Board’s DDW oversees the estimated 92 state-owned water sources impacted by the proposed regulation.  The initial impact of the proposed regulation would have an insignificant impact on staffing resources, which could be accommodated through redistribution of existing staff at the District office level</w:t>
      </w:r>
      <w:r w:rsidRPr="00B41FDC">
        <w:rPr>
          <w:rFonts w:ascii="Arial" w:hAnsi="Arial" w:cs="Arial"/>
          <w:color w:val="auto"/>
        </w:rPr>
        <w:t>.</w:t>
      </w:r>
    </w:p>
    <w:p w14:paraId="3E3E9049" w14:textId="01321FAF" w:rsidR="00F1308F" w:rsidRDefault="00F1308F" w:rsidP="00360786">
      <w:pPr>
        <w:pStyle w:val="Default"/>
        <w:spacing w:after="240"/>
        <w:ind w:left="540"/>
        <w:rPr>
          <w:rFonts w:ascii="Arial" w:hAnsi="Arial" w:cs="Arial"/>
        </w:rPr>
      </w:pPr>
    </w:p>
    <w:p w14:paraId="7AF623E9" w14:textId="4FCC8959" w:rsidR="00F1308F" w:rsidRDefault="00F1308F">
      <w:pPr>
        <w:spacing w:after="160" w:line="259" w:lineRule="auto"/>
        <w:rPr>
          <w:rFonts w:ascii="Arial" w:hAnsi="Arial" w:cs="Arial"/>
          <w:color w:val="000000"/>
          <w:sz w:val="24"/>
          <w:szCs w:val="24"/>
        </w:rPr>
      </w:pPr>
      <w:r>
        <w:rPr>
          <w:rFonts w:ascii="Arial" w:hAnsi="Arial" w:cs="Arial"/>
        </w:rPr>
        <w:br w:type="page"/>
      </w:r>
    </w:p>
    <w:p w14:paraId="28AA8AEB" w14:textId="77777777" w:rsidR="007951C4" w:rsidRDefault="007951C4" w:rsidP="003C7DB4">
      <w:pPr>
        <w:pStyle w:val="Default"/>
        <w:spacing w:after="240"/>
        <w:ind w:left="-810"/>
        <w:rPr>
          <w:rFonts w:ascii="Arial" w:hAnsi="Arial" w:cs="Arial"/>
        </w:rPr>
        <w:sectPr w:rsidR="007951C4" w:rsidSect="007951C4">
          <w:footerReference w:type="default" r:id="rId8"/>
          <w:pgSz w:w="12240" w:h="15840"/>
          <w:pgMar w:top="1440" w:right="990" w:bottom="1260" w:left="1170" w:header="720" w:footer="720" w:gutter="0"/>
          <w:cols w:space="720"/>
          <w:docGrid w:linePitch="360"/>
        </w:sectPr>
      </w:pPr>
    </w:p>
    <w:p w14:paraId="50C9AAA1" w14:textId="08CC4CCB" w:rsidR="00872078" w:rsidRDefault="00187C8C" w:rsidP="00CC725F">
      <w:pPr>
        <w:pStyle w:val="Default"/>
        <w:spacing w:after="240"/>
        <w:rPr>
          <w:rFonts w:ascii="Arial" w:hAnsi="Arial" w:cs="Arial"/>
        </w:rPr>
      </w:pPr>
      <w:r w:rsidRPr="005B02FC">
        <w:rPr>
          <w:rFonts w:ascii="Arial" w:hAnsi="Arial" w:cs="Arial"/>
          <w:b/>
          <w:bCs/>
          <w:u w:val="single"/>
        </w:rPr>
        <w:lastRenderedPageBreak/>
        <w:t xml:space="preserve">APPENDIX </w:t>
      </w:r>
    </w:p>
    <w:p w14:paraId="1B453B16" w14:textId="217641DE" w:rsidR="00872078" w:rsidRDefault="003C7DB4" w:rsidP="00CC725F">
      <w:pPr>
        <w:pStyle w:val="Default"/>
        <w:spacing w:after="240"/>
        <w:rPr>
          <w:rFonts w:ascii="Arial" w:hAnsi="Arial" w:cs="Arial"/>
        </w:rPr>
      </w:pPr>
      <w:r w:rsidRPr="00CC725F">
        <w:rPr>
          <w:rFonts w:ascii="Arial" w:hAnsi="Arial" w:cs="Arial"/>
        </w:rPr>
        <w:t xml:space="preserve">Table </w:t>
      </w:r>
      <w:r w:rsidR="00CC725F">
        <w:rPr>
          <w:rFonts w:ascii="Arial" w:hAnsi="Arial" w:cs="Arial"/>
        </w:rPr>
        <w:t>I</w:t>
      </w:r>
      <w:r w:rsidR="00872078" w:rsidRPr="002E5574">
        <w:rPr>
          <w:rFonts w:ascii="Arial" w:hAnsi="Arial" w:cs="Arial"/>
        </w:rPr>
        <w:t xml:space="preserve"> –</w:t>
      </w:r>
      <w:r w:rsidR="00872078">
        <w:rPr>
          <w:rFonts w:ascii="Arial" w:hAnsi="Arial" w:cs="Arial"/>
        </w:rPr>
        <w:t xml:space="preserve"> Community Water Systems (CWS) and Non-Transient, Non-Community (NTNC) Public Water Systems (PWS) and Sources </w:t>
      </w:r>
    </w:p>
    <w:tbl>
      <w:tblPr>
        <w:tblStyle w:val="TableGrid"/>
        <w:tblW w:w="18140" w:type="dxa"/>
        <w:tblLook w:val="04A0" w:firstRow="1" w:lastRow="0" w:firstColumn="1" w:lastColumn="0" w:noHBand="0" w:noVBand="1"/>
      </w:tblPr>
      <w:tblGrid>
        <w:gridCol w:w="1840"/>
        <w:gridCol w:w="3520"/>
        <w:gridCol w:w="4120"/>
        <w:gridCol w:w="2200"/>
        <w:gridCol w:w="4020"/>
        <w:gridCol w:w="2440"/>
      </w:tblGrid>
      <w:tr w:rsidR="00872078" w:rsidRPr="00872078" w14:paraId="335FABED" w14:textId="77777777" w:rsidTr="00872078">
        <w:trPr>
          <w:trHeight w:val="960"/>
        </w:trPr>
        <w:tc>
          <w:tcPr>
            <w:tcW w:w="1840" w:type="dxa"/>
            <w:shd w:val="clear" w:color="auto" w:fill="BFBFBF" w:themeFill="background1" w:themeFillShade="BF"/>
            <w:hideMark/>
          </w:tcPr>
          <w:p w14:paraId="7EA83F9E" w14:textId="77777777" w:rsidR="00872078" w:rsidRPr="00872078" w:rsidRDefault="00872078" w:rsidP="00872078">
            <w:pPr>
              <w:spacing w:after="0" w:line="240" w:lineRule="auto"/>
              <w:jc w:val="center"/>
              <w:rPr>
                <w:rFonts w:ascii="Arial" w:eastAsia="Times New Roman" w:hAnsi="Arial" w:cs="Arial"/>
                <w:b/>
                <w:bCs/>
                <w:color w:val="000000"/>
                <w:sz w:val="24"/>
                <w:szCs w:val="24"/>
              </w:rPr>
            </w:pPr>
            <w:r w:rsidRPr="00872078">
              <w:rPr>
                <w:rFonts w:ascii="Arial" w:eastAsia="Times New Roman" w:hAnsi="Arial" w:cs="Arial"/>
                <w:b/>
                <w:bCs/>
                <w:color w:val="000000"/>
                <w:sz w:val="24"/>
                <w:szCs w:val="24"/>
              </w:rPr>
              <w:t>Designated CWS or NTNC</w:t>
            </w:r>
          </w:p>
        </w:tc>
        <w:tc>
          <w:tcPr>
            <w:tcW w:w="3520" w:type="dxa"/>
            <w:shd w:val="clear" w:color="auto" w:fill="BFBFBF" w:themeFill="background1" w:themeFillShade="BF"/>
            <w:hideMark/>
          </w:tcPr>
          <w:p w14:paraId="179D8969" w14:textId="77777777" w:rsidR="00872078" w:rsidRPr="00872078" w:rsidRDefault="00872078" w:rsidP="00872078">
            <w:pPr>
              <w:spacing w:after="0" w:line="240" w:lineRule="auto"/>
              <w:jc w:val="center"/>
              <w:rPr>
                <w:rFonts w:ascii="Arial" w:eastAsia="Times New Roman" w:hAnsi="Arial" w:cs="Arial"/>
                <w:b/>
                <w:bCs/>
                <w:color w:val="000000"/>
                <w:sz w:val="24"/>
                <w:szCs w:val="24"/>
              </w:rPr>
            </w:pPr>
            <w:r w:rsidRPr="00872078">
              <w:rPr>
                <w:rFonts w:ascii="Arial" w:eastAsia="Times New Roman" w:hAnsi="Arial" w:cs="Arial"/>
                <w:b/>
                <w:bCs/>
                <w:color w:val="000000"/>
                <w:sz w:val="24"/>
                <w:szCs w:val="24"/>
              </w:rPr>
              <w:t>Already on increased (quarterly) monitoring schedules)</w:t>
            </w:r>
          </w:p>
        </w:tc>
        <w:tc>
          <w:tcPr>
            <w:tcW w:w="4120" w:type="dxa"/>
            <w:shd w:val="clear" w:color="auto" w:fill="BFBFBF" w:themeFill="background1" w:themeFillShade="BF"/>
            <w:hideMark/>
          </w:tcPr>
          <w:p w14:paraId="11AD421C" w14:textId="77777777" w:rsidR="00872078" w:rsidRPr="00872078" w:rsidRDefault="00872078" w:rsidP="00872078">
            <w:pPr>
              <w:spacing w:after="0" w:line="240" w:lineRule="auto"/>
              <w:jc w:val="center"/>
              <w:rPr>
                <w:rFonts w:ascii="Arial" w:eastAsia="Times New Roman" w:hAnsi="Arial" w:cs="Arial"/>
                <w:b/>
                <w:bCs/>
                <w:color w:val="000000"/>
                <w:sz w:val="24"/>
                <w:szCs w:val="24"/>
              </w:rPr>
            </w:pPr>
            <w:r w:rsidRPr="00872078">
              <w:rPr>
                <w:rFonts w:ascii="Arial" w:eastAsia="Times New Roman" w:hAnsi="Arial" w:cs="Arial"/>
                <w:b/>
                <w:bCs/>
                <w:color w:val="000000"/>
                <w:sz w:val="24"/>
                <w:szCs w:val="24"/>
              </w:rPr>
              <w:t xml:space="preserve">In counties with prior detections, </w:t>
            </w:r>
            <w:r w:rsidRPr="00872078">
              <w:rPr>
                <w:rFonts w:ascii="Arial" w:eastAsia="Times New Roman" w:hAnsi="Arial" w:cs="Arial"/>
                <w:b/>
                <w:bCs/>
                <w:color w:val="000000"/>
                <w:sz w:val="24"/>
                <w:szCs w:val="24"/>
                <w:u w:val="single"/>
              </w:rPr>
              <w:t>NOT</w:t>
            </w:r>
            <w:r w:rsidRPr="00872078">
              <w:rPr>
                <w:rFonts w:ascii="Arial" w:eastAsia="Times New Roman" w:hAnsi="Arial" w:cs="Arial"/>
                <w:b/>
                <w:bCs/>
                <w:color w:val="000000"/>
                <w:sz w:val="24"/>
                <w:szCs w:val="24"/>
              </w:rPr>
              <w:t xml:space="preserve"> already on increased (quarterly) monitoring schedules)</w:t>
            </w:r>
          </w:p>
        </w:tc>
        <w:tc>
          <w:tcPr>
            <w:tcW w:w="2200" w:type="dxa"/>
            <w:shd w:val="clear" w:color="auto" w:fill="BFBFBF" w:themeFill="background1" w:themeFillShade="BF"/>
            <w:hideMark/>
          </w:tcPr>
          <w:p w14:paraId="3ECDF228" w14:textId="02DF29E1" w:rsidR="00872078" w:rsidRPr="00872078" w:rsidRDefault="00872078" w:rsidP="00872078">
            <w:pPr>
              <w:spacing w:after="0" w:line="240" w:lineRule="auto"/>
              <w:jc w:val="center"/>
              <w:rPr>
                <w:rFonts w:ascii="Arial" w:eastAsia="Times New Roman" w:hAnsi="Arial" w:cs="Arial"/>
                <w:b/>
                <w:bCs/>
                <w:color w:val="000000"/>
                <w:sz w:val="24"/>
                <w:szCs w:val="24"/>
              </w:rPr>
            </w:pPr>
            <w:r w:rsidRPr="00872078">
              <w:rPr>
                <w:rFonts w:ascii="Arial" w:eastAsia="Times New Roman" w:hAnsi="Arial" w:cs="Arial"/>
                <w:b/>
                <w:bCs/>
                <w:color w:val="000000"/>
                <w:sz w:val="24"/>
                <w:szCs w:val="24"/>
              </w:rPr>
              <w:t xml:space="preserve">Subtotal </w:t>
            </w:r>
            <w:r w:rsidRPr="00872078">
              <w:rPr>
                <w:rFonts w:ascii="Arial" w:eastAsia="Times New Roman" w:hAnsi="Arial" w:cs="Arial"/>
                <w:b/>
                <w:bCs/>
                <w:color w:val="000000"/>
                <w:sz w:val="24"/>
                <w:szCs w:val="24"/>
                <w:vertAlign w:val="superscript"/>
              </w:rPr>
              <w:t>a</w:t>
            </w:r>
          </w:p>
        </w:tc>
        <w:tc>
          <w:tcPr>
            <w:tcW w:w="4020" w:type="dxa"/>
            <w:shd w:val="clear" w:color="auto" w:fill="BFBFBF" w:themeFill="background1" w:themeFillShade="BF"/>
            <w:hideMark/>
          </w:tcPr>
          <w:p w14:paraId="7DCFB508" w14:textId="77777777" w:rsidR="00872078" w:rsidRPr="00872078" w:rsidRDefault="00872078" w:rsidP="00872078">
            <w:pPr>
              <w:spacing w:after="0" w:line="240" w:lineRule="auto"/>
              <w:jc w:val="center"/>
              <w:rPr>
                <w:rFonts w:ascii="Arial" w:eastAsia="Times New Roman" w:hAnsi="Arial" w:cs="Arial"/>
                <w:b/>
                <w:bCs/>
                <w:color w:val="000000"/>
                <w:sz w:val="24"/>
                <w:szCs w:val="24"/>
              </w:rPr>
            </w:pPr>
            <w:r w:rsidRPr="00872078">
              <w:rPr>
                <w:rFonts w:ascii="Arial" w:eastAsia="Times New Roman" w:hAnsi="Arial" w:cs="Arial"/>
                <w:b/>
                <w:bCs/>
                <w:color w:val="000000"/>
                <w:sz w:val="24"/>
                <w:szCs w:val="24"/>
              </w:rPr>
              <w:t>In counties without prior detections, NOT EXPECTED to require increased monitoring</w:t>
            </w:r>
          </w:p>
        </w:tc>
        <w:tc>
          <w:tcPr>
            <w:tcW w:w="2440" w:type="dxa"/>
            <w:shd w:val="clear" w:color="auto" w:fill="BFBFBF" w:themeFill="background1" w:themeFillShade="BF"/>
            <w:hideMark/>
          </w:tcPr>
          <w:p w14:paraId="2460DF35" w14:textId="77777777" w:rsidR="00872078" w:rsidRPr="00872078" w:rsidRDefault="00872078" w:rsidP="00872078">
            <w:pPr>
              <w:spacing w:after="0" w:line="240" w:lineRule="auto"/>
              <w:jc w:val="center"/>
              <w:rPr>
                <w:rFonts w:ascii="Arial" w:eastAsia="Times New Roman" w:hAnsi="Arial" w:cs="Arial"/>
                <w:b/>
                <w:bCs/>
                <w:color w:val="000000"/>
                <w:sz w:val="24"/>
                <w:szCs w:val="24"/>
              </w:rPr>
            </w:pPr>
            <w:r w:rsidRPr="00872078">
              <w:rPr>
                <w:rFonts w:ascii="Arial" w:eastAsia="Times New Roman" w:hAnsi="Arial" w:cs="Arial"/>
                <w:b/>
                <w:bCs/>
                <w:color w:val="000000"/>
                <w:sz w:val="24"/>
                <w:szCs w:val="24"/>
              </w:rPr>
              <w:t>Total Statewide</w:t>
            </w:r>
          </w:p>
        </w:tc>
      </w:tr>
      <w:tr w:rsidR="00872078" w:rsidRPr="00872078" w14:paraId="581A4FF5" w14:textId="77777777" w:rsidTr="00872078">
        <w:trPr>
          <w:trHeight w:val="315"/>
        </w:trPr>
        <w:tc>
          <w:tcPr>
            <w:tcW w:w="1840" w:type="dxa"/>
            <w:noWrap/>
            <w:hideMark/>
          </w:tcPr>
          <w:p w14:paraId="78537B5C" w14:textId="77777777" w:rsidR="00872078" w:rsidRPr="00872078" w:rsidRDefault="00872078" w:rsidP="00872078">
            <w:pPr>
              <w:spacing w:after="0" w:line="240" w:lineRule="auto"/>
              <w:jc w:val="center"/>
              <w:rPr>
                <w:rFonts w:ascii="Arial" w:eastAsia="Times New Roman" w:hAnsi="Arial" w:cs="Arial"/>
                <w:b/>
                <w:bCs/>
                <w:color w:val="000000"/>
                <w:sz w:val="24"/>
                <w:szCs w:val="24"/>
              </w:rPr>
            </w:pPr>
            <w:r w:rsidRPr="00872078">
              <w:rPr>
                <w:rFonts w:ascii="Arial" w:eastAsia="Times New Roman" w:hAnsi="Arial" w:cs="Arial"/>
                <w:b/>
                <w:bCs/>
                <w:color w:val="000000"/>
                <w:sz w:val="24"/>
                <w:szCs w:val="24"/>
              </w:rPr>
              <w:t xml:space="preserve"> PWS </w:t>
            </w:r>
          </w:p>
        </w:tc>
        <w:tc>
          <w:tcPr>
            <w:tcW w:w="3520" w:type="dxa"/>
            <w:noWrap/>
            <w:hideMark/>
          </w:tcPr>
          <w:p w14:paraId="35B07793" w14:textId="77777777" w:rsidR="00872078" w:rsidRPr="00872078" w:rsidRDefault="00872078" w:rsidP="00872078">
            <w:pPr>
              <w:spacing w:after="0" w:line="240" w:lineRule="auto"/>
              <w:jc w:val="center"/>
              <w:rPr>
                <w:rFonts w:ascii="Arial" w:eastAsia="Times New Roman" w:hAnsi="Arial" w:cs="Arial"/>
                <w:color w:val="000000"/>
                <w:sz w:val="24"/>
                <w:szCs w:val="24"/>
              </w:rPr>
            </w:pPr>
            <w:r w:rsidRPr="00872078">
              <w:rPr>
                <w:rFonts w:ascii="Arial" w:eastAsia="Times New Roman" w:hAnsi="Arial" w:cs="Arial"/>
                <w:color w:val="000000"/>
                <w:sz w:val="24"/>
                <w:szCs w:val="24"/>
              </w:rPr>
              <w:t>77</w:t>
            </w:r>
          </w:p>
        </w:tc>
        <w:tc>
          <w:tcPr>
            <w:tcW w:w="4120" w:type="dxa"/>
            <w:noWrap/>
            <w:hideMark/>
          </w:tcPr>
          <w:p w14:paraId="4DE825AF" w14:textId="77777777" w:rsidR="00872078" w:rsidRPr="00872078" w:rsidRDefault="00872078" w:rsidP="00872078">
            <w:pPr>
              <w:spacing w:after="0" w:line="240" w:lineRule="auto"/>
              <w:jc w:val="center"/>
              <w:rPr>
                <w:rFonts w:ascii="Arial" w:eastAsia="Times New Roman" w:hAnsi="Arial" w:cs="Arial"/>
                <w:color w:val="000000"/>
                <w:sz w:val="24"/>
                <w:szCs w:val="24"/>
              </w:rPr>
            </w:pPr>
            <w:r w:rsidRPr="00872078">
              <w:rPr>
                <w:rFonts w:ascii="Arial" w:eastAsia="Times New Roman" w:hAnsi="Arial" w:cs="Arial"/>
                <w:color w:val="000000"/>
                <w:sz w:val="24"/>
                <w:szCs w:val="24"/>
              </w:rPr>
              <w:t>2,346</w:t>
            </w:r>
          </w:p>
        </w:tc>
        <w:tc>
          <w:tcPr>
            <w:tcW w:w="2200" w:type="dxa"/>
            <w:noWrap/>
            <w:hideMark/>
          </w:tcPr>
          <w:p w14:paraId="5DFA77E6" w14:textId="77777777" w:rsidR="00872078" w:rsidRPr="00872078" w:rsidRDefault="00872078" w:rsidP="00872078">
            <w:pPr>
              <w:spacing w:after="0" w:line="240" w:lineRule="auto"/>
              <w:jc w:val="center"/>
              <w:rPr>
                <w:rFonts w:ascii="Arial" w:eastAsia="Times New Roman" w:hAnsi="Arial" w:cs="Arial"/>
                <w:color w:val="000000"/>
                <w:sz w:val="24"/>
                <w:szCs w:val="24"/>
              </w:rPr>
            </w:pPr>
            <w:r w:rsidRPr="00872078">
              <w:rPr>
                <w:rFonts w:ascii="Arial" w:eastAsia="Times New Roman" w:hAnsi="Arial" w:cs="Arial"/>
                <w:color w:val="000000"/>
                <w:sz w:val="24"/>
                <w:szCs w:val="24"/>
              </w:rPr>
              <w:t>2,423</w:t>
            </w:r>
          </w:p>
        </w:tc>
        <w:tc>
          <w:tcPr>
            <w:tcW w:w="4020" w:type="dxa"/>
            <w:noWrap/>
            <w:hideMark/>
          </w:tcPr>
          <w:p w14:paraId="6CD69DC6" w14:textId="77777777" w:rsidR="00872078" w:rsidRPr="00872078" w:rsidRDefault="00872078" w:rsidP="00872078">
            <w:pPr>
              <w:spacing w:after="0" w:line="240" w:lineRule="auto"/>
              <w:jc w:val="center"/>
              <w:rPr>
                <w:rFonts w:ascii="Arial" w:eastAsia="Times New Roman" w:hAnsi="Arial" w:cs="Arial"/>
                <w:sz w:val="24"/>
                <w:szCs w:val="24"/>
              </w:rPr>
            </w:pPr>
            <w:r w:rsidRPr="00872078">
              <w:rPr>
                <w:rFonts w:ascii="Arial" w:eastAsia="Times New Roman" w:hAnsi="Arial" w:cs="Arial"/>
                <w:sz w:val="24"/>
                <w:szCs w:val="24"/>
              </w:rPr>
              <w:t>1,501</w:t>
            </w:r>
          </w:p>
        </w:tc>
        <w:tc>
          <w:tcPr>
            <w:tcW w:w="2440" w:type="dxa"/>
            <w:noWrap/>
            <w:hideMark/>
          </w:tcPr>
          <w:p w14:paraId="006FB25D" w14:textId="77777777" w:rsidR="00872078" w:rsidRPr="00872078" w:rsidRDefault="00872078" w:rsidP="00872078">
            <w:pPr>
              <w:spacing w:after="0" w:line="240" w:lineRule="auto"/>
              <w:jc w:val="center"/>
              <w:rPr>
                <w:rFonts w:ascii="Arial" w:eastAsia="Times New Roman" w:hAnsi="Arial" w:cs="Arial"/>
                <w:color w:val="000000"/>
                <w:sz w:val="24"/>
                <w:szCs w:val="24"/>
              </w:rPr>
            </w:pPr>
            <w:r w:rsidRPr="00872078">
              <w:rPr>
                <w:rFonts w:ascii="Arial" w:eastAsia="Times New Roman" w:hAnsi="Arial" w:cs="Arial"/>
                <w:color w:val="000000"/>
                <w:sz w:val="24"/>
                <w:szCs w:val="24"/>
              </w:rPr>
              <w:t>3,924</w:t>
            </w:r>
          </w:p>
        </w:tc>
      </w:tr>
      <w:tr w:rsidR="00872078" w:rsidRPr="00872078" w14:paraId="61C27EF8" w14:textId="77777777" w:rsidTr="00872078">
        <w:trPr>
          <w:trHeight w:val="330"/>
        </w:trPr>
        <w:tc>
          <w:tcPr>
            <w:tcW w:w="1840" w:type="dxa"/>
            <w:noWrap/>
            <w:hideMark/>
          </w:tcPr>
          <w:p w14:paraId="047A505C" w14:textId="77777777" w:rsidR="00872078" w:rsidRPr="00872078" w:rsidRDefault="00872078" w:rsidP="00872078">
            <w:pPr>
              <w:spacing w:after="0" w:line="240" w:lineRule="auto"/>
              <w:jc w:val="center"/>
              <w:rPr>
                <w:rFonts w:ascii="Arial" w:eastAsia="Times New Roman" w:hAnsi="Arial" w:cs="Arial"/>
                <w:b/>
                <w:bCs/>
                <w:color w:val="000000"/>
                <w:sz w:val="24"/>
                <w:szCs w:val="24"/>
              </w:rPr>
            </w:pPr>
            <w:r w:rsidRPr="00872078">
              <w:rPr>
                <w:rFonts w:ascii="Arial" w:eastAsia="Times New Roman" w:hAnsi="Arial" w:cs="Arial"/>
                <w:b/>
                <w:bCs/>
                <w:color w:val="000000"/>
                <w:sz w:val="24"/>
                <w:szCs w:val="24"/>
              </w:rPr>
              <w:t xml:space="preserve">Sources </w:t>
            </w:r>
          </w:p>
        </w:tc>
        <w:tc>
          <w:tcPr>
            <w:tcW w:w="3520" w:type="dxa"/>
            <w:noWrap/>
            <w:hideMark/>
          </w:tcPr>
          <w:p w14:paraId="63699D01" w14:textId="77777777" w:rsidR="00872078" w:rsidRPr="00872078" w:rsidRDefault="00872078" w:rsidP="00872078">
            <w:pPr>
              <w:spacing w:after="0" w:line="240" w:lineRule="auto"/>
              <w:jc w:val="center"/>
              <w:rPr>
                <w:rFonts w:ascii="Arial" w:eastAsia="Times New Roman" w:hAnsi="Arial" w:cs="Arial"/>
                <w:color w:val="000000"/>
                <w:sz w:val="24"/>
                <w:szCs w:val="24"/>
              </w:rPr>
            </w:pPr>
            <w:r w:rsidRPr="00872078">
              <w:rPr>
                <w:rFonts w:ascii="Arial" w:eastAsia="Times New Roman" w:hAnsi="Arial" w:cs="Arial"/>
                <w:color w:val="000000"/>
                <w:sz w:val="24"/>
                <w:szCs w:val="24"/>
              </w:rPr>
              <w:t>304</w:t>
            </w:r>
          </w:p>
        </w:tc>
        <w:tc>
          <w:tcPr>
            <w:tcW w:w="4120" w:type="dxa"/>
            <w:noWrap/>
            <w:hideMark/>
          </w:tcPr>
          <w:p w14:paraId="65B9296B" w14:textId="77777777" w:rsidR="00872078" w:rsidRPr="00872078" w:rsidRDefault="00872078" w:rsidP="00872078">
            <w:pPr>
              <w:spacing w:after="0" w:line="240" w:lineRule="auto"/>
              <w:jc w:val="center"/>
              <w:rPr>
                <w:rFonts w:ascii="Arial" w:eastAsia="Times New Roman" w:hAnsi="Arial" w:cs="Arial"/>
                <w:color w:val="000000"/>
                <w:sz w:val="24"/>
                <w:szCs w:val="24"/>
              </w:rPr>
            </w:pPr>
            <w:r w:rsidRPr="00872078">
              <w:rPr>
                <w:rFonts w:ascii="Arial" w:eastAsia="Times New Roman" w:hAnsi="Arial" w:cs="Arial"/>
                <w:color w:val="000000"/>
                <w:sz w:val="24"/>
                <w:szCs w:val="24"/>
              </w:rPr>
              <w:t>7,194</w:t>
            </w:r>
          </w:p>
        </w:tc>
        <w:tc>
          <w:tcPr>
            <w:tcW w:w="2200" w:type="dxa"/>
            <w:noWrap/>
            <w:hideMark/>
          </w:tcPr>
          <w:p w14:paraId="0B76E9F5" w14:textId="77777777" w:rsidR="00872078" w:rsidRPr="00872078" w:rsidRDefault="00872078" w:rsidP="00872078">
            <w:pPr>
              <w:spacing w:after="0" w:line="240" w:lineRule="auto"/>
              <w:jc w:val="center"/>
              <w:rPr>
                <w:rFonts w:ascii="Arial" w:eastAsia="Times New Roman" w:hAnsi="Arial" w:cs="Arial"/>
                <w:color w:val="000000"/>
                <w:sz w:val="24"/>
                <w:szCs w:val="24"/>
              </w:rPr>
            </w:pPr>
            <w:r w:rsidRPr="00872078">
              <w:rPr>
                <w:rFonts w:ascii="Arial" w:eastAsia="Times New Roman" w:hAnsi="Arial" w:cs="Arial"/>
                <w:color w:val="000000"/>
                <w:sz w:val="24"/>
                <w:szCs w:val="24"/>
              </w:rPr>
              <w:t>7,498</w:t>
            </w:r>
          </w:p>
        </w:tc>
        <w:tc>
          <w:tcPr>
            <w:tcW w:w="4020" w:type="dxa"/>
            <w:noWrap/>
            <w:hideMark/>
          </w:tcPr>
          <w:p w14:paraId="6BFA07AF" w14:textId="77777777" w:rsidR="00872078" w:rsidRPr="00872078" w:rsidRDefault="00872078" w:rsidP="00872078">
            <w:pPr>
              <w:spacing w:after="0" w:line="240" w:lineRule="auto"/>
              <w:jc w:val="center"/>
              <w:rPr>
                <w:rFonts w:ascii="Arial" w:eastAsia="Times New Roman" w:hAnsi="Arial" w:cs="Arial"/>
                <w:color w:val="000000"/>
                <w:sz w:val="24"/>
                <w:szCs w:val="24"/>
              </w:rPr>
            </w:pPr>
            <w:r w:rsidRPr="00872078">
              <w:rPr>
                <w:rFonts w:ascii="Arial" w:eastAsia="Times New Roman" w:hAnsi="Arial" w:cs="Arial"/>
                <w:color w:val="000000"/>
                <w:sz w:val="24"/>
                <w:szCs w:val="24"/>
              </w:rPr>
              <w:t>4,849</w:t>
            </w:r>
          </w:p>
        </w:tc>
        <w:tc>
          <w:tcPr>
            <w:tcW w:w="2440" w:type="dxa"/>
            <w:noWrap/>
            <w:hideMark/>
          </w:tcPr>
          <w:p w14:paraId="7205C0CD" w14:textId="77777777" w:rsidR="00872078" w:rsidRPr="00872078" w:rsidRDefault="00872078" w:rsidP="00872078">
            <w:pPr>
              <w:spacing w:after="0" w:line="240" w:lineRule="auto"/>
              <w:jc w:val="center"/>
              <w:rPr>
                <w:rFonts w:ascii="Arial" w:eastAsia="Times New Roman" w:hAnsi="Arial" w:cs="Arial"/>
                <w:color w:val="000000"/>
                <w:sz w:val="24"/>
                <w:szCs w:val="24"/>
              </w:rPr>
            </w:pPr>
            <w:r w:rsidRPr="00872078">
              <w:rPr>
                <w:rFonts w:ascii="Arial" w:eastAsia="Times New Roman" w:hAnsi="Arial" w:cs="Arial"/>
                <w:color w:val="000000"/>
                <w:sz w:val="24"/>
                <w:szCs w:val="24"/>
              </w:rPr>
              <w:t>12,347</w:t>
            </w:r>
          </w:p>
        </w:tc>
      </w:tr>
    </w:tbl>
    <w:p w14:paraId="2AD6EF05" w14:textId="20BCCBA3" w:rsidR="00872078" w:rsidRDefault="00872078" w:rsidP="00872078">
      <w:pPr>
        <w:pStyle w:val="Default"/>
        <w:numPr>
          <w:ilvl w:val="0"/>
          <w:numId w:val="20"/>
        </w:numPr>
        <w:spacing w:after="240"/>
        <w:ind w:left="360"/>
        <w:rPr>
          <w:rFonts w:ascii="Arial" w:hAnsi="Arial" w:cs="Arial"/>
        </w:rPr>
      </w:pPr>
      <w:r w:rsidRPr="00872078">
        <w:rPr>
          <w:rFonts w:ascii="Arial" w:hAnsi="Arial" w:cs="Arial"/>
        </w:rPr>
        <w:t>Expected to be on quarterly monitoring throughout the regulation</w:t>
      </w:r>
    </w:p>
    <w:p w14:paraId="05DCE3E4" w14:textId="77777777" w:rsidR="00872078" w:rsidRDefault="00872078" w:rsidP="00872078">
      <w:pPr>
        <w:pStyle w:val="Default"/>
        <w:spacing w:after="240"/>
        <w:rPr>
          <w:rFonts w:ascii="Arial" w:hAnsi="Arial" w:cs="Arial"/>
        </w:rPr>
      </w:pPr>
    </w:p>
    <w:p w14:paraId="067D5E8C" w14:textId="3F649E2F" w:rsidR="00A97FD7" w:rsidRPr="002E5574" w:rsidRDefault="00872078" w:rsidP="00CC725F">
      <w:pPr>
        <w:pStyle w:val="Default"/>
        <w:spacing w:after="240"/>
        <w:rPr>
          <w:rFonts w:ascii="Arial" w:hAnsi="Arial" w:cs="Arial"/>
        </w:rPr>
      </w:pPr>
      <w:r>
        <w:rPr>
          <w:rFonts w:ascii="Arial" w:hAnsi="Arial" w:cs="Arial"/>
        </w:rPr>
        <w:t>Table II</w:t>
      </w:r>
      <w:r w:rsidR="00CC725F" w:rsidRPr="002E5574">
        <w:rPr>
          <w:rFonts w:ascii="Arial" w:hAnsi="Arial" w:cs="Arial"/>
        </w:rPr>
        <w:t xml:space="preserve"> </w:t>
      </w:r>
      <w:r w:rsidR="00B40958" w:rsidRPr="002E5574">
        <w:rPr>
          <w:rFonts w:ascii="Arial" w:hAnsi="Arial" w:cs="Arial"/>
        </w:rPr>
        <w:t>–</w:t>
      </w:r>
      <w:r w:rsidR="003C7DB4" w:rsidRPr="002E5574">
        <w:rPr>
          <w:rFonts w:ascii="Arial" w:hAnsi="Arial" w:cs="Arial"/>
        </w:rPr>
        <w:t xml:space="preserve"> </w:t>
      </w:r>
      <w:r w:rsidR="002E5574">
        <w:rPr>
          <w:rFonts w:ascii="Arial" w:hAnsi="Arial" w:cs="Arial"/>
        </w:rPr>
        <w:t xml:space="preserve">Summary of Costs </w:t>
      </w:r>
    </w:p>
    <w:tbl>
      <w:tblPr>
        <w:tblStyle w:val="TableGrid"/>
        <w:tblW w:w="5121" w:type="pct"/>
        <w:tblInd w:w="-545" w:type="dxa"/>
        <w:tblLayout w:type="fixed"/>
        <w:tblLook w:val="04A0" w:firstRow="1" w:lastRow="0" w:firstColumn="1" w:lastColumn="0" w:noHBand="0" w:noVBand="1"/>
      </w:tblPr>
      <w:tblGrid>
        <w:gridCol w:w="1553"/>
        <w:gridCol w:w="1261"/>
        <w:gridCol w:w="1527"/>
        <w:gridCol w:w="1622"/>
        <w:gridCol w:w="1712"/>
        <w:gridCol w:w="1689"/>
        <w:gridCol w:w="1522"/>
        <w:gridCol w:w="1658"/>
        <w:gridCol w:w="1730"/>
        <w:gridCol w:w="2094"/>
        <w:gridCol w:w="1545"/>
        <w:gridCol w:w="1275"/>
        <w:gridCol w:w="1725"/>
        <w:gridCol w:w="1608"/>
        <w:tblGridChange w:id="3">
          <w:tblGrid>
            <w:gridCol w:w="1553"/>
            <w:gridCol w:w="1261"/>
            <w:gridCol w:w="1527"/>
            <w:gridCol w:w="1622"/>
            <w:gridCol w:w="1712"/>
            <w:gridCol w:w="1689"/>
            <w:gridCol w:w="1522"/>
            <w:gridCol w:w="1658"/>
            <w:gridCol w:w="1730"/>
            <w:gridCol w:w="2094"/>
            <w:gridCol w:w="1545"/>
            <w:gridCol w:w="1275"/>
            <w:gridCol w:w="1725"/>
            <w:gridCol w:w="1608"/>
          </w:tblGrid>
        </w:tblGridChange>
      </w:tblGrid>
      <w:tr w:rsidR="00D90FC0" w:rsidRPr="002E5574" w14:paraId="696DD6D6" w14:textId="5A9CEA31" w:rsidTr="00D90FC0">
        <w:trPr>
          <w:trHeight w:val="850"/>
        </w:trPr>
        <w:tc>
          <w:tcPr>
            <w:tcW w:w="345" w:type="pct"/>
            <w:noWrap/>
            <w:vAlign w:val="center"/>
            <w:hideMark/>
          </w:tcPr>
          <w:p w14:paraId="79AC3CF7" w14:textId="77777777" w:rsidR="00C74919" w:rsidRPr="002E5574" w:rsidRDefault="00C74919" w:rsidP="00C903D6">
            <w:pPr>
              <w:spacing w:after="0" w:line="240" w:lineRule="auto"/>
              <w:rPr>
                <w:rFonts w:ascii="Arial" w:eastAsia="Times New Roman" w:hAnsi="Arial" w:cs="Arial"/>
                <w:sz w:val="24"/>
                <w:szCs w:val="24"/>
              </w:rPr>
            </w:pPr>
            <w:r w:rsidRPr="002E5574">
              <w:rPr>
                <w:rFonts w:ascii="Arial" w:eastAsia="Times New Roman" w:hAnsi="Arial" w:cs="Arial"/>
                <w:sz w:val="24"/>
                <w:szCs w:val="24"/>
              </w:rPr>
              <w:t> </w:t>
            </w:r>
          </w:p>
        </w:tc>
        <w:tc>
          <w:tcPr>
            <w:tcW w:w="280" w:type="pct"/>
            <w:shd w:val="clear" w:color="auto" w:fill="BFBFBF" w:themeFill="background1" w:themeFillShade="BF"/>
            <w:vAlign w:val="center"/>
            <w:hideMark/>
          </w:tcPr>
          <w:p w14:paraId="5FABBED9" w14:textId="77777777" w:rsidR="00C74919" w:rsidRPr="002E5574" w:rsidRDefault="00C74919" w:rsidP="00C903D6">
            <w:pPr>
              <w:spacing w:after="0" w:line="240" w:lineRule="auto"/>
              <w:jc w:val="center"/>
              <w:rPr>
                <w:rFonts w:ascii="Arial" w:eastAsia="Times New Roman" w:hAnsi="Arial" w:cs="Arial"/>
                <w:b/>
                <w:bCs/>
                <w:i/>
                <w:iCs/>
                <w:sz w:val="24"/>
                <w:szCs w:val="24"/>
              </w:rPr>
            </w:pPr>
            <w:r w:rsidRPr="002E5574">
              <w:rPr>
                <w:rFonts w:ascii="Arial" w:eastAsia="Times New Roman" w:hAnsi="Arial" w:cs="Arial"/>
                <w:b/>
                <w:bCs/>
                <w:i/>
                <w:iCs/>
                <w:sz w:val="24"/>
                <w:szCs w:val="24"/>
              </w:rPr>
              <w:t>Cost per Source Analysis</w:t>
            </w:r>
          </w:p>
        </w:tc>
        <w:tc>
          <w:tcPr>
            <w:tcW w:w="339" w:type="pct"/>
            <w:shd w:val="clear" w:color="auto" w:fill="BFBFBF" w:themeFill="background1" w:themeFillShade="BF"/>
            <w:vAlign w:val="center"/>
            <w:hideMark/>
          </w:tcPr>
          <w:p w14:paraId="5AC5730E" w14:textId="77777777" w:rsidR="00C74919" w:rsidRPr="002E5574" w:rsidRDefault="00C74919" w:rsidP="00C903D6">
            <w:pPr>
              <w:spacing w:after="0" w:line="240" w:lineRule="auto"/>
              <w:jc w:val="center"/>
              <w:rPr>
                <w:rFonts w:ascii="Arial" w:eastAsia="Times New Roman" w:hAnsi="Arial" w:cs="Arial"/>
                <w:b/>
                <w:bCs/>
                <w:i/>
                <w:iCs/>
                <w:sz w:val="24"/>
                <w:szCs w:val="24"/>
              </w:rPr>
            </w:pPr>
            <w:r w:rsidRPr="002E5574">
              <w:rPr>
                <w:rFonts w:ascii="Arial" w:eastAsia="Times New Roman" w:hAnsi="Arial" w:cs="Arial"/>
                <w:b/>
                <w:bCs/>
                <w:i/>
                <w:iCs/>
                <w:sz w:val="24"/>
                <w:szCs w:val="24"/>
              </w:rPr>
              <w:t>PWS</w:t>
            </w:r>
            <w:r w:rsidRPr="002E5574">
              <w:rPr>
                <w:rFonts w:ascii="Arial" w:eastAsia="Times New Roman" w:hAnsi="Arial" w:cs="Arial"/>
                <w:b/>
                <w:bCs/>
                <w:i/>
                <w:iCs/>
                <w:sz w:val="24"/>
                <w:szCs w:val="24"/>
              </w:rPr>
              <w:br/>
              <w:t>on Increased Monitoring</w:t>
            </w:r>
            <w:r w:rsidRPr="002E5574">
              <w:rPr>
                <w:rFonts w:ascii="Arial" w:eastAsia="Times New Roman" w:hAnsi="Arial" w:cs="Arial"/>
                <w:b/>
                <w:bCs/>
                <w:i/>
                <w:iCs/>
                <w:sz w:val="24"/>
                <w:szCs w:val="24"/>
              </w:rPr>
              <w:br/>
              <w:t>(Quarterly)</w:t>
            </w:r>
          </w:p>
        </w:tc>
        <w:tc>
          <w:tcPr>
            <w:tcW w:w="360" w:type="pct"/>
            <w:shd w:val="clear" w:color="auto" w:fill="BFBFBF" w:themeFill="background1" w:themeFillShade="BF"/>
            <w:vAlign w:val="center"/>
            <w:hideMark/>
          </w:tcPr>
          <w:p w14:paraId="63DBD353" w14:textId="77777777" w:rsidR="00C74919" w:rsidRPr="002E5574" w:rsidRDefault="00C74919" w:rsidP="00C903D6">
            <w:pPr>
              <w:spacing w:after="0" w:line="240" w:lineRule="auto"/>
              <w:jc w:val="center"/>
              <w:rPr>
                <w:rFonts w:ascii="Arial" w:eastAsia="Times New Roman" w:hAnsi="Arial" w:cs="Arial"/>
                <w:b/>
                <w:bCs/>
                <w:i/>
                <w:iCs/>
                <w:sz w:val="24"/>
                <w:szCs w:val="24"/>
              </w:rPr>
            </w:pPr>
            <w:r w:rsidRPr="002E5574">
              <w:rPr>
                <w:rFonts w:ascii="Arial" w:eastAsia="Times New Roman" w:hAnsi="Arial" w:cs="Arial"/>
                <w:b/>
                <w:bCs/>
                <w:i/>
                <w:iCs/>
                <w:sz w:val="24"/>
                <w:szCs w:val="24"/>
              </w:rPr>
              <w:t>Sources</w:t>
            </w:r>
            <w:r w:rsidRPr="002E5574">
              <w:rPr>
                <w:rFonts w:ascii="Arial" w:eastAsia="Times New Roman" w:hAnsi="Arial" w:cs="Arial"/>
                <w:b/>
                <w:bCs/>
                <w:i/>
                <w:iCs/>
                <w:sz w:val="24"/>
                <w:szCs w:val="24"/>
              </w:rPr>
              <w:br/>
              <w:t>on Increased Monitoring</w:t>
            </w:r>
            <w:r w:rsidRPr="002E5574">
              <w:rPr>
                <w:rFonts w:ascii="Arial" w:eastAsia="Times New Roman" w:hAnsi="Arial" w:cs="Arial"/>
                <w:b/>
                <w:bCs/>
                <w:i/>
                <w:iCs/>
                <w:sz w:val="24"/>
                <w:szCs w:val="24"/>
              </w:rPr>
              <w:br/>
              <w:t>(Quarterly)</w:t>
            </w:r>
          </w:p>
        </w:tc>
        <w:tc>
          <w:tcPr>
            <w:tcW w:w="380" w:type="pct"/>
            <w:shd w:val="clear" w:color="auto" w:fill="BFBFBF" w:themeFill="background1" w:themeFillShade="BF"/>
            <w:vAlign w:val="center"/>
            <w:hideMark/>
          </w:tcPr>
          <w:p w14:paraId="0346FEEF" w14:textId="72EFAC00" w:rsidR="00C74919" w:rsidRPr="002E5574" w:rsidRDefault="00C74919" w:rsidP="00C903D6">
            <w:pPr>
              <w:spacing w:after="0" w:line="240" w:lineRule="auto"/>
              <w:jc w:val="center"/>
              <w:rPr>
                <w:rFonts w:ascii="Arial" w:eastAsia="Times New Roman" w:hAnsi="Arial" w:cs="Arial"/>
                <w:b/>
                <w:bCs/>
                <w:i/>
                <w:iCs/>
                <w:sz w:val="24"/>
                <w:szCs w:val="24"/>
              </w:rPr>
            </w:pPr>
            <w:r w:rsidRPr="002E5574">
              <w:rPr>
                <w:rFonts w:ascii="Arial" w:eastAsia="Times New Roman" w:hAnsi="Arial" w:cs="Arial"/>
                <w:b/>
                <w:bCs/>
                <w:i/>
                <w:iCs/>
                <w:sz w:val="24"/>
                <w:szCs w:val="24"/>
              </w:rPr>
              <w:t>PWS on Routine Monitoring</w:t>
            </w:r>
            <w:r w:rsidRPr="00CC725F">
              <w:rPr>
                <w:rFonts w:ascii="Arial" w:eastAsia="Times New Roman" w:hAnsi="Arial" w:cs="Arial"/>
                <w:b/>
                <w:bCs/>
                <w:i/>
                <w:iCs/>
                <w:sz w:val="24"/>
                <w:szCs w:val="24"/>
              </w:rPr>
              <w:t xml:space="preserve"> </w:t>
            </w:r>
            <w:r w:rsidRPr="00CC725F">
              <w:rPr>
                <w:rFonts w:ascii="Arial" w:eastAsia="Times New Roman" w:hAnsi="Arial" w:cs="Arial"/>
                <w:b/>
                <w:bCs/>
                <w:i/>
                <w:iCs/>
                <w:sz w:val="24"/>
                <w:szCs w:val="24"/>
                <w:vertAlign w:val="superscript"/>
              </w:rPr>
              <w:t>d</w:t>
            </w:r>
            <w:r w:rsidRPr="002E5574">
              <w:rPr>
                <w:rFonts w:ascii="Arial" w:eastAsia="Times New Roman" w:hAnsi="Arial" w:cs="Arial"/>
                <w:b/>
                <w:bCs/>
                <w:i/>
                <w:iCs/>
                <w:sz w:val="24"/>
                <w:szCs w:val="24"/>
              </w:rPr>
              <w:br/>
              <w:t>(1/3 years)</w:t>
            </w:r>
          </w:p>
        </w:tc>
        <w:tc>
          <w:tcPr>
            <w:tcW w:w="375" w:type="pct"/>
            <w:shd w:val="clear" w:color="auto" w:fill="BFBFBF" w:themeFill="background1" w:themeFillShade="BF"/>
            <w:vAlign w:val="center"/>
            <w:hideMark/>
          </w:tcPr>
          <w:p w14:paraId="55AEB9E4" w14:textId="61C69F53" w:rsidR="00C74919" w:rsidRPr="002E5574" w:rsidRDefault="00C74919" w:rsidP="00C903D6">
            <w:pPr>
              <w:spacing w:after="0" w:line="240" w:lineRule="auto"/>
              <w:jc w:val="center"/>
              <w:rPr>
                <w:rFonts w:ascii="Arial" w:eastAsia="Times New Roman" w:hAnsi="Arial" w:cs="Arial"/>
                <w:b/>
                <w:bCs/>
                <w:i/>
                <w:iCs/>
                <w:sz w:val="24"/>
                <w:szCs w:val="24"/>
              </w:rPr>
            </w:pPr>
            <w:r w:rsidRPr="002E5574">
              <w:rPr>
                <w:rFonts w:ascii="Arial" w:eastAsia="Times New Roman" w:hAnsi="Arial" w:cs="Arial"/>
                <w:b/>
                <w:bCs/>
                <w:i/>
                <w:iCs/>
                <w:sz w:val="24"/>
                <w:szCs w:val="24"/>
              </w:rPr>
              <w:t xml:space="preserve">Sources </w:t>
            </w:r>
            <w:r w:rsidRPr="002E5574">
              <w:rPr>
                <w:rFonts w:ascii="Arial" w:eastAsia="Times New Roman" w:hAnsi="Arial" w:cs="Arial"/>
                <w:b/>
                <w:bCs/>
                <w:i/>
                <w:iCs/>
                <w:sz w:val="24"/>
                <w:szCs w:val="24"/>
              </w:rPr>
              <w:br/>
              <w:t>on Routine Monitoring</w:t>
            </w:r>
            <w:r w:rsidRPr="00CC725F">
              <w:rPr>
                <w:rFonts w:ascii="Arial" w:eastAsia="Times New Roman" w:hAnsi="Arial" w:cs="Arial"/>
                <w:b/>
                <w:bCs/>
                <w:i/>
                <w:iCs/>
                <w:sz w:val="24"/>
                <w:szCs w:val="24"/>
              </w:rPr>
              <w:t xml:space="preserve"> </w:t>
            </w:r>
            <w:r w:rsidRPr="00CC725F">
              <w:rPr>
                <w:rFonts w:ascii="Arial" w:eastAsia="Times New Roman" w:hAnsi="Arial" w:cs="Arial"/>
                <w:b/>
                <w:bCs/>
                <w:i/>
                <w:iCs/>
                <w:sz w:val="24"/>
                <w:szCs w:val="24"/>
                <w:vertAlign w:val="superscript"/>
              </w:rPr>
              <w:t>d</w:t>
            </w:r>
            <w:r w:rsidRPr="002E5574">
              <w:rPr>
                <w:rFonts w:ascii="Arial" w:eastAsia="Times New Roman" w:hAnsi="Arial" w:cs="Arial"/>
                <w:b/>
                <w:bCs/>
                <w:i/>
                <w:iCs/>
                <w:sz w:val="24"/>
                <w:szCs w:val="24"/>
              </w:rPr>
              <w:br/>
              <w:t>(1/3 years)</w:t>
            </w:r>
          </w:p>
        </w:tc>
        <w:tc>
          <w:tcPr>
            <w:tcW w:w="338" w:type="pct"/>
            <w:shd w:val="clear" w:color="auto" w:fill="BFBFBF" w:themeFill="background1" w:themeFillShade="BF"/>
            <w:vAlign w:val="center"/>
            <w:hideMark/>
          </w:tcPr>
          <w:p w14:paraId="2B1E39F9" w14:textId="401220FA" w:rsidR="00C74919" w:rsidRPr="002E5574" w:rsidRDefault="00C74919" w:rsidP="00C903D6">
            <w:pPr>
              <w:spacing w:after="0" w:line="240" w:lineRule="auto"/>
              <w:jc w:val="center"/>
              <w:rPr>
                <w:rFonts w:ascii="Arial" w:eastAsia="Times New Roman" w:hAnsi="Arial" w:cs="Arial"/>
                <w:b/>
                <w:bCs/>
                <w:i/>
                <w:iCs/>
                <w:sz w:val="24"/>
                <w:szCs w:val="24"/>
              </w:rPr>
            </w:pPr>
            <w:r w:rsidRPr="002E5574">
              <w:rPr>
                <w:rFonts w:ascii="Arial" w:eastAsia="Times New Roman" w:hAnsi="Arial" w:cs="Arial"/>
                <w:b/>
                <w:bCs/>
                <w:i/>
                <w:iCs/>
                <w:sz w:val="24"/>
                <w:szCs w:val="24"/>
              </w:rPr>
              <w:t>Total Analyses</w:t>
            </w:r>
            <w:r w:rsidRPr="002E5574">
              <w:rPr>
                <w:rFonts w:ascii="Arial" w:eastAsia="Times New Roman" w:hAnsi="Arial" w:cs="Arial"/>
                <w:b/>
                <w:bCs/>
                <w:i/>
                <w:iCs/>
                <w:sz w:val="24"/>
                <w:szCs w:val="24"/>
              </w:rPr>
              <w:br/>
              <w:t>per Year</w:t>
            </w:r>
            <w:r w:rsidRPr="00CC725F">
              <w:rPr>
                <w:rFonts w:ascii="Arial" w:eastAsia="Times New Roman" w:hAnsi="Arial" w:cs="Arial"/>
                <w:b/>
                <w:bCs/>
                <w:i/>
                <w:iCs/>
                <w:sz w:val="24"/>
                <w:szCs w:val="24"/>
              </w:rPr>
              <w:t xml:space="preserve"> </w:t>
            </w:r>
            <w:r w:rsidRPr="00CC725F">
              <w:rPr>
                <w:rFonts w:ascii="Arial" w:eastAsia="Times New Roman" w:hAnsi="Arial" w:cs="Arial"/>
                <w:b/>
                <w:bCs/>
                <w:i/>
                <w:iCs/>
                <w:sz w:val="24"/>
                <w:szCs w:val="24"/>
                <w:vertAlign w:val="superscript"/>
              </w:rPr>
              <w:t>e</w:t>
            </w:r>
          </w:p>
        </w:tc>
        <w:tc>
          <w:tcPr>
            <w:tcW w:w="368" w:type="pct"/>
            <w:shd w:val="clear" w:color="auto" w:fill="BFBFBF" w:themeFill="background1" w:themeFillShade="BF"/>
          </w:tcPr>
          <w:p w14:paraId="2F577EBC" w14:textId="2E896A8A" w:rsidR="00C74919" w:rsidRPr="00C74919" w:rsidRDefault="00C74919" w:rsidP="00C74919">
            <w:pPr>
              <w:spacing w:after="0" w:line="240" w:lineRule="auto"/>
              <w:jc w:val="center"/>
              <w:rPr>
                <w:rFonts w:ascii="Arial" w:eastAsia="Times New Roman" w:hAnsi="Arial" w:cs="Arial"/>
                <w:b/>
                <w:bCs/>
                <w:i/>
                <w:iCs/>
                <w:sz w:val="24"/>
                <w:szCs w:val="24"/>
              </w:rPr>
            </w:pPr>
            <w:r w:rsidRPr="00C74919">
              <w:rPr>
                <w:rFonts w:ascii="Arial" w:eastAsia="Times New Roman" w:hAnsi="Arial" w:cs="Arial"/>
                <w:b/>
                <w:bCs/>
                <w:i/>
                <w:iCs/>
                <w:sz w:val="24"/>
                <w:szCs w:val="24"/>
              </w:rPr>
              <w:t xml:space="preserve">Analytical </w:t>
            </w:r>
          </w:p>
          <w:p w14:paraId="4AA5B91B" w14:textId="2E5207D2" w:rsidR="00C74919" w:rsidRPr="00C74919" w:rsidRDefault="00C74919" w:rsidP="00C74919">
            <w:pPr>
              <w:spacing w:after="0" w:line="240" w:lineRule="auto"/>
              <w:jc w:val="center"/>
              <w:rPr>
                <w:rFonts w:ascii="Arial" w:eastAsia="Times New Roman" w:hAnsi="Arial" w:cs="Arial"/>
                <w:b/>
                <w:bCs/>
                <w:i/>
                <w:iCs/>
                <w:sz w:val="24"/>
                <w:szCs w:val="24"/>
              </w:rPr>
            </w:pPr>
            <w:r w:rsidRPr="00C74919">
              <w:rPr>
                <w:rFonts w:ascii="Arial" w:eastAsia="Times New Roman" w:hAnsi="Arial" w:cs="Arial"/>
                <w:b/>
                <w:bCs/>
                <w:i/>
                <w:iCs/>
                <w:sz w:val="24"/>
                <w:szCs w:val="24"/>
              </w:rPr>
              <w:t xml:space="preserve">Costs for </w:t>
            </w:r>
            <w:r w:rsidR="000430AF" w:rsidRPr="00C74919">
              <w:rPr>
                <w:rFonts w:ascii="Arial" w:eastAsia="Times New Roman" w:hAnsi="Arial" w:cs="Arial"/>
                <w:b/>
                <w:bCs/>
                <w:i/>
                <w:iCs/>
                <w:sz w:val="24"/>
                <w:szCs w:val="24"/>
              </w:rPr>
              <w:t>Quarterly Monitoring</w:t>
            </w:r>
            <w:r w:rsidRPr="00C74919">
              <w:rPr>
                <w:rFonts w:ascii="Arial" w:eastAsia="Times New Roman" w:hAnsi="Arial" w:cs="Arial"/>
                <w:b/>
                <w:bCs/>
                <w:i/>
                <w:iCs/>
                <w:sz w:val="24"/>
                <w:szCs w:val="24"/>
              </w:rPr>
              <w:t>,</w:t>
            </w:r>
          </w:p>
          <w:p w14:paraId="1A37D9EB" w14:textId="68C90E77" w:rsidR="00C74919" w:rsidRPr="002E5574" w:rsidRDefault="00C74919" w:rsidP="00C74919">
            <w:pPr>
              <w:spacing w:after="0" w:line="240" w:lineRule="auto"/>
              <w:jc w:val="center"/>
              <w:rPr>
                <w:rFonts w:ascii="Arial" w:eastAsia="Times New Roman" w:hAnsi="Arial" w:cs="Arial"/>
                <w:b/>
                <w:bCs/>
                <w:i/>
                <w:iCs/>
                <w:sz w:val="24"/>
                <w:szCs w:val="24"/>
              </w:rPr>
            </w:pPr>
            <w:r w:rsidRPr="00C74919">
              <w:rPr>
                <w:rFonts w:ascii="Arial" w:eastAsia="Times New Roman" w:hAnsi="Arial" w:cs="Arial"/>
                <w:b/>
                <w:bCs/>
                <w:i/>
                <w:iCs/>
                <w:sz w:val="24"/>
                <w:szCs w:val="24"/>
              </w:rPr>
              <w:t>Annually</w:t>
            </w:r>
          </w:p>
        </w:tc>
        <w:tc>
          <w:tcPr>
            <w:tcW w:w="384" w:type="pct"/>
            <w:shd w:val="clear" w:color="auto" w:fill="BFBFBF" w:themeFill="background1" w:themeFillShade="BF"/>
          </w:tcPr>
          <w:p w14:paraId="081D02FE" w14:textId="77777777" w:rsidR="00C74919" w:rsidRPr="00C74919" w:rsidRDefault="00C74919" w:rsidP="00C74919">
            <w:pPr>
              <w:spacing w:after="0" w:line="240" w:lineRule="auto"/>
              <w:jc w:val="center"/>
              <w:rPr>
                <w:rFonts w:ascii="Arial" w:eastAsia="Times New Roman" w:hAnsi="Arial" w:cs="Arial"/>
                <w:b/>
                <w:bCs/>
                <w:i/>
                <w:iCs/>
                <w:sz w:val="24"/>
                <w:szCs w:val="24"/>
              </w:rPr>
            </w:pPr>
            <w:r w:rsidRPr="00C74919">
              <w:rPr>
                <w:rFonts w:ascii="Arial" w:eastAsia="Times New Roman" w:hAnsi="Arial" w:cs="Arial"/>
                <w:b/>
                <w:bCs/>
                <w:i/>
                <w:iCs/>
                <w:sz w:val="24"/>
                <w:szCs w:val="24"/>
              </w:rPr>
              <w:t xml:space="preserve">Analytical </w:t>
            </w:r>
          </w:p>
          <w:p w14:paraId="5C087415" w14:textId="77777777" w:rsidR="00C74919" w:rsidRPr="00C74919" w:rsidRDefault="00C74919" w:rsidP="00C74919">
            <w:pPr>
              <w:spacing w:after="0" w:line="240" w:lineRule="auto"/>
              <w:jc w:val="center"/>
              <w:rPr>
                <w:rFonts w:ascii="Arial" w:eastAsia="Times New Roman" w:hAnsi="Arial" w:cs="Arial"/>
                <w:b/>
                <w:bCs/>
                <w:i/>
                <w:iCs/>
                <w:sz w:val="24"/>
                <w:szCs w:val="24"/>
              </w:rPr>
            </w:pPr>
            <w:r w:rsidRPr="00C74919">
              <w:rPr>
                <w:rFonts w:ascii="Arial" w:eastAsia="Times New Roman" w:hAnsi="Arial" w:cs="Arial"/>
                <w:b/>
                <w:bCs/>
                <w:i/>
                <w:iCs/>
                <w:sz w:val="24"/>
                <w:szCs w:val="24"/>
              </w:rPr>
              <w:t>Costs for Routine Monitoring,</w:t>
            </w:r>
          </w:p>
          <w:p w14:paraId="7B40689B" w14:textId="4B5A311B" w:rsidR="00C74919" w:rsidRPr="002E5574" w:rsidRDefault="00C74919" w:rsidP="00C74919">
            <w:pPr>
              <w:spacing w:after="0" w:line="240" w:lineRule="auto"/>
              <w:jc w:val="center"/>
              <w:rPr>
                <w:rFonts w:ascii="Arial" w:eastAsia="Times New Roman" w:hAnsi="Arial" w:cs="Arial"/>
                <w:b/>
                <w:bCs/>
                <w:i/>
                <w:iCs/>
                <w:sz w:val="24"/>
                <w:szCs w:val="24"/>
              </w:rPr>
            </w:pPr>
            <w:r w:rsidRPr="00C74919">
              <w:rPr>
                <w:rFonts w:ascii="Arial" w:eastAsia="Times New Roman" w:hAnsi="Arial" w:cs="Arial"/>
                <w:b/>
                <w:bCs/>
                <w:i/>
                <w:iCs/>
                <w:sz w:val="24"/>
                <w:szCs w:val="24"/>
              </w:rPr>
              <w:t>Annually</w:t>
            </w:r>
          </w:p>
        </w:tc>
        <w:tc>
          <w:tcPr>
            <w:tcW w:w="465" w:type="pct"/>
            <w:shd w:val="clear" w:color="auto" w:fill="BFBFBF" w:themeFill="background1" w:themeFillShade="BF"/>
            <w:vAlign w:val="center"/>
            <w:hideMark/>
          </w:tcPr>
          <w:p w14:paraId="4A58B29B" w14:textId="77777777" w:rsidR="002A5CEC" w:rsidRDefault="00C74919" w:rsidP="00C74919">
            <w:pPr>
              <w:spacing w:after="0" w:line="240" w:lineRule="auto"/>
              <w:jc w:val="center"/>
              <w:rPr>
                <w:rFonts w:ascii="Arial" w:hAnsi="Arial" w:cs="Arial"/>
                <w:b/>
                <w:bCs/>
                <w:i/>
                <w:iCs/>
                <w:sz w:val="24"/>
                <w:szCs w:val="24"/>
              </w:rPr>
            </w:pPr>
            <w:r w:rsidRPr="005B02FC">
              <w:rPr>
                <w:rFonts w:ascii="Arial" w:hAnsi="Arial" w:cs="Arial"/>
                <w:b/>
                <w:bCs/>
                <w:i/>
                <w:iCs/>
                <w:sz w:val="24"/>
                <w:szCs w:val="24"/>
              </w:rPr>
              <w:t xml:space="preserve">Total </w:t>
            </w:r>
          </w:p>
          <w:p w14:paraId="03A7650C" w14:textId="47C8C75D" w:rsidR="00C74919" w:rsidRPr="005B02FC" w:rsidRDefault="00C74919" w:rsidP="00C74919">
            <w:pPr>
              <w:spacing w:after="0" w:line="240" w:lineRule="auto"/>
              <w:jc w:val="center"/>
              <w:rPr>
                <w:rFonts w:ascii="Arial" w:hAnsi="Arial" w:cs="Arial"/>
                <w:b/>
                <w:bCs/>
                <w:i/>
                <w:iCs/>
                <w:sz w:val="24"/>
                <w:szCs w:val="24"/>
              </w:rPr>
            </w:pPr>
            <w:r w:rsidRPr="005B02FC">
              <w:rPr>
                <w:rFonts w:ascii="Arial" w:hAnsi="Arial" w:cs="Arial"/>
                <w:b/>
                <w:bCs/>
                <w:i/>
                <w:iCs/>
                <w:sz w:val="24"/>
                <w:szCs w:val="24"/>
              </w:rPr>
              <w:t>Analytical Cost</w:t>
            </w:r>
            <w:r w:rsidR="002A5CEC">
              <w:rPr>
                <w:rFonts w:ascii="Arial" w:hAnsi="Arial" w:cs="Arial"/>
                <w:b/>
                <w:bCs/>
                <w:i/>
                <w:iCs/>
                <w:sz w:val="24"/>
                <w:szCs w:val="24"/>
              </w:rPr>
              <w:t>s</w:t>
            </w:r>
            <w:r w:rsidRPr="005B02FC">
              <w:rPr>
                <w:rFonts w:ascii="Arial" w:hAnsi="Arial" w:cs="Arial"/>
                <w:b/>
                <w:bCs/>
                <w:i/>
                <w:iCs/>
                <w:sz w:val="24"/>
                <w:szCs w:val="24"/>
              </w:rPr>
              <w:t xml:space="preserve">, </w:t>
            </w:r>
            <w:r w:rsidRPr="005B02FC">
              <w:rPr>
                <w:rFonts w:ascii="Arial" w:hAnsi="Arial" w:cs="Arial"/>
                <w:b/>
                <w:bCs/>
                <w:i/>
                <w:iCs/>
                <w:sz w:val="24"/>
                <w:szCs w:val="24"/>
              </w:rPr>
              <w:br/>
              <w:t>Annually</w:t>
            </w:r>
          </w:p>
          <w:p w14:paraId="41A2BD47" w14:textId="343CE9F5" w:rsidR="00C74919" w:rsidRPr="002E5574" w:rsidRDefault="00C74919" w:rsidP="00C903D6">
            <w:pPr>
              <w:spacing w:after="0" w:line="240" w:lineRule="auto"/>
              <w:jc w:val="center"/>
              <w:rPr>
                <w:rFonts w:ascii="Arial" w:eastAsia="Times New Roman" w:hAnsi="Arial" w:cs="Arial"/>
                <w:b/>
                <w:bCs/>
                <w:i/>
                <w:iCs/>
                <w:sz w:val="24"/>
                <w:szCs w:val="24"/>
              </w:rPr>
            </w:pPr>
          </w:p>
        </w:tc>
        <w:tc>
          <w:tcPr>
            <w:tcW w:w="343" w:type="pct"/>
            <w:shd w:val="clear" w:color="auto" w:fill="BFBFBF" w:themeFill="background1" w:themeFillShade="BF"/>
            <w:vAlign w:val="center"/>
            <w:hideMark/>
          </w:tcPr>
          <w:p w14:paraId="1B4432FF" w14:textId="77777777" w:rsidR="00C74919" w:rsidRPr="002E5574" w:rsidRDefault="00C74919" w:rsidP="00C903D6">
            <w:pPr>
              <w:spacing w:after="0" w:line="240" w:lineRule="auto"/>
              <w:jc w:val="center"/>
              <w:rPr>
                <w:rFonts w:ascii="Arial" w:eastAsia="Times New Roman" w:hAnsi="Arial" w:cs="Arial"/>
                <w:b/>
                <w:bCs/>
                <w:i/>
                <w:iCs/>
                <w:sz w:val="24"/>
                <w:szCs w:val="24"/>
              </w:rPr>
            </w:pPr>
            <w:r w:rsidRPr="002E5574">
              <w:rPr>
                <w:rFonts w:ascii="Arial" w:eastAsia="Times New Roman" w:hAnsi="Arial" w:cs="Arial"/>
                <w:b/>
                <w:bCs/>
                <w:i/>
                <w:iCs/>
                <w:sz w:val="24"/>
                <w:szCs w:val="24"/>
              </w:rPr>
              <w:t>Change from Baseline</w:t>
            </w:r>
          </w:p>
        </w:tc>
        <w:tc>
          <w:tcPr>
            <w:tcW w:w="283" w:type="pct"/>
            <w:shd w:val="clear" w:color="auto" w:fill="BFBFBF" w:themeFill="background1" w:themeFillShade="BF"/>
            <w:vAlign w:val="center"/>
            <w:hideMark/>
          </w:tcPr>
          <w:p w14:paraId="22653130" w14:textId="77777777" w:rsidR="00C74919" w:rsidRPr="002E5574" w:rsidRDefault="00C74919" w:rsidP="00C903D6">
            <w:pPr>
              <w:spacing w:after="0" w:line="240" w:lineRule="auto"/>
              <w:jc w:val="center"/>
              <w:rPr>
                <w:rFonts w:ascii="Arial" w:eastAsia="Times New Roman" w:hAnsi="Arial" w:cs="Arial"/>
                <w:b/>
                <w:bCs/>
                <w:i/>
                <w:iCs/>
                <w:sz w:val="24"/>
                <w:szCs w:val="24"/>
              </w:rPr>
            </w:pPr>
            <w:r w:rsidRPr="002E5574">
              <w:rPr>
                <w:rFonts w:ascii="Arial" w:eastAsia="Times New Roman" w:hAnsi="Arial" w:cs="Arial"/>
                <w:b/>
                <w:bCs/>
                <w:i/>
                <w:iCs/>
                <w:sz w:val="24"/>
                <w:szCs w:val="24"/>
              </w:rPr>
              <w:t>Duration</w:t>
            </w:r>
            <w:r w:rsidRPr="002E5574">
              <w:rPr>
                <w:rFonts w:ascii="Arial" w:eastAsia="Times New Roman" w:hAnsi="Arial" w:cs="Arial"/>
                <w:b/>
                <w:bCs/>
                <w:i/>
                <w:iCs/>
                <w:sz w:val="24"/>
                <w:szCs w:val="24"/>
              </w:rPr>
              <w:br/>
              <w:t>(years)</w:t>
            </w:r>
          </w:p>
        </w:tc>
        <w:tc>
          <w:tcPr>
            <w:tcW w:w="383" w:type="pct"/>
            <w:shd w:val="clear" w:color="auto" w:fill="BFBFBF" w:themeFill="background1" w:themeFillShade="BF"/>
            <w:vAlign w:val="center"/>
            <w:hideMark/>
          </w:tcPr>
          <w:p w14:paraId="1F1CBC08" w14:textId="77777777" w:rsidR="00C74919" w:rsidRPr="002E5574" w:rsidRDefault="00C74919" w:rsidP="00C903D6">
            <w:pPr>
              <w:spacing w:after="0" w:line="240" w:lineRule="auto"/>
              <w:jc w:val="center"/>
              <w:rPr>
                <w:rFonts w:ascii="Arial" w:eastAsia="Times New Roman" w:hAnsi="Arial" w:cs="Arial"/>
                <w:b/>
                <w:bCs/>
                <w:i/>
                <w:iCs/>
                <w:sz w:val="24"/>
                <w:szCs w:val="24"/>
              </w:rPr>
            </w:pPr>
            <w:r w:rsidRPr="002E5574">
              <w:rPr>
                <w:rFonts w:ascii="Arial" w:eastAsia="Times New Roman" w:hAnsi="Arial" w:cs="Arial"/>
                <w:b/>
                <w:bCs/>
                <w:i/>
                <w:iCs/>
                <w:sz w:val="24"/>
                <w:szCs w:val="24"/>
              </w:rPr>
              <w:t>Total Added Cost</w:t>
            </w:r>
          </w:p>
        </w:tc>
        <w:tc>
          <w:tcPr>
            <w:tcW w:w="357" w:type="pct"/>
            <w:shd w:val="clear" w:color="auto" w:fill="BFBFBF" w:themeFill="background1" w:themeFillShade="BF"/>
            <w:vAlign w:val="center"/>
            <w:hideMark/>
          </w:tcPr>
          <w:p w14:paraId="2C663E39" w14:textId="77777777" w:rsidR="00C74919" w:rsidRPr="002E5574" w:rsidRDefault="00C74919" w:rsidP="00C903D6">
            <w:pPr>
              <w:spacing w:after="0" w:line="240" w:lineRule="auto"/>
              <w:jc w:val="center"/>
              <w:rPr>
                <w:rFonts w:ascii="Arial" w:eastAsia="Times New Roman" w:hAnsi="Arial" w:cs="Arial"/>
                <w:b/>
                <w:bCs/>
                <w:i/>
                <w:iCs/>
                <w:sz w:val="24"/>
                <w:szCs w:val="24"/>
              </w:rPr>
            </w:pPr>
            <w:r w:rsidRPr="002E5574">
              <w:rPr>
                <w:rFonts w:ascii="Arial" w:eastAsia="Times New Roman" w:hAnsi="Arial" w:cs="Arial"/>
                <w:b/>
                <w:bCs/>
                <w:i/>
                <w:iCs/>
                <w:sz w:val="24"/>
                <w:szCs w:val="24"/>
              </w:rPr>
              <w:t>Lifetime Annual Average</w:t>
            </w:r>
          </w:p>
        </w:tc>
      </w:tr>
      <w:tr w:rsidR="00D90FC0" w:rsidRPr="002E5574" w14:paraId="5D1037F1" w14:textId="0696F6A8" w:rsidTr="00D90FC0">
        <w:trPr>
          <w:trHeight w:val="322"/>
        </w:trPr>
        <w:tc>
          <w:tcPr>
            <w:tcW w:w="345" w:type="pct"/>
            <w:vAlign w:val="center"/>
            <w:hideMark/>
          </w:tcPr>
          <w:p w14:paraId="35D7D08B" w14:textId="156B8509" w:rsidR="00C74919" w:rsidRPr="002E5574" w:rsidRDefault="00C74919" w:rsidP="00C74919">
            <w:pPr>
              <w:spacing w:after="0" w:line="240" w:lineRule="auto"/>
              <w:rPr>
                <w:rFonts w:ascii="Arial" w:eastAsia="Times New Roman" w:hAnsi="Arial" w:cs="Arial"/>
                <w:sz w:val="24"/>
                <w:szCs w:val="24"/>
              </w:rPr>
            </w:pPr>
            <w:r w:rsidRPr="00CC725F">
              <w:rPr>
                <w:rFonts w:ascii="Arial" w:eastAsia="Times New Roman" w:hAnsi="Arial" w:cs="Arial"/>
                <w:sz w:val="24"/>
                <w:szCs w:val="24"/>
              </w:rPr>
              <w:t xml:space="preserve">Current Regulation </w:t>
            </w:r>
            <w:r w:rsidRPr="00CC725F">
              <w:rPr>
                <w:rFonts w:ascii="Arial" w:eastAsia="Times New Roman" w:hAnsi="Arial" w:cs="Arial"/>
                <w:sz w:val="24"/>
                <w:szCs w:val="24"/>
                <w:vertAlign w:val="superscript"/>
              </w:rPr>
              <w:t>a</w:t>
            </w:r>
          </w:p>
        </w:tc>
        <w:tc>
          <w:tcPr>
            <w:tcW w:w="280" w:type="pct"/>
            <w:noWrap/>
            <w:vAlign w:val="center"/>
            <w:hideMark/>
          </w:tcPr>
          <w:p w14:paraId="3368478D" w14:textId="3A8F1E05" w:rsidR="00C74919" w:rsidRPr="002E5574" w:rsidRDefault="00C74919"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$56</w:t>
            </w:r>
          </w:p>
        </w:tc>
        <w:tc>
          <w:tcPr>
            <w:tcW w:w="339" w:type="pct"/>
            <w:noWrap/>
            <w:vAlign w:val="center"/>
            <w:hideMark/>
          </w:tcPr>
          <w:p w14:paraId="428DCB02" w14:textId="77777777" w:rsidR="00C74919" w:rsidRPr="002E5574" w:rsidRDefault="00C74919"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77</w:t>
            </w:r>
          </w:p>
        </w:tc>
        <w:tc>
          <w:tcPr>
            <w:tcW w:w="360" w:type="pct"/>
            <w:noWrap/>
            <w:vAlign w:val="center"/>
            <w:hideMark/>
          </w:tcPr>
          <w:p w14:paraId="54B1DCF3" w14:textId="77777777" w:rsidR="00C74919" w:rsidRPr="002E5574" w:rsidRDefault="00C74919"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304</w:t>
            </w:r>
          </w:p>
        </w:tc>
        <w:tc>
          <w:tcPr>
            <w:tcW w:w="380" w:type="pct"/>
            <w:noWrap/>
            <w:vAlign w:val="center"/>
            <w:hideMark/>
          </w:tcPr>
          <w:p w14:paraId="46762C38" w14:textId="77777777" w:rsidR="00C74919" w:rsidRPr="002E5574" w:rsidRDefault="00C74919"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3,847</w:t>
            </w:r>
          </w:p>
        </w:tc>
        <w:tc>
          <w:tcPr>
            <w:tcW w:w="375" w:type="pct"/>
            <w:noWrap/>
            <w:vAlign w:val="center"/>
            <w:hideMark/>
          </w:tcPr>
          <w:p w14:paraId="3E8B474C" w14:textId="77777777" w:rsidR="00C74919" w:rsidRPr="002E5574" w:rsidRDefault="00C74919"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12,043</w:t>
            </w:r>
          </w:p>
        </w:tc>
        <w:tc>
          <w:tcPr>
            <w:tcW w:w="338" w:type="pct"/>
            <w:noWrap/>
            <w:vAlign w:val="center"/>
            <w:hideMark/>
          </w:tcPr>
          <w:p w14:paraId="003AF81E" w14:textId="77777777" w:rsidR="00C74919" w:rsidRPr="002E5574" w:rsidRDefault="00C74919"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5,230</w:t>
            </w:r>
          </w:p>
        </w:tc>
        <w:tc>
          <w:tcPr>
            <w:tcW w:w="368" w:type="pct"/>
            <w:vAlign w:val="center"/>
          </w:tcPr>
          <w:p w14:paraId="519BEB47" w14:textId="2CBDAB40" w:rsidR="00C74919" w:rsidRPr="00C74919" w:rsidRDefault="00C74919" w:rsidP="00C74919">
            <w:pPr>
              <w:spacing w:after="0" w:line="240" w:lineRule="auto"/>
              <w:jc w:val="center"/>
              <w:rPr>
                <w:rFonts w:ascii="Arial" w:eastAsia="Times New Roman" w:hAnsi="Arial" w:cs="Arial"/>
                <w:sz w:val="24"/>
                <w:szCs w:val="24"/>
              </w:rPr>
            </w:pPr>
            <w:r w:rsidRPr="005B02FC">
              <w:rPr>
                <w:rFonts w:ascii="Arial" w:hAnsi="Arial" w:cs="Arial"/>
                <w:sz w:val="24"/>
                <w:szCs w:val="24"/>
              </w:rPr>
              <w:t>$68,096</w:t>
            </w:r>
          </w:p>
        </w:tc>
        <w:tc>
          <w:tcPr>
            <w:tcW w:w="384" w:type="pct"/>
            <w:vAlign w:val="center"/>
          </w:tcPr>
          <w:p w14:paraId="3FEF07FA" w14:textId="035F7EDC" w:rsidR="00C74919" w:rsidRPr="00C74919" w:rsidRDefault="00C74919" w:rsidP="00C74919">
            <w:pPr>
              <w:spacing w:after="0" w:line="240" w:lineRule="auto"/>
              <w:jc w:val="center"/>
              <w:rPr>
                <w:rFonts w:ascii="Arial" w:eastAsia="Times New Roman" w:hAnsi="Arial" w:cs="Arial"/>
                <w:sz w:val="24"/>
                <w:szCs w:val="24"/>
              </w:rPr>
            </w:pPr>
            <w:r w:rsidRPr="005B02FC">
              <w:rPr>
                <w:rFonts w:ascii="Arial" w:hAnsi="Arial" w:cs="Arial"/>
                <w:sz w:val="24"/>
                <w:szCs w:val="24"/>
              </w:rPr>
              <w:t>$224,803</w:t>
            </w:r>
          </w:p>
        </w:tc>
        <w:tc>
          <w:tcPr>
            <w:tcW w:w="465" w:type="pct"/>
            <w:noWrap/>
            <w:vAlign w:val="center"/>
            <w:hideMark/>
          </w:tcPr>
          <w:p w14:paraId="714D51A4" w14:textId="1FE82D9A" w:rsidR="00C74919" w:rsidRPr="002E5574" w:rsidRDefault="00C74919"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$292,898</w:t>
            </w:r>
          </w:p>
        </w:tc>
        <w:tc>
          <w:tcPr>
            <w:tcW w:w="343" w:type="pct"/>
            <w:noWrap/>
            <w:vAlign w:val="center"/>
            <w:hideMark/>
          </w:tcPr>
          <w:p w14:paraId="3E41EA01" w14:textId="77777777" w:rsidR="00C74919" w:rsidRPr="002E5574" w:rsidRDefault="00C74919"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w:t>
            </w:r>
          </w:p>
        </w:tc>
        <w:tc>
          <w:tcPr>
            <w:tcW w:w="283" w:type="pct"/>
            <w:noWrap/>
            <w:vAlign w:val="center"/>
            <w:hideMark/>
          </w:tcPr>
          <w:p w14:paraId="01BB001C" w14:textId="292A3F5E" w:rsidR="00C74919" w:rsidRPr="002E5574" w:rsidRDefault="002A5CEC"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w:t>
            </w:r>
          </w:p>
        </w:tc>
        <w:tc>
          <w:tcPr>
            <w:tcW w:w="383" w:type="pct"/>
            <w:noWrap/>
            <w:vAlign w:val="center"/>
            <w:hideMark/>
          </w:tcPr>
          <w:p w14:paraId="7DFFDA2E" w14:textId="54CDCB7E" w:rsidR="00C74919" w:rsidRPr="002E5574" w:rsidRDefault="002A5CEC"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w:t>
            </w:r>
          </w:p>
        </w:tc>
        <w:tc>
          <w:tcPr>
            <w:tcW w:w="357" w:type="pct"/>
            <w:noWrap/>
            <w:vAlign w:val="center"/>
            <w:hideMark/>
          </w:tcPr>
          <w:p w14:paraId="5B6216C4" w14:textId="76049283" w:rsidR="00C74919" w:rsidRPr="002E5574" w:rsidRDefault="00A8529C"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$292,89</w:t>
            </w:r>
            <w:r w:rsidR="000430AF">
              <w:rPr>
                <w:rFonts w:ascii="Arial" w:eastAsia="Times New Roman" w:hAnsi="Arial" w:cs="Arial"/>
                <w:sz w:val="24"/>
                <w:szCs w:val="24"/>
              </w:rPr>
              <w:t>9</w:t>
            </w:r>
          </w:p>
        </w:tc>
      </w:tr>
      <w:tr w:rsidR="00D90FC0" w:rsidRPr="002E5574" w14:paraId="6571D3CE" w14:textId="418FAFAA" w:rsidTr="00D90FC0">
        <w:trPr>
          <w:trHeight w:val="352"/>
        </w:trPr>
        <w:tc>
          <w:tcPr>
            <w:tcW w:w="345" w:type="pct"/>
            <w:vAlign w:val="center"/>
            <w:hideMark/>
          </w:tcPr>
          <w:p w14:paraId="523EF11E" w14:textId="5EAE3286" w:rsidR="00C74919" w:rsidRPr="002E5574" w:rsidRDefault="00C74919" w:rsidP="00C74919">
            <w:pPr>
              <w:spacing w:after="0" w:line="240" w:lineRule="auto"/>
              <w:rPr>
                <w:rFonts w:ascii="Arial" w:eastAsia="Times New Roman" w:hAnsi="Arial" w:cs="Arial"/>
                <w:sz w:val="24"/>
                <w:szCs w:val="24"/>
              </w:rPr>
            </w:pPr>
            <w:r w:rsidRPr="002E5574">
              <w:rPr>
                <w:rFonts w:ascii="Arial" w:eastAsia="Times New Roman" w:hAnsi="Arial" w:cs="Arial"/>
                <w:sz w:val="24"/>
                <w:szCs w:val="24"/>
              </w:rPr>
              <w:t xml:space="preserve">Phase I </w:t>
            </w:r>
            <w:r w:rsidRPr="00CC725F">
              <w:rPr>
                <w:rFonts w:ascii="Arial" w:eastAsia="Times New Roman" w:hAnsi="Arial" w:cs="Arial"/>
                <w:sz w:val="24"/>
                <w:szCs w:val="24"/>
                <w:vertAlign w:val="superscript"/>
              </w:rPr>
              <w:t>b</w:t>
            </w:r>
          </w:p>
        </w:tc>
        <w:tc>
          <w:tcPr>
            <w:tcW w:w="280" w:type="pct"/>
            <w:noWrap/>
            <w:vAlign w:val="center"/>
            <w:hideMark/>
          </w:tcPr>
          <w:p w14:paraId="53B4DA33" w14:textId="45521B35" w:rsidR="00C74919" w:rsidRPr="002E5574" w:rsidRDefault="00C74919"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$56</w:t>
            </w:r>
          </w:p>
        </w:tc>
        <w:tc>
          <w:tcPr>
            <w:tcW w:w="339" w:type="pct"/>
            <w:noWrap/>
            <w:vAlign w:val="center"/>
            <w:hideMark/>
          </w:tcPr>
          <w:p w14:paraId="5C23A93F" w14:textId="2875A174" w:rsidR="00C74919" w:rsidRPr="00C74919" w:rsidRDefault="00C74919" w:rsidP="00C74919">
            <w:pPr>
              <w:spacing w:after="0" w:line="240" w:lineRule="auto"/>
              <w:jc w:val="center"/>
              <w:rPr>
                <w:rFonts w:ascii="Arial" w:eastAsia="Times New Roman" w:hAnsi="Arial" w:cs="Arial"/>
                <w:sz w:val="24"/>
                <w:szCs w:val="24"/>
              </w:rPr>
            </w:pPr>
            <w:r w:rsidRPr="005B02FC">
              <w:rPr>
                <w:rFonts w:ascii="Arial" w:hAnsi="Arial" w:cs="Arial"/>
                <w:sz w:val="24"/>
                <w:szCs w:val="24"/>
              </w:rPr>
              <w:t>2,346</w:t>
            </w:r>
          </w:p>
        </w:tc>
        <w:tc>
          <w:tcPr>
            <w:tcW w:w="360" w:type="pct"/>
            <w:noWrap/>
            <w:vAlign w:val="center"/>
            <w:hideMark/>
          </w:tcPr>
          <w:p w14:paraId="5F20C41B" w14:textId="43BFAE57" w:rsidR="00C74919" w:rsidRPr="00C74919" w:rsidRDefault="00C74919" w:rsidP="00C74919">
            <w:pPr>
              <w:spacing w:after="0" w:line="240" w:lineRule="auto"/>
              <w:jc w:val="center"/>
              <w:rPr>
                <w:rFonts w:ascii="Arial" w:eastAsia="Times New Roman" w:hAnsi="Arial" w:cs="Arial"/>
                <w:sz w:val="24"/>
                <w:szCs w:val="24"/>
              </w:rPr>
            </w:pPr>
            <w:r w:rsidRPr="005B02FC">
              <w:rPr>
                <w:rFonts w:ascii="Arial" w:hAnsi="Arial" w:cs="Arial"/>
                <w:sz w:val="24"/>
                <w:szCs w:val="24"/>
              </w:rPr>
              <w:t>7,194</w:t>
            </w:r>
          </w:p>
        </w:tc>
        <w:tc>
          <w:tcPr>
            <w:tcW w:w="380" w:type="pct"/>
            <w:noWrap/>
            <w:vAlign w:val="center"/>
            <w:hideMark/>
          </w:tcPr>
          <w:p w14:paraId="5BB45F5D" w14:textId="77777777" w:rsidR="00C74919" w:rsidRDefault="00C74919" w:rsidP="00C74919">
            <w:pPr>
              <w:spacing w:after="0" w:line="240" w:lineRule="auto"/>
              <w:jc w:val="center"/>
              <w:rPr>
                <w:rFonts w:ascii="Arial" w:hAnsi="Arial" w:cs="Arial"/>
                <w:sz w:val="24"/>
                <w:szCs w:val="24"/>
              </w:rPr>
            </w:pPr>
            <w:r w:rsidRPr="005B02FC">
              <w:rPr>
                <w:rFonts w:ascii="Arial" w:hAnsi="Arial" w:cs="Arial"/>
                <w:sz w:val="24"/>
                <w:szCs w:val="24"/>
              </w:rPr>
              <w:t xml:space="preserve">Negligible </w:t>
            </w:r>
          </w:p>
          <w:p w14:paraId="07102112" w14:textId="2B901939" w:rsidR="00C74919" w:rsidRPr="00C74919" w:rsidRDefault="00C74919" w:rsidP="00C74919">
            <w:pPr>
              <w:spacing w:after="0" w:line="240" w:lineRule="auto"/>
              <w:jc w:val="center"/>
              <w:rPr>
                <w:rFonts w:ascii="Arial" w:eastAsia="Times New Roman" w:hAnsi="Arial" w:cs="Arial"/>
                <w:sz w:val="24"/>
                <w:szCs w:val="24"/>
              </w:rPr>
            </w:pPr>
            <w:r w:rsidRPr="005B02FC">
              <w:rPr>
                <w:rFonts w:ascii="Arial" w:hAnsi="Arial" w:cs="Arial"/>
                <w:sz w:val="24"/>
                <w:szCs w:val="24"/>
              </w:rPr>
              <w:t xml:space="preserve">Cost </w:t>
            </w:r>
            <w:r w:rsidRPr="005B02FC">
              <w:rPr>
                <w:rFonts w:ascii="Arial" w:hAnsi="Arial" w:cs="Arial"/>
                <w:sz w:val="24"/>
                <w:szCs w:val="24"/>
              </w:rPr>
              <w:br/>
              <w:t xml:space="preserve">Savings </w:t>
            </w:r>
            <w:r w:rsidR="00A8529C" w:rsidRPr="005B02FC">
              <w:rPr>
                <w:rFonts w:ascii="Arial" w:hAnsi="Arial" w:cs="Arial"/>
                <w:sz w:val="24"/>
                <w:szCs w:val="24"/>
                <w:vertAlign w:val="superscript"/>
              </w:rPr>
              <w:t>f</w:t>
            </w:r>
            <w:r w:rsidRPr="005B02FC">
              <w:rPr>
                <w:rFonts w:ascii="Arial" w:hAnsi="Arial" w:cs="Arial"/>
                <w:sz w:val="24"/>
                <w:szCs w:val="24"/>
              </w:rPr>
              <w:t xml:space="preserve"> </w:t>
            </w:r>
            <w:r w:rsidRPr="005B02FC">
              <w:rPr>
                <w:rFonts w:ascii="Arial" w:hAnsi="Arial" w:cs="Arial"/>
                <w:sz w:val="24"/>
                <w:szCs w:val="24"/>
              </w:rPr>
              <w:br/>
              <w:t>(- 2, 346)</w:t>
            </w:r>
          </w:p>
        </w:tc>
        <w:tc>
          <w:tcPr>
            <w:tcW w:w="375" w:type="pct"/>
            <w:noWrap/>
            <w:vAlign w:val="center"/>
            <w:hideMark/>
          </w:tcPr>
          <w:p w14:paraId="10D15A2D" w14:textId="52245C79" w:rsidR="00C74919" w:rsidRPr="00C74919" w:rsidRDefault="00C74919" w:rsidP="00C74919">
            <w:pPr>
              <w:spacing w:after="0" w:line="240" w:lineRule="auto"/>
              <w:jc w:val="center"/>
              <w:rPr>
                <w:rFonts w:ascii="Arial" w:eastAsia="Times New Roman" w:hAnsi="Arial" w:cs="Arial"/>
                <w:sz w:val="24"/>
                <w:szCs w:val="24"/>
              </w:rPr>
            </w:pPr>
            <w:r w:rsidRPr="005B02FC">
              <w:rPr>
                <w:rFonts w:ascii="Arial" w:hAnsi="Arial" w:cs="Arial"/>
                <w:sz w:val="24"/>
                <w:szCs w:val="24"/>
              </w:rPr>
              <w:t xml:space="preserve">Negligible </w:t>
            </w:r>
            <w:r w:rsidRPr="005B02FC">
              <w:rPr>
                <w:rFonts w:ascii="Arial" w:hAnsi="Arial" w:cs="Arial"/>
                <w:sz w:val="24"/>
                <w:szCs w:val="24"/>
              </w:rPr>
              <w:br/>
              <w:t>Cost</w:t>
            </w:r>
            <w:r w:rsidRPr="005B02FC">
              <w:rPr>
                <w:rFonts w:ascii="Arial" w:hAnsi="Arial" w:cs="Arial"/>
                <w:sz w:val="24"/>
                <w:szCs w:val="24"/>
              </w:rPr>
              <w:br/>
              <w:t>Savings</w:t>
            </w:r>
            <w:r w:rsidR="00A8529C">
              <w:rPr>
                <w:rFonts w:ascii="Arial" w:hAnsi="Arial" w:cs="Arial"/>
                <w:sz w:val="24"/>
                <w:szCs w:val="24"/>
              </w:rPr>
              <w:t xml:space="preserve"> </w:t>
            </w:r>
            <w:r w:rsidR="00A8529C" w:rsidRPr="005B02FC">
              <w:rPr>
                <w:rFonts w:ascii="Arial" w:hAnsi="Arial" w:cs="Arial"/>
                <w:sz w:val="24"/>
                <w:szCs w:val="24"/>
                <w:vertAlign w:val="superscript"/>
              </w:rPr>
              <w:t>g</w:t>
            </w:r>
            <w:r w:rsidRPr="005B02FC">
              <w:rPr>
                <w:rFonts w:ascii="Arial" w:hAnsi="Arial" w:cs="Arial"/>
                <w:sz w:val="24"/>
                <w:szCs w:val="24"/>
              </w:rPr>
              <w:br/>
              <w:t xml:space="preserve"> (-7,194)</w:t>
            </w:r>
          </w:p>
        </w:tc>
        <w:tc>
          <w:tcPr>
            <w:tcW w:w="338" w:type="pct"/>
            <w:noWrap/>
            <w:vAlign w:val="center"/>
            <w:hideMark/>
          </w:tcPr>
          <w:p w14:paraId="4A7D3163" w14:textId="57FC73B5" w:rsidR="00C74919" w:rsidRPr="00C74919" w:rsidRDefault="00C74919" w:rsidP="00C74919">
            <w:pPr>
              <w:spacing w:after="0" w:line="240" w:lineRule="auto"/>
              <w:jc w:val="center"/>
              <w:rPr>
                <w:rFonts w:ascii="Arial" w:eastAsia="Times New Roman" w:hAnsi="Arial" w:cs="Arial"/>
                <w:sz w:val="24"/>
                <w:szCs w:val="24"/>
              </w:rPr>
            </w:pPr>
            <w:r w:rsidRPr="005B02FC">
              <w:rPr>
                <w:rFonts w:ascii="Arial" w:hAnsi="Arial" w:cs="Arial"/>
                <w:sz w:val="24"/>
                <w:szCs w:val="24"/>
              </w:rPr>
              <w:t>28,776</w:t>
            </w:r>
          </w:p>
        </w:tc>
        <w:tc>
          <w:tcPr>
            <w:tcW w:w="368" w:type="pct"/>
            <w:vAlign w:val="center"/>
          </w:tcPr>
          <w:p w14:paraId="7522F924" w14:textId="69AC4343" w:rsidR="00C74919" w:rsidRPr="00C74919" w:rsidRDefault="00C74919" w:rsidP="00C74919">
            <w:pPr>
              <w:spacing w:after="0" w:line="240" w:lineRule="auto"/>
              <w:jc w:val="center"/>
              <w:rPr>
                <w:rFonts w:ascii="Arial" w:eastAsia="Times New Roman" w:hAnsi="Arial" w:cs="Arial"/>
                <w:sz w:val="24"/>
                <w:szCs w:val="24"/>
              </w:rPr>
            </w:pPr>
            <w:r w:rsidRPr="005B02FC">
              <w:rPr>
                <w:rFonts w:ascii="Arial" w:hAnsi="Arial" w:cs="Arial"/>
                <w:sz w:val="24"/>
                <w:szCs w:val="24"/>
              </w:rPr>
              <w:t>$1,611,456</w:t>
            </w:r>
          </w:p>
        </w:tc>
        <w:tc>
          <w:tcPr>
            <w:tcW w:w="384" w:type="pct"/>
            <w:vAlign w:val="center"/>
          </w:tcPr>
          <w:p w14:paraId="78D6B567" w14:textId="77777777" w:rsidR="00A8529C" w:rsidRDefault="00C74919" w:rsidP="00C74919">
            <w:pPr>
              <w:spacing w:after="0" w:line="240" w:lineRule="auto"/>
              <w:jc w:val="center"/>
              <w:rPr>
                <w:rFonts w:ascii="Arial" w:hAnsi="Arial" w:cs="Arial"/>
                <w:sz w:val="24"/>
                <w:szCs w:val="24"/>
              </w:rPr>
            </w:pPr>
            <w:r w:rsidRPr="005B02FC">
              <w:rPr>
                <w:rFonts w:ascii="Arial" w:hAnsi="Arial" w:cs="Arial"/>
                <w:sz w:val="24"/>
                <w:szCs w:val="24"/>
              </w:rPr>
              <w:t xml:space="preserve">Negligible Cost </w:t>
            </w:r>
          </w:p>
          <w:p w14:paraId="59DF6026" w14:textId="00A29910" w:rsidR="00C74919" w:rsidRPr="00C74919" w:rsidRDefault="00C74919" w:rsidP="00C74919">
            <w:pPr>
              <w:spacing w:after="0" w:line="240" w:lineRule="auto"/>
              <w:jc w:val="center"/>
              <w:rPr>
                <w:rFonts w:ascii="Arial" w:eastAsia="Times New Roman" w:hAnsi="Arial" w:cs="Arial"/>
                <w:sz w:val="24"/>
                <w:szCs w:val="24"/>
              </w:rPr>
            </w:pPr>
            <w:r w:rsidRPr="005B02FC">
              <w:rPr>
                <w:rFonts w:ascii="Arial" w:hAnsi="Arial" w:cs="Arial"/>
                <w:sz w:val="24"/>
                <w:szCs w:val="24"/>
              </w:rPr>
              <w:t>Savings</w:t>
            </w:r>
            <w:r w:rsidR="00A8529C">
              <w:rPr>
                <w:rFonts w:ascii="Arial" w:hAnsi="Arial" w:cs="Arial"/>
                <w:sz w:val="24"/>
                <w:szCs w:val="24"/>
              </w:rPr>
              <w:t xml:space="preserve"> </w:t>
            </w:r>
            <w:r w:rsidR="00A8529C" w:rsidRPr="00A562C7">
              <w:rPr>
                <w:rFonts w:ascii="Arial" w:hAnsi="Arial" w:cs="Arial"/>
                <w:sz w:val="24"/>
                <w:szCs w:val="24"/>
                <w:vertAlign w:val="superscript"/>
              </w:rPr>
              <w:t>g</w:t>
            </w:r>
          </w:p>
        </w:tc>
        <w:tc>
          <w:tcPr>
            <w:tcW w:w="465" w:type="pct"/>
            <w:noWrap/>
            <w:vAlign w:val="center"/>
            <w:hideMark/>
          </w:tcPr>
          <w:p w14:paraId="3FDC6FEB" w14:textId="2E936CAA" w:rsidR="00C74919" w:rsidRPr="002E5574" w:rsidRDefault="00C74919"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$1,</w:t>
            </w:r>
            <w:r w:rsidR="002A5CEC">
              <w:rPr>
                <w:rFonts w:ascii="Arial" w:eastAsia="Times New Roman" w:hAnsi="Arial" w:cs="Arial"/>
                <w:sz w:val="24"/>
                <w:szCs w:val="24"/>
              </w:rPr>
              <w:t>611,456</w:t>
            </w:r>
          </w:p>
        </w:tc>
        <w:tc>
          <w:tcPr>
            <w:tcW w:w="343" w:type="pct"/>
            <w:noWrap/>
            <w:vAlign w:val="center"/>
            <w:hideMark/>
          </w:tcPr>
          <w:p w14:paraId="06BE52C1" w14:textId="208DE3EB" w:rsidR="00C74919" w:rsidRPr="002E5574" w:rsidRDefault="00C74919"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$1,</w:t>
            </w:r>
            <w:r w:rsidR="002A5CEC">
              <w:rPr>
                <w:rFonts w:ascii="Arial" w:eastAsia="Times New Roman" w:hAnsi="Arial" w:cs="Arial"/>
                <w:sz w:val="24"/>
                <w:szCs w:val="24"/>
              </w:rPr>
              <w:t>318</w:t>
            </w:r>
            <w:r w:rsidRPr="002E5574">
              <w:rPr>
                <w:rFonts w:ascii="Arial" w:eastAsia="Times New Roman" w:hAnsi="Arial" w:cs="Arial"/>
                <w:sz w:val="24"/>
                <w:szCs w:val="24"/>
              </w:rPr>
              <w:t>,</w:t>
            </w:r>
            <w:r w:rsidR="002A5CEC">
              <w:rPr>
                <w:rFonts w:ascii="Arial" w:eastAsia="Times New Roman" w:hAnsi="Arial" w:cs="Arial"/>
                <w:sz w:val="24"/>
                <w:szCs w:val="24"/>
              </w:rPr>
              <w:t>557</w:t>
            </w:r>
          </w:p>
        </w:tc>
        <w:tc>
          <w:tcPr>
            <w:tcW w:w="283" w:type="pct"/>
            <w:noWrap/>
            <w:vAlign w:val="center"/>
            <w:hideMark/>
          </w:tcPr>
          <w:p w14:paraId="4E797B6C" w14:textId="77777777" w:rsidR="00C74919" w:rsidRPr="002E5574" w:rsidRDefault="00C74919"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3</w:t>
            </w:r>
          </w:p>
        </w:tc>
        <w:tc>
          <w:tcPr>
            <w:tcW w:w="383" w:type="pct"/>
            <w:noWrap/>
            <w:vAlign w:val="center"/>
            <w:hideMark/>
          </w:tcPr>
          <w:p w14:paraId="2580B8C0" w14:textId="7E6D6AFC" w:rsidR="00C74919" w:rsidRPr="002E5574" w:rsidRDefault="00C74919"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$4,</w:t>
            </w:r>
            <w:r w:rsidR="00A8529C">
              <w:rPr>
                <w:rFonts w:ascii="Arial" w:eastAsia="Times New Roman" w:hAnsi="Arial" w:cs="Arial"/>
                <w:sz w:val="24"/>
                <w:szCs w:val="24"/>
              </w:rPr>
              <w:t>834,368</w:t>
            </w:r>
          </w:p>
        </w:tc>
        <w:tc>
          <w:tcPr>
            <w:tcW w:w="357" w:type="pct"/>
            <w:noWrap/>
            <w:vAlign w:val="center"/>
            <w:hideMark/>
          </w:tcPr>
          <w:p w14:paraId="563C6169" w14:textId="40674077" w:rsidR="00C74919" w:rsidRPr="002E5574" w:rsidRDefault="00C74919" w:rsidP="00C74919">
            <w:pPr>
              <w:spacing w:after="0" w:line="240" w:lineRule="auto"/>
              <w:jc w:val="center"/>
              <w:rPr>
                <w:rFonts w:ascii="Arial" w:eastAsia="Times New Roman" w:hAnsi="Arial" w:cs="Arial"/>
                <w:sz w:val="24"/>
                <w:szCs w:val="24"/>
              </w:rPr>
            </w:pPr>
          </w:p>
        </w:tc>
      </w:tr>
      <w:tr w:rsidR="00D90FC0" w:rsidRPr="002E5574" w14:paraId="7684410F" w14:textId="4922D935" w:rsidTr="00D90FC0">
        <w:trPr>
          <w:trHeight w:val="599"/>
        </w:trPr>
        <w:tc>
          <w:tcPr>
            <w:tcW w:w="345" w:type="pct"/>
            <w:vAlign w:val="center"/>
            <w:hideMark/>
          </w:tcPr>
          <w:p w14:paraId="5AD77DCB" w14:textId="1AC104FB" w:rsidR="00C74919" w:rsidRPr="002E5574" w:rsidRDefault="00C74919" w:rsidP="00C74919">
            <w:pPr>
              <w:spacing w:after="0" w:line="240" w:lineRule="auto"/>
              <w:rPr>
                <w:rFonts w:ascii="Arial" w:eastAsia="Times New Roman" w:hAnsi="Arial" w:cs="Arial"/>
                <w:sz w:val="24"/>
                <w:szCs w:val="24"/>
              </w:rPr>
            </w:pPr>
            <w:r w:rsidRPr="002E5574">
              <w:rPr>
                <w:rFonts w:ascii="Arial" w:eastAsia="Times New Roman" w:hAnsi="Arial" w:cs="Arial"/>
                <w:sz w:val="24"/>
                <w:szCs w:val="24"/>
              </w:rPr>
              <w:t xml:space="preserve">Phase II </w:t>
            </w:r>
            <w:r w:rsidRPr="00CC725F">
              <w:rPr>
                <w:rFonts w:ascii="Arial" w:eastAsia="Times New Roman" w:hAnsi="Arial" w:cs="Arial"/>
                <w:sz w:val="24"/>
                <w:szCs w:val="24"/>
                <w:vertAlign w:val="superscript"/>
              </w:rPr>
              <w:t>c</w:t>
            </w:r>
            <w:r w:rsidRPr="002E5574">
              <w:rPr>
                <w:rFonts w:ascii="Arial" w:eastAsia="Times New Roman" w:hAnsi="Arial" w:cs="Arial"/>
                <w:sz w:val="24"/>
                <w:szCs w:val="24"/>
              </w:rPr>
              <w:t xml:space="preserve"> </w:t>
            </w:r>
          </w:p>
        </w:tc>
        <w:tc>
          <w:tcPr>
            <w:tcW w:w="280" w:type="pct"/>
            <w:noWrap/>
            <w:vAlign w:val="center"/>
            <w:hideMark/>
          </w:tcPr>
          <w:p w14:paraId="1801CD89" w14:textId="5420F06B" w:rsidR="00C74919" w:rsidRPr="002E5574" w:rsidRDefault="00C74919"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$224</w:t>
            </w:r>
          </w:p>
        </w:tc>
        <w:tc>
          <w:tcPr>
            <w:tcW w:w="339" w:type="pct"/>
            <w:noWrap/>
            <w:vAlign w:val="center"/>
            <w:hideMark/>
          </w:tcPr>
          <w:p w14:paraId="1836ACC1" w14:textId="77777777" w:rsidR="00C74919" w:rsidRPr="002E5574" w:rsidRDefault="00C74919"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2,423</w:t>
            </w:r>
          </w:p>
        </w:tc>
        <w:tc>
          <w:tcPr>
            <w:tcW w:w="360" w:type="pct"/>
            <w:noWrap/>
            <w:vAlign w:val="center"/>
            <w:hideMark/>
          </w:tcPr>
          <w:p w14:paraId="1C45EB88" w14:textId="46AE43BA" w:rsidR="00C74919" w:rsidRDefault="006F17A7" w:rsidP="00C74919">
            <w:pPr>
              <w:spacing w:after="0" w:line="240" w:lineRule="auto"/>
              <w:jc w:val="center"/>
              <w:rPr>
                <w:rFonts w:ascii="Arial" w:eastAsia="Times New Roman" w:hAnsi="Arial" w:cs="Arial"/>
                <w:sz w:val="24"/>
                <w:szCs w:val="24"/>
              </w:rPr>
            </w:pPr>
            <w:r w:rsidRPr="00A562C7">
              <w:rPr>
                <w:rFonts w:ascii="Arial" w:hAnsi="Arial" w:cs="Arial"/>
                <w:sz w:val="24"/>
                <w:szCs w:val="24"/>
              </w:rPr>
              <w:t>7,194</w:t>
            </w:r>
            <w:r>
              <w:rPr>
                <w:rFonts w:ascii="Arial" w:eastAsia="Times New Roman" w:hAnsi="Arial" w:cs="Arial"/>
                <w:sz w:val="24"/>
                <w:szCs w:val="24"/>
              </w:rPr>
              <w:t xml:space="preserve"> + 304</w:t>
            </w:r>
          </w:p>
          <w:p w14:paraId="048E337F" w14:textId="7C0821AD" w:rsidR="006F17A7" w:rsidRPr="002E5574" w:rsidRDefault="006F17A7" w:rsidP="00C74919">
            <w:pPr>
              <w:spacing w:after="0" w:line="240" w:lineRule="auto"/>
              <w:jc w:val="center"/>
              <w:rPr>
                <w:rFonts w:ascii="Arial" w:eastAsia="Times New Roman" w:hAnsi="Arial" w:cs="Arial"/>
                <w:sz w:val="24"/>
                <w:szCs w:val="24"/>
              </w:rPr>
            </w:pPr>
            <w:r>
              <w:rPr>
                <w:rFonts w:ascii="Arial" w:eastAsia="Times New Roman" w:hAnsi="Arial" w:cs="Arial"/>
                <w:sz w:val="24"/>
                <w:szCs w:val="24"/>
              </w:rPr>
              <w:t>(7,498)</w:t>
            </w:r>
          </w:p>
        </w:tc>
        <w:tc>
          <w:tcPr>
            <w:tcW w:w="380" w:type="pct"/>
            <w:noWrap/>
            <w:vAlign w:val="center"/>
            <w:hideMark/>
          </w:tcPr>
          <w:p w14:paraId="5E5A3845" w14:textId="77777777" w:rsidR="00C74919" w:rsidRPr="002E5574" w:rsidRDefault="00C74919"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1,501</w:t>
            </w:r>
          </w:p>
        </w:tc>
        <w:tc>
          <w:tcPr>
            <w:tcW w:w="375" w:type="pct"/>
            <w:noWrap/>
            <w:vAlign w:val="center"/>
            <w:hideMark/>
          </w:tcPr>
          <w:p w14:paraId="462DA48E" w14:textId="77777777" w:rsidR="00C74919" w:rsidRPr="002E5574" w:rsidRDefault="00C74919"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4,849</w:t>
            </w:r>
          </w:p>
        </w:tc>
        <w:tc>
          <w:tcPr>
            <w:tcW w:w="338" w:type="pct"/>
            <w:noWrap/>
            <w:vAlign w:val="center"/>
            <w:hideMark/>
          </w:tcPr>
          <w:p w14:paraId="600EAE3B" w14:textId="77777777" w:rsidR="00C74919" w:rsidRPr="002E5574" w:rsidRDefault="00C74919"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31,608</w:t>
            </w:r>
          </w:p>
        </w:tc>
        <w:tc>
          <w:tcPr>
            <w:tcW w:w="368" w:type="pct"/>
            <w:vAlign w:val="center"/>
          </w:tcPr>
          <w:p w14:paraId="31F46DCF" w14:textId="77777777" w:rsidR="006F17A7" w:rsidRDefault="006F17A7" w:rsidP="00C74919">
            <w:pPr>
              <w:spacing w:after="0" w:line="240" w:lineRule="auto"/>
              <w:jc w:val="center"/>
              <w:rPr>
                <w:rFonts w:ascii="Arial" w:hAnsi="Arial" w:cs="Arial"/>
                <w:sz w:val="24"/>
                <w:szCs w:val="24"/>
              </w:rPr>
            </w:pPr>
            <w:r>
              <w:rPr>
                <w:rFonts w:ascii="Arial" w:hAnsi="Arial" w:cs="Arial"/>
                <w:sz w:val="24"/>
                <w:szCs w:val="24"/>
              </w:rPr>
              <w:t>$6,445,824 + $272,384</w:t>
            </w:r>
          </w:p>
          <w:p w14:paraId="3A62ACAF" w14:textId="3D52F100" w:rsidR="00C74919" w:rsidRPr="00C74919" w:rsidRDefault="006F17A7" w:rsidP="00C74919">
            <w:pPr>
              <w:spacing w:after="0" w:line="240" w:lineRule="auto"/>
              <w:jc w:val="center"/>
              <w:rPr>
                <w:rFonts w:ascii="Arial" w:eastAsia="Times New Roman" w:hAnsi="Arial" w:cs="Arial"/>
                <w:sz w:val="24"/>
                <w:szCs w:val="24"/>
              </w:rPr>
            </w:pPr>
            <w:r>
              <w:rPr>
                <w:rFonts w:ascii="Arial" w:hAnsi="Arial" w:cs="Arial"/>
                <w:sz w:val="24"/>
                <w:szCs w:val="24"/>
              </w:rPr>
              <w:t>(</w:t>
            </w:r>
            <w:r w:rsidR="00C74919" w:rsidRPr="005B02FC">
              <w:rPr>
                <w:rFonts w:ascii="Arial" w:hAnsi="Arial" w:cs="Arial"/>
                <w:sz w:val="24"/>
                <w:szCs w:val="24"/>
              </w:rPr>
              <w:t>$6,718,208</w:t>
            </w:r>
            <w:r>
              <w:rPr>
                <w:rFonts w:ascii="Arial" w:hAnsi="Arial" w:cs="Arial"/>
                <w:sz w:val="24"/>
                <w:szCs w:val="24"/>
              </w:rPr>
              <w:t>)</w:t>
            </w:r>
          </w:p>
        </w:tc>
        <w:tc>
          <w:tcPr>
            <w:tcW w:w="384" w:type="pct"/>
            <w:vAlign w:val="center"/>
          </w:tcPr>
          <w:p w14:paraId="4E55CD20" w14:textId="58D98100" w:rsidR="00C74919" w:rsidRPr="00C74919" w:rsidRDefault="00C74919" w:rsidP="00C74919">
            <w:pPr>
              <w:spacing w:after="0" w:line="240" w:lineRule="auto"/>
              <w:jc w:val="center"/>
              <w:rPr>
                <w:rFonts w:ascii="Arial" w:eastAsia="Times New Roman" w:hAnsi="Arial" w:cs="Arial"/>
                <w:sz w:val="24"/>
                <w:szCs w:val="24"/>
              </w:rPr>
            </w:pPr>
            <w:r w:rsidRPr="005B02FC">
              <w:rPr>
                <w:rFonts w:ascii="Arial" w:hAnsi="Arial" w:cs="Arial"/>
                <w:sz w:val="24"/>
                <w:szCs w:val="24"/>
              </w:rPr>
              <w:t>$362,059</w:t>
            </w:r>
          </w:p>
        </w:tc>
        <w:tc>
          <w:tcPr>
            <w:tcW w:w="465" w:type="pct"/>
            <w:noWrap/>
            <w:vAlign w:val="center"/>
            <w:hideMark/>
          </w:tcPr>
          <w:p w14:paraId="2E3EF4B0" w14:textId="26FAE594" w:rsidR="00C74919" w:rsidRPr="002E5574" w:rsidRDefault="00C74919"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$7,080,26</w:t>
            </w:r>
            <w:r w:rsidR="002A5CEC">
              <w:rPr>
                <w:rFonts w:ascii="Arial" w:eastAsia="Times New Roman" w:hAnsi="Arial" w:cs="Arial"/>
                <w:sz w:val="24"/>
                <w:szCs w:val="24"/>
              </w:rPr>
              <w:t>7</w:t>
            </w:r>
          </w:p>
        </w:tc>
        <w:tc>
          <w:tcPr>
            <w:tcW w:w="343" w:type="pct"/>
            <w:noWrap/>
            <w:vAlign w:val="center"/>
            <w:hideMark/>
          </w:tcPr>
          <w:p w14:paraId="403DC2F4" w14:textId="2D91FE0A" w:rsidR="00C74919" w:rsidRPr="002E5574" w:rsidRDefault="00C74919"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$6,787,368</w:t>
            </w:r>
          </w:p>
        </w:tc>
        <w:tc>
          <w:tcPr>
            <w:tcW w:w="283" w:type="pct"/>
            <w:noWrap/>
            <w:vAlign w:val="center"/>
            <w:hideMark/>
          </w:tcPr>
          <w:p w14:paraId="1C6CDB44" w14:textId="77777777" w:rsidR="00C74919" w:rsidRPr="002E5574" w:rsidRDefault="00C74919"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17</w:t>
            </w:r>
          </w:p>
        </w:tc>
        <w:tc>
          <w:tcPr>
            <w:tcW w:w="383" w:type="pct"/>
            <w:noWrap/>
            <w:vAlign w:val="center"/>
            <w:hideMark/>
          </w:tcPr>
          <w:p w14:paraId="17248444" w14:textId="024622E1" w:rsidR="00C74919" w:rsidRPr="002E5574" w:rsidRDefault="00C74919" w:rsidP="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w:t>
            </w:r>
            <w:r w:rsidR="00A8529C">
              <w:rPr>
                <w:rFonts w:ascii="Arial" w:eastAsia="Times New Roman" w:hAnsi="Arial" w:cs="Arial"/>
                <w:sz w:val="24"/>
                <w:szCs w:val="24"/>
              </w:rPr>
              <w:t>120,364,533</w:t>
            </w:r>
          </w:p>
        </w:tc>
        <w:tc>
          <w:tcPr>
            <w:tcW w:w="357" w:type="pct"/>
            <w:noWrap/>
            <w:vAlign w:val="center"/>
            <w:hideMark/>
          </w:tcPr>
          <w:p w14:paraId="6EF2DFE5" w14:textId="21F6DF0A" w:rsidR="00C74919" w:rsidRPr="002E5574" w:rsidRDefault="00C74919" w:rsidP="00C74919">
            <w:pPr>
              <w:spacing w:after="0" w:line="240" w:lineRule="auto"/>
              <w:jc w:val="center"/>
              <w:rPr>
                <w:rFonts w:ascii="Arial" w:eastAsia="Times New Roman" w:hAnsi="Arial" w:cs="Arial"/>
                <w:sz w:val="24"/>
                <w:szCs w:val="24"/>
              </w:rPr>
            </w:pPr>
          </w:p>
        </w:tc>
      </w:tr>
      <w:tr w:rsidR="00D90FC0" w:rsidRPr="002E5574" w14:paraId="32289DF4" w14:textId="1742D405" w:rsidTr="00D90FC0">
        <w:trPr>
          <w:trHeight w:val="308"/>
        </w:trPr>
        <w:tc>
          <w:tcPr>
            <w:tcW w:w="345" w:type="pct"/>
            <w:vAlign w:val="center"/>
            <w:hideMark/>
          </w:tcPr>
          <w:p w14:paraId="4AC0D9CE" w14:textId="20AAB049" w:rsidR="00C74919" w:rsidRPr="002E5574" w:rsidRDefault="00C74919" w:rsidP="00C903D6">
            <w:pPr>
              <w:spacing w:after="0" w:line="240" w:lineRule="auto"/>
              <w:rPr>
                <w:rFonts w:ascii="Arial" w:eastAsia="Times New Roman" w:hAnsi="Arial" w:cs="Arial"/>
                <w:sz w:val="24"/>
                <w:szCs w:val="24"/>
              </w:rPr>
            </w:pPr>
            <w:r w:rsidRPr="002E5574">
              <w:rPr>
                <w:rFonts w:ascii="Arial" w:eastAsia="Times New Roman" w:hAnsi="Arial" w:cs="Arial"/>
                <w:sz w:val="24"/>
                <w:szCs w:val="24"/>
              </w:rPr>
              <w:t xml:space="preserve">Phase I and Phase </w:t>
            </w:r>
            <w:r w:rsidR="00D90FC0" w:rsidRPr="002E5574">
              <w:rPr>
                <w:rFonts w:ascii="Arial" w:eastAsia="Times New Roman" w:hAnsi="Arial" w:cs="Arial"/>
                <w:sz w:val="24"/>
                <w:szCs w:val="24"/>
              </w:rPr>
              <w:t>II (</w:t>
            </w:r>
            <w:r w:rsidRPr="002E5574">
              <w:rPr>
                <w:rFonts w:ascii="Arial" w:eastAsia="Times New Roman" w:hAnsi="Arial" w:cs="Arial"/>
                <w:sz w:val="24"/>
                <w:szCs w:val="24"/>
              </w:rPr>
              <w:t>Sum)</w:t>
            </w:r>
          </w:p>
        </w:tc>
        <w:tc>
          <w:tcPr>
            <w:tcW w:w="280" w:type="pct"/>
            <w:shd w:val="clear" w:color="auto" w:fill="BFBFBF" w:themeFill="background1" w:themeFillShade="BF"/>
            <w:noWrap/>
            <w:vAlign w:val="center"/>
            <w:hideMark/>
          </w:tcPr>
          <w:p w14:paraId="63708954" w14:textId="16D734FD" w:rsidR="00C74919" w:rsidRPr="002E5574" w:rsidRDefault="00C74919" w:rsidP="00CC725F">
            <w:pPr>
              <w:spacing w:after="0" w:line="240" w:lineRule="auto"/>
              <w:jc w:val="center"/>
              <w:rPr>
                <w:rFonts w:ascii="Arial" w:eastAsia="Times New Roman" w:hAnsi="Arial" w:cs="Arial"/>
                <w:b/>
                <w:bCs/>
                <w:sz w:val="24"/>
                <w:szCs w:val="24"/>
              </w:rPr>
            </w:pPr>
          </w:p>
        </w:tc>
        <w:tc>
          <w:tcPr>
            <w:tcW w:w="339" w:type="pct"/>
            <w:shd w:val="clear" w:color="auto" w:fill="BFBFBF" w:themeFill="background1" w:themeFillShade="BF"/>
            <w:noWrap/>
            <w:vAlign w:val="center"/>
            <w:hideMark/>
          </w:tcPr>
          <w:p w14:paraId="6F513F05" w14:textId="591883C8" w:rsidR="00C74919" w:rsidRPr="002E5574" w:rsidRDefault="00C74919">
            <w:pPr>
              <w:spacing w:after="0" w:line="240" w:lineRule="auto"/>
              <w:jc w:val="center"/>
              <w:rPr>
                <w:rFonts w:ascii="Arial" w:eastAsia="Times New Roman" w:hAnsi="Arial" w:cs="Arial"/>
                <w:sz w:val="24"/>
                <w:szCs w:val="24"/>
              </w:rPr>
            </w:pPr>
          </w:p>
        </w:tc>
        <w:tc>
          <w:tcPr>
            <w:tcW w:w="360" w:type="pct"/>
            <w:shd w:val="clear" w:color="auto" w:fill="BFBFBF" w:themeFill="background1" w:themeFillShade="BF"/>
            <w:noWrap/>
            <w:vAlign w:val="center"/>
            <w:hideMark/>
          </w:tcPr>
          <w:p w14:paraId="1AEB850D" w14:textId="1C848080" w:rsidR="00C74919" w:rsidRPr="002E5574" w:rsidRDefault="00C74919">
            <w:pPr>
              <w:spacing w:after="0" w:line="240" w:lineRule="auto"/>
              <w:jc w:val="center"/>
              <w:rPr>
                <w:rFonts w:ascii="Arial" w:eastAsia="Times New Roman" w:hAnsi="Arial" w:cs="Arial"/>
                <w:sz w:val="24"/>
                <w:szCs w:val="24"/>
              </w:rPr>
            </w:pPr>
          </w:p>
        </w:tc>
        <w:tc>
          <w:tcPr>
            <w:tcW w:w="380" w:type="pct"/>
            <w:shd w:val="clear" w:color="auto" w:fill="BFBFBF" w:themeFill="background1" w:themeFillShade="BF"/>
            <w:noWrap/>
            <w:vAlign w:val="center"/>
            <w:hideMark/>
          </w:tcPr>
          <w:p w14:paraId="585BFC4B" w14:textId="2242771C" w:rsidR="00C74919" w:rsidRPr="002E5574" w:rsidRDefault="00C74919">
            <w:pPr>
              <w:spacing w:after="0" w:line="240" w:lineRule="auto"/>
              <w:jc w:val="center"/>
              <w:rPr>
                <w:rFonts w:ascii="Arial" w:eastAsia="Times New Roman" w:hAnsi="Arial" w:cs="Arial"/>
                <w:sz w:val="24"/>
                <w:szCs w:val="24"/>
              </w:rPr>
            </w:pPr>
          </w:p>
        </w:tc>
        <w:tc>
          <w:tcPr>
            <w:tcW w:w="375" w:type="pct"/>
            <w:shd w:val="clear" w:color="auto" w:fill="BFBFBF" w:themeFill="background1" w:themeFillShade="BF"/>
            <w:noWrap/>
            <w:vAlign w:val="center"/>
            <w:hideMark/>
          </w:tcPr>
          <w:p w14:paraId="5BEAA867" w14:textId="6AE02105" w:rsidR="00C74919" w:rsidRPr="002E5574" w:rsidRDefault="00C74919">
            <w:pPr>
              <w:spacing w:after="0" w:line="240" w:lineRule="auto"/>
              <w:jc w:val="center"/>
              <w:rPr>
                <w:rFonts w:ascii="Arial" w:eastAsia="Times New Roman" w:hAnsi="Arial" w:cs="Arial"/>
                <w:i/>
                <w:iCs/>
                <w:sz w:val="24"/>
                <w:szCs w:val="24"/>
              </w:rPr>
            </w:pPr>
          </w:p>
        </w:tc>
        <w:tc>
          <w:tcPr>
            <w:tcW w:w="338" w:type="pct"/>
            <w:shd w:val="clear" w:color="auto" w:fill="BFBFBF" w:themeFill="background1" w:themeFillShade="BF"/>
            <w:noWrap/>
            <w:vAlign w:val="center"/>
            <w:hideMark/>
          </w:tcPr>
          <w:p w14:paraId="544B6B7B" w14:textId="335FB155" w:rsidR="00C74919" w:rsidRPr="002E5574" w:rsidRDefault="00C74919">
            <w:pPr>
              <w:spacing w:after="0" w:line="240" w:lineRule="auto"/>
              <w:jc w:val="center"/>
              <w:rPr>
                <w:rFonts w:ascii="Arial" w:eastAsia="Times New Roman" w:hAnsi="Arial" w:cs="Arial"/>
                <w:sz w:val="24"/>
                <w:szCs w:val="24"/>
              </w:rPr>
            </w:pPr>
          </w:p>
        </w:tc>
        <w:tc>
          <w:tcPr>
            <w:tcW w:w="368" w:type="pct"/>
            <w:shd w:val="clear" w:color="auto" w:fill="BFBFBF" w:themeFill="background1" w:themeFillShade="BF"/>
          </w:tcPr>
          <w:p w14:paraId="481198A3" w14:textId="77777777" w:rsidR="00C74919" w:rsidRPr="002E5574" w:rsidRDefault="00C74919">
            <w:pPr>
              <w:spacing w:after="0" w:line="240" w:lineRule="auto"/>
              <w:jc w:val="center"/>
              <w:rPr>
                <w:rFonts w:ascii="Arial" w:eastAsia="Times New Roman" w:hAnsi="Arial" w:cs="Arial"/>
                <w:sz w:val="24"/>
                <w:szCs w:val="24"/>
              </w:rPr>
            </w:pPr>
          </w:p>
        </w:tc>
        <w:tc>
          <w:tcPr>
            <w:tcW w:w="384" w:type="pct"/>
            <w:shd w:val="clear" w:color="auto" w:fill="BFBFBF" w:themeFill="background1" w:themeFillShade="BF"/>
          </w:tcPr>
          <w:p w14:paraId="5E96AC0D" w14:textId="77777777" w:rsidR="00C74919" w:rsidRPr="002E5574" w:rsidRDefault="00C74919">
            <w:pPr>
              <w:spacing w:after="0" w:line="240" w:lineRule="auto"/>
              <w:jc w:val="center"/>
              <w:rPr>
                <w:rFonts w:ascii="Arial" w:eastAsia="Times New Roman" w:hAnsi="Arial" w:cs="Arial"/>
                <w:sz w:val="24"/>
                <w:szCs w:val="24"/>
              </w:rPr>
            </w:pPr>
          </w:p>
        </w:tc>
        <w:tc>
          <w:tcPr>
            <w:tcW w:w="465" w:type="pct"/>
            <w:shd w:val="clear" w:color="auto" w:fill="BFBFBF" w:themeFill="background1" w:themeFillShade="BF"/>
            <w:noWrap/>
            <w:vAlign w:val="center"/>
            <w:hideMark/>
          </w:tcPr>
          <w:p w14:paraId="6C673562" w14:textId="4CAB317F" w:rsidR="00C74919" w:rsidRPr="002E5574" w:rsidRDefault="00C74919">
            <w:pPr>
              <w:spacing w:after="0" w:line="240" w:lineRule="auto"/>
              <w:jc w:val="center"/>
              <w:rPr>
                <w:rFonts w:ascii="Arial" w:eastAsia="Times New Roman" w:hAnsi="Arial" w:cs="Arial"/>
                <w:sz w:val="24"/>
                <w:szCs w:val="24"/>
              </w:rPr>
            </w:pPr>
          </w:p>
        </w:tc>
        <w:tc>
          <w:tcPr>
            <w:tcW w:w="343" w:type="pct"/>
            <w:shd w:val="clear" w:color="auto" w:fill="BFBFBF" w:themeFill="background1" w:themeFillShade="BF"/>
            <w:noWrap/>
            <w:vAlign w:val="center"/>
            <w:hideMark/>
          </w:tcPr>
          <w:p w14:paraId="4E77D96D" w14:textId="4761FFBA" w:rsidR="00C74919" w:rsidRPr="002E5574" w:rsidRDefault="00C74919">
            <w:pPr>
              <w:spacing w:after="0" w:line="240" w:lineRule="auto"/>
              <w:jc w:val="center"/>
              <w:rPr>
                <w:rFonts w:ascii="Arial" w:eastAsia="Times New Roman" w:hAnsi="Arial" w:cs="Arial"/>
                <w:sz w:val="24"/>
                <w:szCs w:val="24"/>
              </w:rPr>
            </w:pPr>
          </w:p>
        </w:tc>
        <w:tc>
          <w:tcPr>
            <w:tcW w:w="283" w:type="pct"/>
            <w:noWrap/>
            <w:vAlign w:val="center"/>
            <w:hideMark/>
          </w:tcPr>
          <w:p w14:paraId="66DD08EE" w14:textId="77777777" w:rsidR="00C74919" w:rsidRPr="002E5574" w:rsidRDefault="00C74919">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20</w:t>
            </w:r>
          </w:p>
        </w:tc>
        <w:tc>
          <w:tcPr>
            <w:tcW w:w="383" w:type="pct"/>
            <w:noWrap/>
            <w:vAlign w:val="center"/>
            <w:hideMark/>
          </w:tcPr>
          <w:p w14:paraId="48AC8699" w14:textId="57B4C97C" w:rsidR="00C74919" w:rsidRPr="002E5574" w:rsidRDefault="00C74919" w:rsidP="00CC725F">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w:t>
            </w:r>
            <w:r w:rsidR="00A8529C">
              <w:rPr>
                <w:rFonts w:ascii="Arial" w:eastAsia="Times New Roman" w:hAnsi="Arial" w:cs="Arial"/>
                <w:sz w:val="24"/>
                <w:szCs w:val="24"/>
              </w:rPr>
              <w:t>125,198,901</w:t>
            </w:r>
          </w:p>
        </w:tc>
        <w:tc>
          <w:tcPr>
            <w:tcW w:w="357" w:type="pct"/>
            <w:noWrap/>
            <w:vAlign w:val="center"/>
            <w:hideMark/>
          </w:tcPr>
          <w:p w14:paraId="1DB48A41" w14:textId="4DA27948" w:rsidR="00C74919" w:rsidRPr="002E5574" w:rsidRDefault="00C74919" w:rsidP="00CC725F">
            <w:pPr>
              <w:spacing w:after="0" w:line="240" w:lineRule="auto"/>
              <w:jc w:val="center"/>
              <w:rPr>
                <w:rFonts w:ascii="Arial" w:eastAsia="Times New Roman" w:hAnsi="Arial" w:cs="Arial"/>
                <w:color w:val="000000"/>
                <w:sz w:val="24"/>
                <w:szCs w:val="24"/>
              </w:rPr>
            </w:pPr>
            <w:r w:rsidRPr="002E5574">
              <w:rPr>
                <w:rFonts w:ascii="Arial" w:eastAsia="Times New Roman" w:hAnsi="Arial" w:cs="Arial"/>
                <w:color w:val="000000"/>
                <w:sz w:val="24"/>
                <w:szCs w:val="24"/>
              </w:rPr>
              <w:t>$</w:t>
            </w:r>
            <w:r w:rsidR="00187C8C">
              <w:rPr>
                <w:rFonts w:ascii="Arial" w:eastAsia="Times New Roman" w:hAnsi="Arial" w:cs="Arial"/>
                <w:color w:val="000000"/>
                <w:sz w:val="24"/>
                <w:szCs w:val="24"/>
              </w:rPr>
              <w:t>6,259,945</w:t>
            </w:r>
          </w:p>
        </w:tc>
      </w:tr>
      <w:tr w:rsidR="00D90FC0" w:rsidRPr="002E5574" w14:paraId="2F0660E4" w14:textId="365C4F26" w:rsidTr="00D90FC0">
        <w:trPr>
          <w:trHeight w:val="270"/>
        </w:trPr>
        <w:tc>
          <w:tcPr>
            <w:tcW w:w="345" w:type="pct"/>
            <w:vAlign w:val="center"/>
            <w:hideMark/>
          </w:tcPr>
          <w:p w14:paraId="5B407846" w14:textId="77777777" w:rsidR="002A5CEC" w:rsidRPr="002E5574" w:rsidRDefault="002A5CEC" w:rsidP="002A5CEC">
            <w:pPr>
              <w:spacing w:after="0" w:line="240" w:lineRule="auto"/>
              <w:rPr>
                <w:rFonts w:ascii="Arial" w:eastAsia="Times New Roman" w:hAnsi="Arial" w:cs="Arial"/>
                <w:sz w:val="24"/>
                <w:szCs w:val="24"/>
              </w:rPr>
            </w:pPr>
            <w:r w:rsidRPr="002E5574">
              <w:rPr>
                <w:rFonts w:ascii="Arial" w:eastAsia="Times New Roman" w:hAnsi="Arial" w:cs="Arial"/>
                <w:sz w:val="24"/>
                <w:szCs w:val="24"/>
              </w:rPr>
              <w:t xml:space="preserve">Alternative 1 - Not Adopted </w:t>
            </w:r>
            <w:r w:rsidRPr="002E5574">
              <w:rPr>
                <w:rFonts w:ascii="Arial" w:eastAsia="Times New Roman" w:hAnsi="Arial" w:cs="Arial"/>
                <w:sz w:val="24"/>
                <w:szCs w:val="24"/>
              </w:rPr>
              <w:br/>
              <w:t>(original proposal)</w:t>
            </w:r>
          </w:p>
        </w:tc>
        <w:tc>
          <w:tcPr>
            <w:tcW w:w="280" w:type="pct"/>
            <w:noWrap/>
            <w:vAlign w:val="center"/>
            <w:hideMark/>
          </w:tcPr>
          <w:p w14:paraId="5352FF14" w14:textId="3F108461" w:rsidR="002A5CEC" w:rsidRPr="002E5574" w:rsidRDefault="002A5CEC" w:rsidP="002A5CEC">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$56</w:t>
            </w:r>
          </w:p>
        </w:tc>
        <w:tc>
          <w:tcPr>
            <w:tcW w:w="339" w:type="pct"/>
            <w:noWrap/>
            <w:vAlign w:val="center"/>
            <w:hideMark/>
          </w:tcPr>
          <w:p w14:paraId="32108074" w14:textId="6D13AAD3" w:rsidR="002A5CEC" w:rsidRPr="002E5574" w:rsidRDefault="002A5CEC" w:rsidP="002A5CEC">
            <w:pPr>
              <w:spacing w:after="0" w:line="240" w:lineRule="auto"/>
              <w:jc w:val="center"/>
              <w:rPr>
                <w:rFonts w:ascii="Arial" w:eastAsia="Times New Roman" w:hAnsi="Arial" w:cs="Arial"/>
                <w:sz w:val="24"/>
                <w:szCs w:val="24"/>
              </w:rPr>
            </w:pPr>
            <w:r w:rsidRPr="00A562C7">
              <w:rPr>
                <w:rFonts w:ascii="Arial" w:hAnsi="Arial" w:cs="Arial"/>
                <w:sz w:val="24"/>
                <w:szCs w:val="24"/>
              </w:rPr>
              <w:t>2,346</w:t>
            </w:r>
          </w:p>
        </w:tc>
        <w:tc>
          <w:tcPr>
            <w:tcW w:w="360" w:type="pct"/>
            <w:noWrap/>
            <w:vAlign w:val="center"/>
            <w:hideMark/>
          </w:tcPr>
          <w:p w14:paraId="3E1CA1FB" w14:textId="268D6188" w:rsidR="002A5CEC" w:rsidRPr="002E5574" w:rsidRDefault="002A5CEC" w:rsidP="002A5CEC">
            <w:pPr>
              <w:spacing w:after="0" w:line="240" w:lineRule="auto"/>
              <w:jc w:val="center"/>
              <w:rPr>
                <w:rFonts w:ascii="Arial" w:eastAsia="Times New Roman" w:hAnsi="Arial" w:cs="Arial"/>
                <w:sz w:val="24"/>
                <w:szCs w:val="24"/>
              </w:rPr>
            </w:pPr>
            <w:r w:rsidRPr="00A562C7">
              <w:rPr>
                <w:rFonts w:ascii="Arial" w:hAnsi="Arial" w:cs="Arial"/>
                <w:sz w:val="24"/>
                <w:szCs w:val="24"/>
              </w:rPr>
              <w:t>7,194</w:t>
            </w:r>
          </w:p>
        </w:tc>
        <w:tc>
          <w:tcPr>
            <w:tcW w:w="380" w:type="pct"/>
            <w:noWrap/>
            <w:vAlign w:val="center"/>
            <w:hideMark/>
          </w:tcPr>
          <w:p w14:paraId="0425A2BC" w14:textId="77777777" w:rsidR="002A5CEC" w:rsidRDefault="002A5CEC" w:rsidP="002A5CEC">
            <w:pPr>
              <w:spacing w:after="0" w:line="240" w:lineRule="auto"/>
              <w:jc w:val="center"/>
              <w:rPr>
                <w:rFonts w:ascii="Arial" w:hAnsi="Arial" w:cs="Arial"/>
                <w:sz w:val="24"/>
                <w:szCs w:val="24"/>
              </w:rPr>
            </w:pPr>
            <w:r w:rsidRPr="00A562C7">
              <w:rPr>
                <w:rFonts w:ascii="Arial" w:hAnsi="Arial" w:cs="Arial"/>
                <w:sz w:val="24"/>
                <w:szCs w:val="24"/>
              </w:rPr>
              <w:t xml:space="preserve">Negligible </w:t>
            </w:r>
          </w:p>
          <w:p w14:paraId="6B7EEABB" w14:textId="18E36212" w:rsidR="002A5CEC" w:rsidRPr="002E5574" w:rsidRDefault="002A5CEC" w:rsidP="002A5CEC">
            <w:pPr>
              <w:spacing w:after="0" w:line="240" w:lineRule="auto"/>
              <w:jc w:val="center"/>
              <w:rPr>
                <w:rFonts w:ascii="Arial" w:eastAsia="Times New Roman" w:hAnsi="Arial" w:cs="Arial"/>
                <w:sz w:val="24"/>
                <w:szCs w:val="24"/>
              </w:rPr>
            </w:pPr>
            <w:r w:rsidRPr="00A562C7">
              <w:rPr>
                <w:rFonts w:ascii="Arial" w:hAnsi="Arial" w:cs="Arial"/>
                <w:sz w:val="24"/>
                <w:szCs w:val="24"/>
              </w:rPr>
              <w:t xml:space="preserve">Cost </w:t>
            </w:r>
            <w:r w:rsidRPr="00A562C7">
              <w:rPr>
                <w:rFonts w:ascii="Arial" w:hAnsi="Arial" w:cs="Arial"/>
                <w:sz w:val="24"/>
                <w:szCs w:val="24"/>
              </w:rPr>
              <w:br/>
              <w:t xml:space="preserve">Savings </w:t>
            </w:r>
            <w:r w:rsidR="00A8529C" w:rsidRPr="00A562C7">
              <w:rPr>
                <w:rFonts w:ascii="Arial" w:hAnsi="Arial" w:cs="Arial"/>
                <w:sz w:val="24"/>
                <w:szCs w:val="24"/>
                <w:vertAlign w:val="superscript"/>
              </w:rPr>
              <w:t>f</w:t>
            </w:r>
            <w:r w:rsidRPr="00A562C7">
              <w:rPr>
                <w:rFonts w:ascii="Arial" w:hAnsi="Arial" w:cs="Arial"/>
                <w:sz w:val="24"/>
                <w:szCs w:val="24"/>
              </w:rPr>
              <w:t xml:space="preserve"> </w:t>
            </w:r>
            <w:r w:rsidRPr="00A562C7">
              <w:rPr>
                <w:rFonts w:ascii="Arial" w:hAnsi="Arial" w:cs="Arial"/>
                <w:sz w:val="24"/>
                <w:szCs w:val="24"/>
              </w:rPr>
              <w:br/>
              <w:t>(- 2, 346)</w:t>
            </w:r>
          </w:p>
        </w:tc>
        <w:tc>
          <w:tcPr>
            <w:tcW w:w="375" w:type="pct"/>
            <w:noWrap/>
            <w:vAlign w:val="center"/>
            <w:hideMark/>
          </w:tcPr>
          <w:p w14:paraId="7EFFEBE2" w14:textId="663600D6" w:rsidR="002A5CEC" w:rsidRPr="002E5574" w:rsidRDefault="002A5CEC" w:rsidP="002A5CEC">
            <w:pPr>
              <w:spacing w:after="0" w:line="240" w:lineRule="auto"/>
              <w:jc w:val="center"/>
              <w:rPr>
                <w:rFonts w:ascii="Arial" w:eastAsia="Times New Roman" w:hAnsi="Arial" w:cs="Arial"/>
                <w:sz w:val="24"/>
                <w:szCs w:val="24"/>
              </w:rPr>
            </w:pPr>
            <w:r w:rsidRPr="00A562C7">
              <w:rPr>
                <w:rFonts w:ascii="Arial" w:hAnsi="Arial" w:cs="Arial"/>
                <w:sz w:val="24"/>
                <w:szCs w:val="24"/>
              </w:rPr>
              <w:t xml:space="preserve">Negligible </w:t>
            </w:r>
            <w:r w:rsidRPr="00A562C7">
              <w:rPr>
                <w:rFonts w:ascii="Arial" w:hAnsi="Arial" w:cs="Arial"/>
                <w:sz w:val="24"/>
                <w:szCs w:val="24"/>
              </w:rPr>
              <w:br/>
              <w:t>Cost</w:t>
            </w:r>
            <w:r w:rsidRPr="00A562C7">
              <w:rPr>
                <w:rFonts w:ascii="Arial" w:hAnsi="Arial" w:cs="Arial"/>
                <w:sz w:val="24"/>
                <w:szCs w:val="24"/>
              </w:rPr>
              <w:br/>
              <w:t>Savings</w:t>
            </w:r>
            <w:r w:rsidR="00A8529C">
              <w:rPr>
                <w:rFonts w:ascii="Arial" w:hAnsi="Arial" w:cs="Arial"/>
                <w:sz w:val="24"/>
                <w:szCs w:val="24"/>
              </w:rPr>
              <w:t xml:space="preserve"> </w:t>
            </w:r>
            <w:r w:rsidR="00A8529C" w:rsidRPr="00A562C7">
              <w:rPr>
                <w:rFonts w:ascii="Arial" w:hAnsi="Arial" w:cs="Arial"/>
                <w:sz w:val="24"/>
                <w:szCs w:val="24"/>
                <w:vertAlign w:val="superscript"/>
              </w:rPr>
              <w:t>g</w:t>
            </w:r>
            <w:r w:rsidRPr="00A562C7">
              <w:rPr>
                <w:rFonts w:ascii="Arial" w:hAnsi="Arial" w:cs="Arial"/>
                <w:sz w:val="24"/>
                <w:szCs w:val="24"/>
              </w:rPr>
              <w:br/>
              <w:t xml:space="preserve"> (-7,194)</w:t>
            </w:r>
          </w:p>
        </w:tc>
        <w:tc>
          <w:tcPr>
            <w:tcW w:w="338" w:type="pct"/>
            <w:noWrap/>
            <w:vAlign w:val="center"/>
            <w:hideMark/>
          </w:tcPr>
          <w:p w14:paraId="3B09494B" w14:textId="40CB09B4" w:rsidR="002A5CEC" w:rsidRPr="002E5574" w:rsidRDefault="002A5CEC" w:rsidP="002A5CEC">
            <w:pPr>
              <w:spacing w:after="0" w:line="240" w:lineRule="auto"/>
              <w:jc w:val="center"/>
              <w:rPr>
                <w:rFonts w:ascii="Arial" w:eastAsia="Times New Roman" w:hAnsi="Arial" w:cs="Arial"/>
                <w:sz w:val="24"/>
                <w:szCs w:val="24"/>
              </w:rPr>
            </w:pPr>
            <w:r w:rsidRPr="00A562C7">
              <w:rPr>
                <w:rFonts w:ascii="Arial" w:hAnsi="Arial" w:cs="Arial"/>
                <w:sz w:val="24"/>
                <w:szCs w:val="24"/>
              </w:rPr>
              <w:t>28,776</w:t>
            </w:r>
          </w:p>
        </w:tc>
        <w:tc>
          <w:tcPr>
            <w:tcW w:w="368" w:type="pct"/>
            <w:vAlign w:val="center"/>
          </w:tcPr>
          <w:p w14:paraId="7E006D2A" w14:textId="510E7F17" w:rsidR="002A5CEC" w:rsidRPr="002A5CEC" w:rsidRDefault="002A5CEC" w:rsidP="002A5CEC">
            <w:pPr>
              <w:spacing w:after="0" w:line="240" w:lineRule="auto"/>
              <w:jc w:val="center"/>
              <w:rPr>
                <w:rFonts w:ascii="Arial" w:eastAsia="Times New Roman" w:hAnsi="Arial" w:cs="Arial"/>
                <w:sz w:val="24"/>
                <w:szCs w:val="24"/>
              </w:rPr>
            </w:pPr>
            <w:r w:rsidRPr="00A562C7">
              <w:rPr>
                <w:rFonts w:ascii="Arial" w:hAnsi="Arial" w:cs="Arial"/>
                <w:sz w:val="24"/>
                <w:szCs w:val="24"/>
              </w:rPr>
              <w:t>$1,611,456</w:t>
            </w:r>
          </w:p>
        </w:tc>
        <w:tc>
          <w:tcPr>
            <w:tcW w:w="384" w:type="pct"/>
            <w:vAlign w:val="center"/>
          </w:tcPr>
          <w:p w14:paraId="5E5FE7B5" w14:textId="77777777" w:rsidR="00A8529C" w:rsidRDefault="002A5CEC" w:rsidP="002A5CEC">
            <w:pPr>
              <w:spacing w:after="0" w:line="240" w:lineRule="auto"/>
              <w:jc w:val="center"/>
              <w:rPr>
                <w:rFonts w:ascii="Arial" w:hAnsi="Arial" w:cs="Arial"/>
                <w:sz w:val="24"/>
                <w:szCs w:val="24"/>
              </w:rPr>
            </w:pPr>
            <w:r w:rsidRPr="00A562C7">
              <w:rPr>
                <w:rFonts w:ascii="Arial" w:hAnsi="Arial" w:cs="Arial"/>
                <w:sz w:val="24"/>
                <w:szCs w:val="24"/>
              </w:rPr>
              <w:t xml:space="preserve">Negligible Cost </w:t>
            </w:r>
          </w:p>
          <w:p w14:paraId="7B1E5F6C" w14:textId="4A0935C0" w:rsidR="002A5CEC" w:rsidRPr="002A5CEC" w:rsidRDefault="002A5CEC" w:rsidP="002A5CEC">
            <w:pPr>
              <w:spacing w:after="0" w:line="240" w:lineRule="auto"/>
              <w:jc w:val="center"/>
              <w:rPr>
                <w:rFonts w:ascii="Arial" w:eastAsia="Times New Roman" w:hAnsi="Arial" w:cs="Arial"/>
                <w:sz w:val="24"/>
                <w:szCs w:val="24"/>
              </w:rPr>
            </w:pPr>
            <w:r w:rsidRPr="00A562C7">
              <w:rPr>
                <w:rFonts w:ascii="Arial" w:hAnsi="Arial" w:cs="Arial"/>
                <w:sz w:val="24"/>
                <w:szCs w:val="24"/>
              </w:rPr>
              <w:t>Savings</w:t>
            </w:r>
            <w:r w:rsidR="00A8529C">
              <w:rPr>
                <w:rFonts w:ascii="Arial" w:hAnsi="Arial" w:cs="Arial"/>
                <w:sz w:val="24"/>
                <w:szCs w:val="24"/>
              </w:rPr>
              <w:t xml:space="preserve"> </w:t>
            </w:r>
            <w:r w:rsidR="00A8529C" w:rsidRPr="00A562C7">
              <w:rPr>
                <w:rFonts w:ascii="Arial" w:hAnsi="Arial" w:cs="Arial"/>
                <w:sz w:val="24"/>
                <w:szCs w:val="24"/>
                <w:vertAlign w:val="superscript"/>
              </w:rPr>
              <w:t>g</w:t>
            </w:r>
          </w:p>
        </w:tc>
        <w:tc>
          <w:tcPr>
            <w:tcW w:w="465" w:type="pct"/>
            <w:noWrap/>
            <w:vAlign w:val="center"/>
          </w:tcPr>
          <w:p w14:paraId="6E4D9663" w14:textId="484010D0" w:rsidR="002A5CEC" w:rsidRPr="002E5574" w:rsidRDefault="002A5CEC" w:rsidP="002A5CEC">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$1,</w:t>
            </w:r>
            <w:r>
              <w:rPr>
                <w:rFonts w:ascii="Arial" w:eastAsia="Times New Roman" w:hAnsi="Arial" w:cs="Arial"/>
                <w:sz w:val="24"/>
                <w:szCs w:val="24"/>
              </w:rPr>
              <w:t>611,456</w:t>
            </w:r>
          </w:p>
        </w:tc>
        <w:tc>
          <w:tcPr>
            <w:tcW w:w="343" w:type="pct"/>
            <w:noWrap/>
            <w:vAlign w:val="center"/>
            <w:hideMark/>
          </w:tcPr>
          <w:p w14:paraId="318F537E" w14:textId="77D52F05" w:rsidR="002A5CEC" w:rsidRPr="002E5574" w:rsidRDefault="002A5CEC" w:rsidP="002A5CEC">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$1,</w:t>
            </w:r>
            <w:r>
              <w:rPr>
                <w:rFonts w:ascii="Arial" w:eastAsia="Times New Roman" w:hAnsi="Arial" w:cs="Arial"/>
                <w:sz w:val="24"/>
                <w:szCs w:val="24"/>
              </w:rPr>
              <w:t>318</w:t>
            </w:r>
            <w:r w:rsidRPr="002E5574">
              <w:rPr>
                <w:rFonts w:ascii="Arial" w:eastAsia="Times New Roman" w:hAnsi="Arial" w:cs="Arial"/>
                <w:sz w:val="24"/>
                <w:szCs w:val="24"/>
              </w:rPr>
              <w:t>,</w:t>
            </w:r>
            <w:r>
              <w:rPr>
                <w:rFonts w:ascii="Arial" w:eastAsia="Times New Roman" w:hAnsi="Arial" w:cs="Arial"/>
                <w:sz w:val="24"/>
                <w:szCs w:val="24"/>
              </w:rPr>
              <w:t>557</w:t>
            </w:r>
          </w:p>
        </w:tc>
        <w:tc>
          <w:tcPr>
            <w:tcW w:w="283" w:type="pct"/>
            <w:noWrap/>
            <w:vAlign w:val="center"/>
            <w:hideMark/>
          </w:tcPr>
          <w:p w14:paraId="6282E89B" w14:textId="77777777" w:rsidR="002A5CEC" w:rsidRPr="002E5574" w:rsidRDefault="002A5CEC" w:rsidP="002A5CEC">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20</w:t>
            </w:r>
          </w:p>
        </w:tc>
        <w:tc>
          <w:tcPr>
            <w:tcW w:w="383" w:type="pct"/>
            <w:noWrap/>
            <w:vAlign w:val="center"/>
            <w:hideMark/>
          </w:tcPr>
          <w:p w14:paraId="5322685C" w14:textId="460EB7C2" w:rsidR="002A5CEC" w:rsidRPr="002E5574" w:rsidRDefault="002A5CEC" w:rsidP="002A5CEC">
            <w:pPr>
              <w:spacing w:after="0" w:line="240" w:lineRule="auto"/>
              <w:jc w:val="center"/>
              <w:rPr>
                <w:rFonts w:ascii="Arial" w:eastAsia="Times New Roman" w:hAnsi="Arial" w:cs="Arial"/>
                <w:sz w:val="24"/>
                <w:szCs w:val="24"/>
              </w:rPr>
            </w:pPr>
            <w:r w:rsidRPr="002E5574">
              <w:rPr>
                <w:rFonts w:ascii="Arial" w:eastAsia="Times New Roman" w:hAnsi="Arial" w:cs="Arial"/>
                <w:sz w:val="24"/>
                <w:szCs w:val="24"/>
              </w:rPr>
              <w:t>$</w:t>
            </w:r>
            <w:r w:rsidR="00A8529C">
              <w:rPr>
                <w:rFonts w:ascii="Arial" w:eastAsia="Times New Roman" w:hAnsi="Arial" w:cs="Arial"/>
                <w:sz w:val="24"/>
                <w:szCs w:val="24"/>
              </w:rPr>
              <w:t>32,229,120</w:t>
            </w:r>
          </w:p>
        </w:tc>
        <w:tc>
          <w:tcPr>
            <w:tcW w:w="357" w:type="pct"/>
            <w:noWrap/>
            <w:vAlign w:val="center"/>
            <w:hideMark/>
          </w:tcPr>
          <w:p w14:paraId="6A0A7A65" w14:textId="3DAC709C" w:rsidR="002A5CEC" w:rsidRPr="002E5574" w:rsidRDefault="00A8529C" w:rsidP="002A5CEC">
            <w:pPr>
              <w:spacing w:after="0" w:line="240" w:lineRule="auto"/>
              <w:jc w:val="center"/>
              <w:rPr>
                <w:rFonts w:ascii="Arial" w:eastAsia="Times New Roman" w:hAnsi="Arial" w:cs="Arial"/>
                <w:color w:val="000000"/>
                <w:sz w:val="24"/>
                <w:szCs w:val="24"/>
              </w:rPr>
            </w:pPr>
            <w:r w:rsidRPr="002E5574">
              <w:rPr>
                <w:rFonts w:ascii="Arial" w:eastAsia="Times New Roman" w:hAnsi="Arial" w:cs="Arial"/>
                <w:sz w:val="24"/>
                <w:szCs w:val="24"/>
              </w:rPr>
              <w:t>$1,</w:t>
            </w:r>
            <w:r>
              <w:rPr>
                <w:rFonts w:ascii="Arial" w:eastAsia="Times New Roman" w:hAnsi="Arial" w:cs="Arial"/>
                <w:sz w:val="24"/>
                <w:szCs w:val="24"/>
              </w:rPr>
              <w:t>611,456</w:t>
            </w:r>
          </w:p>
        </w:tc>
      </w:tr>
    </w:tbl>
    <w:p w14:paraId="4E77F050" w14:textId="275D7CC6" w:rsidR="00663F00" w:rsidRPr="002E5574" w:rsidRDefault="00663F00" w:rsidP="005B02FC">
      <w:pPr>
        <w:pStyle w:val="Default"/>
        <w:numPr>
          <w:ilvl w:val="0"/>
          <w:numId w:val="18"/>
        </w:numPr>
        <w:ind w:left="-180"/>
        <w:rPr>
          <w:rFonts w:ascii="Arial" w:hAnsi="Arial" w:cs="Arial"/>
        </w:rPr>
      </w:pPr>
      <w:r w:rsidRPr="002E5574">
        <w:rPr>
          <w:rFonts w:ascii="Arial" w:hAnsi="Arial" w:cs="Arial"/>
        </w:rPr>
        <w:t xml:space="preserve">Current Regulation (DLR = 0.004 mg/l) </w:t>
      </w:r>
    </w:p>
    <w:p w14:paraId="4D9AB22D" w14:textId="5E2BB97E" w:rsidR="005F43B0" w:rsidRPr="002E5574" w:rsidRDefault="005F43B0" w:rsidP="005B02FC">
      <w:pPr>
        <w:pStyle w:val="Default"/>
        <w:numPr>
          <w:ilvl w:val="0"/>
          <w:numId w:val="18"/>
        </w:numPr>
        <w:ind w:left="-180"/>
        <w:rPr>
          <w:rFonts w:ascii="Arial" w:hAnsi="Arial" w:cs="Arial"/>
        </w:rPr>
      </w:pPr>
      <w:r w:rsidRPr="002E5574">
        <w:rPr>
          <w:rFonts w:ascii="Arial" w:hAnsi="Arial" w:cs="Arial"/>
        </w:rPr>
        <w:t>Adopted Regulation (DLR = 0.002 mg/l; approval through 12/31/2023)</w:t>
      </w:r>
    </w:p>
    <w:p w14:paraId="7A804633" w14:textId="77777777" w:rsidR="005F43B0" w:rsidRPr="002E5574" w:rsidRDefault="005F43B0" w:rsidP="005B02FC">
      <w:pPr>
        <w:pStyle w:val="Default"/>
        <w:numPr>
          <w:ilvl w:val="0"/>
          <w:numId w:val="18"/>
        </w:numPr>
        <w:ind w:left="-180"/>
        <w:rPr>
          <w:rFonts w:ascii="Arial" w:hAnsi="Arial" w:cs="Arial"/>
        </w:rPr>
      </w:pPr>
      <w:r w:rsidRPr="002E5574">
        <w:rPr>
          <w:rFonts w:ascii="Arial" w:hAnsi="Arial" w:cs="Arial"/>
        </w:rPr>
        <w:t>Adopted Regulation (DLR = 0.001 mg/l; /1/2024 forward)</w:t>
      </w:r>
    </w:p>
    <w:p w14:paraId="78DD5206" w14:textId="78FA1F23" w:rsidR="00BE193D" w:rsidRPr="002E5574" w:rsidRDefault="00BE193D" w:rsidP="005B02FC">
      <w:pPr>
        <w:pStyle w:val="Default"/>
        <w:numPr>
          <w:ilvl w:val="0"/>
          <w:numId w:val="18"/>
        </w:numPr>
        <w:ind w:left="-180"/>
        <w:rPr>
          <w:rFonts w:ascii="Arial" w:hAnsi="Arial" w:cs="Arial"/>
        </w:rPr>
      </w:pPr>
      <w:r w:rsidRPr="002E5574">
        <w:rPr>
          <w:rFonts w:ascii="Arial" w:hAnsi="Arial" w:cs="Arial"/>
        </w:rPr>
        <w:t>Conservatively assumes all sources are groundwater</w:t>
      </w:r>
    </w:p>
    <w:p w14:paraId="04939C27" w14:textId="5FFA3245" w:rsidR="00BE193D" w:rsidRPr="005B02FC" w:rsidRDefault="007951C4" w:rsidP="00A8529C">
      <w:pPr>
        <w:pStyle w:val="Default"/>
        <w:numPr>
          <w:ilvl w:val="0"/>
          <w:numId w:val="18"/>
        </w:numPr>
        <w:ind w:left="-180"/>
        <w:rPr>
          <w:rFonts w:ascii="Arial" w:hAnsi="Arial" w:cs="Arial"/>
        </w:rPr>
      </w:pPr>
      <w:r w:rsidRPr="00CC725F">
        <w:rPr>
          <w:rFonts w:ascii="Arial" w:eastAsia="Times New Roman" w:hAnsi="Arial" w:cs="Arial"/>
        </w:rPr>
        <w:t>(</w:t>
      </w:r>
      <w:r w:rsidR="00BE193D" w:rsidRPr="002E5574">
        <w:rPr>
          <w:rFonts w:ascii="Arial" w:eastAsia="Times New Roman" w:hAnsi="Arial" w:cs="Arial"/>
        </w:rPr>
        <w:t xml:space="preserve">sources </w:t>
      </w:r>
      <w:r w:rsidR="00663F00" w:rsidRPr="00CC725F">
        <w:rPr>
          <w:rFonts w:ascii="Arial" w:eastAsia="Times New Roman" w:hAnsi="Arial" w:cs="Arial"/>
        </w:rPr>
        <w:t>with</w:t>
      </w:r>
      <w:r w:rsidR="00BE193D" w:rsidRPr="002E5574">
        <w:rPr>
          <w:rFonts w:ascii="Arial" w:eastAsia="Times New Roman" w:hAnsi="Arial" w:cs="Arial"/>
        </w:rPr>
        <w:t xml:space="preserve"> quarterly monitoring x 4 samples per year)</w:t>
      </w:r>
      <w:r w:rsidRPr="00CC725F">
        <w:rPr>
          <w:rFonts w:ascii="Arial" w:eastAsia="Times New Roman" w:hAnsi="Arial" w:cs="Arial"/>
        </w:rPr>
        <w:t xml:space="preserve"> </w:t>
      </w:r>
      <w:r w:rsidR="00BE193D" w:rsidRPr="002E5574">
        <w:rPr>
          <w:rFonts w:ascii="Arial" w:eastAsia="Times New Roman" w:hAnsi="Arial" w:cs="Arial"/>
        </w:rPr>
        <w:t>+</w:t>
      </w:r>
      <w:r w:rsidRPr="00CC725F">
        <w:rPr>
          <w:rFonts w:ascii="Arial" w:eastAsia="Times New Roman" w:hAnsi="Arial" w:cs="Arial"/>
        </w:rPr>
        <w:t xml:space="preserve"> </w:t>
      </w:r>
      <w:r w:rsidR="00BE193D" w:rsidRPr="002E5574">
        <w:rPr>
          <w:rFonts w:ascii="Arial" w:eastAsia="Times New Roman" w:hAnsi="Arial" w:cs="Arial"/>
        </w:rPr>
        <w:t xml:space="preserve">(sources </w:t>
      </w:r>
      <w:r w:rsidR="00663F00" w:rsidRPr="00CC725F">
        <w:rPr>
          <w:rFonts w:ascii="Arial" w:eastAsia="Times New Roman" w:hAnsi="Arial" w:cs="Arial"/>
        </w:rPr>
        <w:t>with monitoring</w:t>
      </w:r>
      <w:r w:rsidR="00BE193D" w:rsidRPr="002E5574">
        <w:rPr>
          <w:rFonts w:ascii="Arial" w:eastAsia="Times New Roman" w:hAnsi="Arial" w:cs="Arial"/>
        </w:rPr>
        <w:t xml:space="preserve"> once every three years divided by 3)</w:t>
      </w:r>
    </w:p>
    <w:p w14:paraId="1C675E34" w14:textId="38376501" w:rsidR="00A8529C" w:rsidRDefault="00A8529C" w:rsidP="00A8529C">
      <w:pPr>
        <w:pStyle w:val="Default"/>
        <w:numPr>
          <w:ilvl w:val="0"/>
          <w:numId w:val="18"/>
        </w:numPr>
        <w:ind w:left="-180"/>
        <w:rPr>
          <w:rFonts w:ascii="Arial" w:hAnsi="Arial" w:cs="Arial"/>
        </w:rPr>
      </w:pPr>
      <w:r w:rsidRPr="00A8529C">
        <w:rPr>
          <w:rFonts w:ascii="Arial" w:hAnsi="Arial" w:cs="Arial"/>
        </w:rPr>
        <w:t xml:space="preserve">PWS that </w:t>
      </w:r>
      <w:r w:rsidR="000430AF">
        <w:rPr>
          <w:rFonts w:ascii="Arial" w:hAnsi="Arial" w:cs="Arial"/>
        </w:rPr>
        <w:t xml:space="preserve">are </w:t>
      </w:r>
      <w:r>
        <w:rPr>
          <w:rFonts w:ascii="Arial" w:hAnsi="Arial" w:cs="Arial"/>
        </w:rPr>
        <w:t>subject to</w:t>
      </w:r>
      <w:r w:rsidRPr="00A8529C">
        <w:rPr>
          <w:rFonts w:ascii="Arial" w:hAnsi="Arial" w:cs="Arial"/>
        </w:rPr>
        <w:t xml:space="preserve"> new costs as the result of </w:t>
      </w:r>
      <w:r w:rsidR="000430AF">
        <w:rPr>
          <w:rFonts w:ascii="Arial" w:hAnsi="Arial" w:cs="Arial"/>
        </w:rPr>
        <w:t xml:space="preserve">being moved from routine </w:t>
      </w:r>
      <w:r w:rsidR="00F523BF">
        <w:rPr>
          <w:rFonts w:ascii="Arial" w:hAnsi="Arial" w:cs="Arial"/>
        </w:rPr>
        <w:t xml:space="preserve">(once per three years) </w:t>
      </w:r>
      <w:r w:rsidR="000430AF">
        <w:rPr>
          <w:rFonts w:ascii="Arial" w:hAnsi="Arial" w:cs="Arial"/>
        </w:rPr>
        <w:t xml:space="preserve">monitoring to quarterly monitoring </w:t>
      </w:r>
    </w:p>
    <w:p w14:paraId="22AF8396" w14:textId="402AAF54" w:rsidR="000430AF" w:rsidRDefault="00A8529C" w:rsidP="000430AF">
      <w:pPr>
        <w:pStyle w:val="Default"/>
        <w:numPr>
          <w:ilvl w:val="0"/>
          <w:numId w:val="18"/>
        </w:numPr>
        <w:ind w:left="-180"/>
        <w:rPr>
          <w:rFonts w:ascii="Arial" w:hAnsi="Arial" w:cs="Arial"/>
        </w:rPr>
      </w:pPr>
      <w:r w:rsidRPr="00A8529C">
        <w:rPr>
          <w:rFonts w:ascii="Arial" w:hAnsi="Arial" w:cs="Arial"/>
        </w:rPr>
        <w:t xml:space="preserve">Sources </w:t>
      </w:r>
      <w:r w:rsidR="000430AF" w:rsidRPr="00A8529C">
        <w:rPr>
          <w:rFonts w:ascii="Arial" w:hAnsi="Arial" w:cs="Arial"/>
        </w:rPr>
        <w:t xml:space="preserve">that </w:t>
      </w:r>
      <w:r w:rsidR="000430AF">
        <w:rPr>
          <w:rFonts w:ascii="Arial" w:hAnsi="Arial" w:cs="Arial"/>
        </w:rPr>
        <w:t>are subject to</w:t>
      </w:r>
      <w:r w:rsidR="000430AF" w:rsidRPr="00A8529C">
        <w:rPr>
          <w:rFonts w:ascii="Arial" w:hAnsi="Arial" w:cs="Arial"/>
        </w:rPr>
        <w:t xml:space="preserve"> new costs as the result of </w:t>
      </w:r>
      <w:r w:rsidR="000430AF">
        <w:rPr>
          <w:rFonts w:ascii="Arial" w:hAnsi="Arial" w:cs="Arial"/>
        </w:rPr>
        <w:t xml:space="preserve">being moved from routine </w:t>
      </w:r>
      <w:r w:rsidR="00F523BF">
        <w:rPr>
          <w:rFonts w:ascii="Arial" w:hAnsi="Arial" w:cs="Arial"/>
        </w:rPr>
        <w:t xml:space="preserve">(once per three years) </w:t>
      </w:r>
      <w:r w:rsidR="000430AF">
        <w:rPr>
          <w:rFonts w:ascii="Arial" w:hAnsi="Arial" w:cs="Arial"/>
        </w:rPr>
        <w:t>monitoring to quarterly monitoring</w:t>
      </w:r>
    </w:p>
    <w:p w14:paraId="36D4BCF8" w14:textId="764BC78A" w:rsidR="00C903D6" w:rsidRPr="002E5574" w:rsidRDefault="00C903D6" w:rsidP="003C7DB4">
      <w:pPr>
        <w:pStyle w:val="Default"/>
        <w:spacing w:after="240"/>
        <w:ind w:left="-810"/>
        <w:rPr>
          <w:rFonts w:ascii="Arial" w:hAnsi="Arial" w:cs="Arial"/>
        </w:rPr>
      </w:pPr>
    </w:p>
    <w:p w14:paraId="06717964" w14:textId="77777777" w:rsidR="007951C4" w:rsidRPr="002E5574" w:rsidRDefault="007951C4" w:rsidP="00D90FC0">
      <w:pPr>
        <w:pStyle w:val="Default"/>
        <w:spacing w:after="240"/>
        <w:rPr>
          <w:rFonts w:ascii="Arial" w:hAnsi="Arial" w:cs="Arial"/>
        </w:rPr>
        <w:sectPr w:rsidR="007951C4" w:rsidRPr="002E5574" w:rsidSect="00CC725F">
          <w:pgSz w:w="24480" w:h="15840" w:orient="landscape" w:code="3"/>
          <w:pgMar w:top="1166" w:right="1440" w:bottom="994" w:left="1267" w:header="720" w:footer="720" w:gutter="0"/>
          <w:cols w:space="720"/>
          <w:docGrid w:linePitch="360"/>
        </w:sectPr>
      </w:pPr>
    </w:p>
    <w:p w14:paraId="2C0CEF44" w14:textId="061F53BC" w:rsidR="00B40958" w:rsidRPr="00CC725F" w:rsidRDefault="00B40958">
      <w:pPr>
        <w:pStyle w:val="Default"/>
        <w:spacing w:after="240"/>
        <w:rPr>
          <w:rFonts w:ascii="Arial" w:hAnsi="Arial" w:cs="Arial"/>
        </w:rPr>
      </w:pPr>
      <w:r w:rsidRPr="002E5574">
        <w:rPr>
          <w:rFonts w:ascii="Arial" w:hAnsi="Arial" w:cs="Arial"/>
        </w:rPr>
        <w:lastRenderedPageBreak/>
        <w:t xml:space="preserve">Table </w:t>
      </w:r>
      <w:r w:rsidR="00CC725F">
        <w:rPr>
          <w:rFonts w:ascii="Arial" w:hAnsi="Arial" w:cs="Arial"/>
        </w:rPr>
        <w:t>II</w:t>
      </w:r>
      <w:r w:rsidR="00872078">
        <w:rPr>
          <w:rFonts w:ascii="Arial" w:hAnsi="Arial" w:cs="Arial"/>
        </w:rPr>
        <w:t>I</w:t>
      </w:r>
      <w:r w:rsidR="00CC725F" w:rsidRPr="002E5574">
        <w:rPr>
          <w:rFonts w:ascii="Arial" w:hAnsi="Arial" w:cs="Arial"/>
        </w:rPr>
        <w:t xml:space="preserve"> </w:t>
      </w:r>
      <w:r w:rsidR="00C903D6" w:rsidRPr="002E5574">
        <w:rPr>
          <w:rFonts w:ascii="Arial" w:hAnsi="Arial" w:cs="Arial"/>
        </w:rPr>
        <w:t xml:space="preserve">– </w:t>
      </w:r>
      <w:r w:rsidR="00AE3AEB">
        <w:rPr>
          <w:rFonts w:ascii="Arial" w:hAnsi="Arial" w:cs="Arial"/>
        </w:rPr>
        <w:t>Breakdown of Costs</w:t>
      </w:r>
    </w:p>
    <w:tbl>
      <w:tblPr>
        <w:tblStyle w:val="TableGrid"/>
        <w:tblW w:w="4879" w:type="pct"/>
        <w:tblLook w:val="04A0" w:firstRow="1" w:lastRow="0" w:firstColumn="1" w:lastColumn="0" w:noHBand="0" w:noVBand="1"/>
      </w:tblPr>
      <w:tblGrid>
        <w:gridCol w:w="2310"/>
        <w:gridCol w:w="1735"/>
        <w:gridCol w:w="1499"/>
        <w:gridCol w:w="1977"/>
        <w:gridCol w:w="1835"/>
        <w:gridCol w:w="2766"/>
        <w:gridCol w:w="2363"/>
        <w:gridCol w:w="2951"/>
        <w:gridCol w:w="2818"/>
        <w:gridCol w:w="1203"/>
      </w:tblGrid>
      <w:tr w:rsidR="008705D8" w:rsidRPr="002E5574" w14:paraId="4140550F" w14:textId="77777777" w:rsidTr="008705D8">
        <w:trPr>
          <w:trHeight w:val="600"/>
        </w:trPr>
        <w:tc>
          <w:tcPr>
            <w:tcW w:w="543" w:type="pct"/>
            <w:shd w:val="clear" w:color="auto" w:fill="BFBFBF" w:themeFill="background1" w:themeFillShade="BF"/>
            <w:noWrap/>
            <w:vAlign w:val="center"/>
            <w:hideMark/>
          </w:tcPr>
          <w:p w14:paraId="326B9AB0" w14:textId="77777777" w:rsidR="003C7DB4" w:rsidRPr="00CC725F" w:rsidRDefault="003C7DB4" w:rsidP="00CC725F">
            <w:pPr>
              <w:spacing w:after="120" w:line="240" w:lineRule="auto"/>
              <w:rPr>
                <w:rFonts w:ascii="Arial" w:eastAsia="Times New Roman" w:hAnsi="Arial" w:cs="Arial"/>
                <w:sz w:val="24"/>
                <w:szCs w:val="24"/>
              </w:rPr>
            </w:pPr>
            <w:r w:rsidRPr="00CC725F">
              <w:rPr>
                <w:rFonts w:ascii="Arial" w:eastAsia="Times New Roman" w:hAnsi="Arial" w:cs="Arial"/>
                <w:sz w:val="24"/>
                <w:szCs w:val="24"/>
              </w:rPr>
              <w:t> </w:t>
            </w:r>
          </w:p>
        </w:tc>
        <w:tc>
          <w:tcPr>
            <w:tcW w:w="409" w:type="pct"/>
            <w:shd w:val="clear" w:color="auto" w:fill="BFBFBF" w:themeFill="background1" w:themeFillShade="BF"/>
            <w:vAlign w:val="center"/>
            <w:hideMark/>
          </w:tcPr>
          <w:p w14:paraId="651A1539" w14:textId="77777777" w:rsidR="003C7DB4" w:rsidRPr="00CC725F" w:rsidRDefault="003C7DB4" w:rsidP="00210E7A">
            <w:pPr>
              <w:spacing w:after="0" w:line="240" w:lineRule="auto"/>
              <w:jc w:val="center"/>
              <w:rPr>
                <w:rFonts w:ascii="Arial" w:eastAsia="Times New Roman" w:hAnsi="Arial" w:cs="Arial"/>
                <w:b/>
                <w:bCs/>
                <w:i/>
                <w:iCs/>
                <w:sz w:val="24"/>
                <w:szCs w:val="24"/>
              </w:rPr>
            </w:pPr>
            <w:r w:rsidRPr="00CC725F">
              <w:rPr>
                <w:rFonts w:ascii="Arial" w:eastAsia="Times New Roman" w:hAnsi="Arial" w:cs="Arial"/>
                <w:b/>
                <w:bCs/>
                <w:i/>
                <w:iCs/>
                <w:sz w:val="24"/>
                <w:szCs w:val="24"/>
              </w:rPr>
              <w:t>Cost per Source Analysis</w:t>
            </w:r>
          </w:p>
        </w:tc>
        <w:tc>
          <w:tcPr>
            <w:tcW w:w="354" w:type="pct"/>
            <w:shd w:val="clear" w:color="auto" w:fill="BFBFBF" w:themeFill="background1" w:themeFillShade="BF"/>
            <w:vAlign w:val="center"/>
            <w:hideMark/>
          </w:tcPr>
          <w:p w14:paraId="34AD09E5" w14:textId="77777777" w:rsidR="003C7DB4" w:rsidRPr="00CC725F" w:rsidRDefault="003C7DB4" w:rsidP="00210E7A">
            <w:pPr>
              <w:spacing w:after="0" w:line="240" w:lineRule="auto"/>
              <w:jc w:val="center"/>
              <w:rPr>
                <w:rFonts w:ascii="Arial" w:eastAsia="Times New Roman" w:hAnsi="Arial" w:cs="Arial"/>
                <w:b/>
                <w:bCs/>
                <w:i/>
                <w:iCs/>
                <w:sz w:val="24"/>
                <w:szCs w:val="24"/>
              </w:rPr>
            </w:pPr>
            <w:r w:rsidRPr="00CC725F">
              <w:rPr>
                <w:rFonts w:ascii="Arial" w:eastAsia="Times New Roman" w:hAnsi="Arial" w:cs="Arial"/>
                <w:b/>
                <w:bCs/>
                <w:i/>
                <w:iCs/>
                <w:sz w:val="24"/>
                <w:szCs w:val="24"/>
              </w:rPr>
              <w:t>Total Sources</w:t>
            </w:r>
          </w:p>
        </w:tc>
        <w:tc>
          <w:tcPr>
            <w:tcW w:w="465" w:type="pct"/>
            <w:shd w:val="clear" w:color="auto" w:fill="BFBFBF" w:themeFill="background1" w:themeFillShade="BF"/>
            <w:vAlign w:val="center"/>
            <w:hideMark/>
          </w:tcPr>
          <w:p w14:paraId="6D615607" w14:textId="77777777" w:rsidR="003C7DB4" w:rsidRPr="00CC725F" w:rsidRDefault="003C7DB4" w:rsidP="00210E7A">
            <w:pPr>
              <w:spacing w:after="0" w:line="240" w:lineRule="auto"/>
              <w:jc w:val="center"/>
              <w:rPr>
                <w:rFonts w:ascii="Arial" w:eastAsia="Times New Roman" w:hAnsi="Arial" w:cs="Arial"/>
                <w:b/>
                <w:bCs/>
                <w:i/>
                <w:iCs/>
                <w:sz w:val="24"/>
                <w:szCs w:val="24"/>
              </w:rPr>
            </w:pPr>
            <w:r w:rsidRPr="00CC725F">
              <w:rPr>
                <w:rFonts w:ascii="Arial" w:eastAsia="Times New Roman" w:hAnsi="Arial" w:cs="Arial"/>
                <w:b/>
                <w:bCs/>
                <w:i/>
                <w:iCs/>
                <w:sz w:val="24"/>
                <w:szCs w:val="24"/>
              </w:rPr>
              <w:t xml:space="preserve">Frequency per year </w:t>
            </w:r>
          </w:p>
        </w:tc>
        <w:tc>
          <w:tcPr>
            <w:tcW w:w="432" w:type="pct"/>
            <w:shd w:val="clear" w:color="auto" w:fill="BFBFBF" w:themeFill="background1" w:themeFillShade="BF"/>
            <w:vAlign w:val="center"/>
            <w:hideMark/>
          </w:tcPr>
          <w:p w14:paraId="4A2E4174" w14:textId="77777777" w:rsidR="003C7DB4" w:rsidRPr="00CC725F" w:rsidRDefault="003C7DB4" w:rsidP="00210E7A">
            <w:pPr>
              <w:spacing w:after="0" w:line="240" w:lineRule="auto"/>
              <w:jc w:val="center"/>
              <w:rPr>
                <w:rFonts w:ascii="Arial" w:eastAsia="Times New Roman" w:hAnsi="Arial" w:cs="Arial"/>
                <w:b/>
                <w:bCs/>
                <w:i/>
                <w:iCs/>
                <w:sz w:val="24"/>
                <w:szCs w:val="24"/>
              </w:rPr>
            </w:pPr>
            <w:r w:rsidRPr="00CC725F">
              <w:rPr>
                <w:rFonts w:ascii="Arial" w:eastAsia="Times New Roman" w:hAnsi="Arial" w:cs="Arial"/>
                <w:b/>
                <w:bCs/>
                <w:i/>
                <w:iCs/>
                <w:sz w:val="24"/>
                <w:szCs w:val="24"/>
              </w:rPr>
              <w:t xml:space="preserve"> Cost per Source Analysis- Frequency</w:t>
            </w:r>
          </w:p>
        </w:tc>
        <w:tc>
          <w:tcPr>
            <w:tcW w:w="649" w:type="pct"/>
            <w:shd w:val="clear" w:color="auto" w:fill="BFBFBF" w:themeFill="background1" w:themeFillShade="BF"/>
            <w:vAlign w:val="center"/>
            <w:hideMark/>
          </w:tcPr>
          <w:p w14:paraId="6B91E32B" w14:textId="77777777" w:rsidR="003C7DB4" w:rsidRPr="00CC725F" w:rsidRDefault="003C7DB4" w:rsidP="00210E7A">
            <w:pPr>
              <w:spacing w:after="0" w:line="240" w:lineRule="auto"/>
              <w:jc w:val="center"/>
              <w:rPr>
                <w:rFonts w:ascii="Arial" w:eastAsia="Times New Roman" w:hAnsi="Arial" w:cs="Arial"/>
                <w:b/>
                <w:bCs/>
                <w:i/>
                <w:iCs/>
                <w:sz w:val="24"/>
                <w:szCs w:val="24"/>
              </w:rPr>
            </w:pPr>
            <w:r w:rsidRPr="00CC725F">
              <w:rPr>
                <w:rFonts w:ascii="Arial" w:eastAsia="Times New Roman" w:hAnsi="Arial" w:cs="Arial"/>
                <w:b/>
                <w:bCs/>
                <w:i/>
                <w:iCs/>
                <w:sz w:val="24"/>
                <w:szCs w:val="24"/>
              </w:rPr>
              <w:t xml:space="preserve">Range </w:t>
            </w:r>
            <w:r w:rsidRPr="00CC725F">
              <w:rPr>
                <w:rFonts w:ascii="Arial" w:eastAsia="Times New Roman" w:hAnsi="Arial" w:cs="Arial"/>
                <w:b/>
                <w:bCs/>
                <w:i/>
                <w:iCs/>
                <w:sz w:val="24"/>
                <w:szCs w:val="24"/>
              </w:rPr>
              <w:br/>
              <w:t># of Sources per</w:t>
            </w:r>
            <w:r w:rsidRPr="00CC725F">
              <w:rPr>
                <w:rFonts w:ascii="Arial" w:eastAsia="Times New Roman" w:hAnsi="Arial" w:cs="Arial"/>
                <w:b/>
                <w:bCs/>
                <w:i/>
                <w:iCs/>
                <w:sz w:val="24"/>
                <w:szCs w:val="24"/>
              </w:rPr>
              <w:br/>
              <w:t xml:space="preserve"> PWS</w:t>
            </w:r>
          </w:p>
        </w:tc>
        <w:tc>
          <w:tcPr>
            <w:tcW w:w="555" w:type="pct"/>
            <w:shd w:val="clear" w:color="auto" w:fill="BFBFBF" w:themeFill="background1" w:themeFillShade="BF"/>
            <w:vAlign w:val="center"/>
            <w:hideMark/>
          </w:tcPr>
          <w:p w14:paraId="56C4D544" w14:textId="02FB0B13" w:rsidR="003C7DB4" w:rsidRPr="00CC725F" w:rsidRDefault="003C7DB4" w:rsidP="00210E7A">
            <w:pPr>
              <w:spacing w:after="0" w:line="240" w:lineRule="auto"/>
              <w:jc w:val="center"/>
              <w:rPr>
                <w:rFonts w:ascii="Arial" w:eastAsia="Times New Roman" w:hAnsi="Arial" w:cs="Arial"/>
                <w:b/>
                <w:bCs/>
                <w:i/>
                <w:iCs/>
                <w:sz w:val="24"/>
                <w:szCs w:val="24"/>
              </w:rPr>
            </w:pPr>
            <w:r w:rsidRPr="00CC725F">
              <w:rPr>
                <w:rFonts w:ascii="Arial" w:eastAsia="Times New Roman" w:hAnsi="Arial" w:cs="Arial"/>
                <w:b/>
                <w:bCs/>
                <w:i/>
                <w:iCs/>
                <w:sz w:val="24"/>
                <w:szCs w:val="24"/>
              </w:rPr>
              <w:t>Range</w:t>
            </w:r>
            <w:r w:rsidRPr="00CC725F">
              <w:rPr>
                <w:rFonts w:ascii="Arial" w:eastAsia="Times New Roman" w:hAnsi="Arial" w:cs="Arial"/>
                <w:b/>
                <w:bCs/>
                <w:i/>
                <w:iCs/>
                <w:sz w:val="24"/>
                <w:szCs w:val="24"/>
              </w:rPr>
              <w:br/>
              <w:t>Cost per PWS, annually</w:t>
            </w:r>
            <w:r w:rsidR="00B40958" w:rsidRPr="00CC725F">
              <w:rPr>
                <w:rFonts w:ascii="Arial" w:eastAsia="Times New Roman" w:hAnsi="Arial" w:cs="Arial"/>
                <w:b/>
                <w:bCs/>
                <w:i/>
                <w:iCs/>
                <w:sz w:val="24"/>
                <w:szCs w:val="24"/>
              </w:rPr>
              <w:t xml:space="preserve"> </w:t>
            </w:r>
            <w:proofErr w:type="spellStart"/>
            <w:r w:rsidR="00B40958" w:rsidRPr="00CC725F">
              <w:rPr>
                <w:rFonts w:ascii="Arial" w:eastAsia="Times New Roman" w:hAnsi="Arial" w:cs="Arial"/>
                <w:b/>
                <w:bCs/>
                <w:i/>
                <w:iCs/>
                <w:sz w:val="24"/>
                <w:szCs w:val="24"/>
                <w:vertAlign w:val="superscript"/>
              </w:rPr>
              <w:t>c,d</w:t>
            </w:r>
            <w:proofErr w:type="spellEnd"/>
          </w:p>
        </w:tc>
        <w:tc>
          <w:tcPr>
            <w:tcW w:w="692" w:type="pct"/>
            <w:shd w:val="clear" w:color="auto" w:fill="BFBFBF" w:themeFill="background1" w:themeFillShade="BF"/>
            <w:vAlign w:val="center"/>
            <w:hideMark/>
          </w:tcPr>
          <w:p w14:paraId="58367A3A" w14:textId="125BBED1" w:rsidR="003C7DB4" w:rsidRPr="00CC725F" w:rsidRDefault="003C7DB4" w:rsidP="00210E7A">
            <w:pPr>
              <w:spacing w:after="0" w:line="240" w:lineRule="auto"/>
              <w:jc w:val="center"/>
              <w:rPr>
                <w:rFonts w:ascii="Arial" w:eastAsia="Times New Roman" w:hAnsi="Arial" w:cs="Arial"/>
                <w:b/>
                <w:bCs/>
                <w:i/>
                <w:iCs/>
                <w:sz w:val="24"/>
                <w:szCs w:val="24"/>
              </w:rPr>
            </w:pPr>
            <w:r w:rsidRPr="00CC725F">
              <w:rPr>
                <w:rFonts w:ascii="Arial" w:eastAsia="Times New Roman" w:hAnsi="Arial" w:cs="Arial"/>
                <w:b/>
                <w:bCs/>
                <w:i/>
                <w:iCs/>
                <w:sz w:val="24"/>
                <w:szCs w:val="24"/>
              </w:rPr>
              <w:t xml:space="preserve">Range </w:t>
            </w:r>
            <w:r w:rsidRPr="00CC725F">
              <w:rPr>
                <w:rFonts w:ascii="Arial" w:eastAsia="Times New Roman" w:hAnsi="Arial" w:cs="Arial"/>
                <w:b/>
                <w:bCs/>
                <w:i/>
                <w:iCs/>
                <w:sz w:val="24"/>
                <w:szCs w:val="24"/>
              </w:rPr>
              <w:br/>
            </w:r>
            <w:r w:rsidR="002E5574" w:rsidRPr="002E5574">
              <w:rPr>
                <w:rFonts w:ascii="Arial" w:eastAsia="Times New Roman" w:hAnsi="Arial" w:cs="Arial"/>
                <w:b/>
                <w:bCs/>
                <w:i/>
                <w:iCs/>
                <w:sz w:val="24"/>
                <w:szCs w:val="24"/>
              </w:rPr>
              <w:t>Cost per</w:t>
            </w:r>
            <w:r w:rsidRPr="00CC725F">
              <w:rPr>
                <w:rFonts w:ascii="Arial" w:eastAsia="Times New Roman" w:hAnsi="Arial" w:cs="Arial"/>
                <w:b/>
                <w:bCs/>
                <w:i/>
                <w:iCs/>
                <w:sz w:val="24"/>
                <w:szCs w:val="24"/>
              </w:rPr>
              <w:t xml:space="preserve"> Person, annually</w:t>
            </w:r>
            <w:r w:rsidR="00B40958" w:rsidRPr="00CC725F">
              <w:rPr>
                <w:rFonts w:ascii="Arial" w:eastAsia="Times New Roman" w:hAnsi="Arial" w:cs="Arial"/>
                <w:b/>
                <w:bCs/>
                <w:i/>
                <w:iCs/>
                <w:sz w:val="24"/>
                <w:szCs w:val="24"/>
              </w:rPr>
              <w:t xml:space="preserve"> </w:t>
            </w:r>
            <w:r w:rsidR="00B40958" w:rsidRPr="00CC725F">
              <w:rPr>
                <w:rFonts w:ascii="Arial" w:eastAsia="Times New Roman" w:hAnsi="Arial" w:cs="Arial"/>
                <w:b/>
                <w:bCs/>
                <w:i/>
                <w:iCs/>
                <w:sz w:val="24"/>
                <w:szCs w:val="24"/>
                <w:vertAlign w:val="superscript"/>
              </w:rPr>
              <w:t>e</w:t>
            </w:r>
          </w:p>
        </w:tc>
        <w:tc>
          <w:tcPr>
            <w:tcW w:w="661" w:type="pct"/>
            <w:shd w:val="clear" w:color="auto" w:fill="BFBFBF" w:themeFill="background1" w:themeFillShade="BF"/>
            <w:vAlign w:val="center"/>
            <w:hideMark/>
          </w:tcPr>
          <w:p w14:paraId="3CFBEBD2" w14:textId="5DB8450D" w:rsidR="003C7DB4" w:rsidRPr="00CC725F" w:rsidRDefault="003C7DB4" w:rsidP="00210E7A">
            <w:pPr>
              <w:spacing w:after="0" w:line="240" w:lineRule="auto"/>
              <w:jc w:val="center"/>
              <w:rPr>
                <w:rFonts w:ascii="Arial" w:eastAsia="Times New Roman" w:hAnsi="Arial" w:cs="Arial"/>
                <w:b/>
                <w:bCs/>
                <w:i/>
                <w:iCs/>
                <w:sz w:val="24"/>
                <w:szCs w:val="24"/>
              </w:rPr>
            </w:pPr>
            <w:r w:rsidRPr="00CC725F">
              <w:rPr>
                <w:rFonts w:ascii="Arial" w:eastAsia="Times New Roman" w:hAnsi="Arial" w:cs="Arial"/>
                <w:b/>
                <w:bCs/>
                <w:i/>
                <w:iCs/>
                <w:sz w:val="24"/>
                <w:szCs w:val="24"/>
              </w:rPr>
              <w:t>Mode</w:t>
            </w:r>
            <w:r w:rsidRPr="00CC725F">
              <w:rPr>
                <w:rFonts w:ascii="Arial" w:eastAsia="Times New Roman" w:hAnsi="Arial" w:cs="Arial"/>
                <w:b/>
                <w:bCs/>
                <w:i/>
                <w:iCs/>
                <w:sz w:val="24"/>
                <w:szCs w:val="24"/>
              </w:rPr>
              <w:br/>
              <w:t>Cost per Person, annually</w:t>
            </w:r>
          </w:p>
        </w:tc>
        <w:tc>
          <w:tcPr>
            <w:tcW w:w="241" w:type="pct"/>
            <w:shd w:val="clear" w:color="auto" w:fill="BFBFBF" w:themeFill="background1" w:themeFillShade="BF"/>
            <w:vAlign w:val="center"/>
            <w:hideMark/>
          </w:tcPr>
          <w:p w14:paraId="2792AE95" w14:textId="77777777" w:rsidR="003C7DB4" w:rsidRPr="00CC725F" w:rsidRDefault="003C7DB4" w:rsidP="00210E7A">
            <w:pPr>
              <w:spacing w:after="0" w:line="240" w:lineRule="auto"/>
              <w:jc w:val="center"/>
              <w:rPr>
                <w:rFonts w:ascii="Arial" w:eastAsia="Times New Roman" w:hAnsi="Arial" w:cs="Arial"/>
                <w:b/>
                <w:bCs/>
                <w:i/>
                <w:iCs/>
                <w:sz w:val="24"/>
                <w:szCs w:val="24"/>
              </w:rPr>
            </w:pPr>
            <w:r w:rsidRPr="00CC725F">
              <w:rPr>
                <w:rFonts w:ascii="Arial" w:eastAsia="Times New Roman" w:hAnsi="Arial" w:cs="Arial"/>
                <w:b/>
                <w:bCs/>
                <w:i/>
                <w:iCs/>
                <w:sz w:val="24"/>
                <w:szCs w:val="24"/>
              </w:rPr>
              <w:t>Duration</w:t>
            </w:r>
            <w:r w:rsidRPr="00CC725F">
              <w:rPr>
                <w:rFonts w:ascii="Arial" w:eastAsia="Times New Roman" w:hAnsi="Arial" w:cs="Arial"/>
                <w:b/>
                <w:bCs/>
                <w:i/>
                <w:iCs/>
                <w:sz w:val="24"/>
                <w:szCs w:val="24"/>
              </w:rPr>
              <w:br/>
              <w:t>(years)</w:t>
            </w:r>
          </w:p>
        </w:tc>
      </w:tr>
      <w:tr w:rsidR="008705D8" w:rsidRPr="002E5574" w14:paraId="5129380F" w14:textId="77777777" w:rsidTr="008705D8">
        <w:trPr>
          <w:trHeight w:val="989"/>
        </w:trPr>
        <w:tc>
          <w:tcPr>
            <w:tcW w:w="543" w:type="pct"/>
            <w:vAlign w:val="center"/>
            <w:hideMark/>
          </w:tcPr>
          <w:p w14:paraId="5C0BEC80" w14:textId="0D3BA108" w:rsidR="003C7DB4" w:rsidRPr="00CC725F" w:rsidRDefault="003C7DB4" w:rsidP="00CC725F">
            <w:pPr>
              <w:spacing w:before="60" w:after="60" w:line="240" w:lineRule="auto"/>
              <w:rPr>
                <w:rFonts w:ascii="Arial" w:eastAsia="Times New Roman" w:hAnsi="Arial" w:cs="Arial"/>
                <w:sz w:val="24"/>
                <w:szCs w:val="24"/>
              </w:rPr>
            </w:pPr>
            <w:r w:rsidRPr="00CC725F">
              <w:rPr>
                <w:rFonts w:ascii="Arial" w:eastAsia="Times New Roman" w:hAnsi="Arial" w:cs="Arial"/>
                <w:sz w:val="24"/>
                <w:szCs w:val="24"/>
              </w:rPr>
              <w:t xml:space="preserve">Phase I </w:t>
            </w:r>
            <w:r w:rsidR="00B40958" w:rsidRPr="00CC725F">
              <w:rPr>
                <w:rFonts w:ascii="Arial" w:eastAsia="Times New Roman" w:hAnsi="Arial" w:cs="Arial"/>
                <w:sz w:val="24"/>
                <w:szCs w:val="24"/>
                <w:vertAlign w:val="superscript"/>
              </w:rPr>
              <w:t>a</w:t>
            </w:r>
            <w:r w:rsidRPr="00CC725F">
              <w:rPr>
                <w:rFonts w:ascii="Arial" w:eastAsia="Times New Roman" w:hAnsi="Arial" w:cs="Arial"/>
                <w:sz w:val="24"/>
                <w:szCs w:val="24"/>
              </w:rPr>
              <w:t xml:space="preserve"> - On Increased Monitoring (Quarterly)</w:t>
            </w:r>
          </w:p>
        </w:tc>
        <w:tc>
          <w:tcPr>
            <w:tcW w:w="409" w:type="pct"/>
            <w:noWrap/>
            <w:vAlign w:val="center"/>
            <w:hideMark/>
          </w:tcPr>
          <w:p w14:paraId="507CD25A" w14:textId="68E3812B" w:rsidR="003C7DB4" w:rsidRPr="00CC725F" w:rsidRDefault="003B0F91" w:rsidP="00CC725F">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$56.00</w:t>
            </w:r>
          </w:p>
        </w:tc>
        <w:tc>
          <w:tcPr>
            <w:tcW w:w="354" w:type="pct"/>
            <w:noWrap/>
            <w:vAlign w:val="center"/>
            <w:hideMark/>
          </w:tcPr>
          <w:p w14:paraId="5F9E9717"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7,498</w:t>
            </w:r>
          </w:p>
        </w:tc>
        <w:tc>
          <w:tcPr>
            <w:tcW w:w="465" w:type="pct"/>
            <w:noWrap/>
            <w:vAlign w:val="center"/>
            <w:hideMark/>
          </w:tcPr>
          <w:p w14:paraId="621749BC"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4</w:t>
            </w:r>
          </w:p>
        </w:tc>
        <w:tc>
          <w:tcPr>
            <w:tcW w:w="432" w:type="pct"/>
            <w:noWrap/>
            <w:vAlign w:val="center"/>
            <w:hideMark/>
          </w:tcPr>
          <w:p w14:paraId="32749F38"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$224.00</w:t>
            </w:r>
          </w:p>
        </w:tc>
        <w:tc>
          <w:tcPr>
            <w:tcW w:w="649" w:type="pct"/>
            <w:noWrap/>
            <w:vAlign w:val="center"/>
            <w:hideMark/>
          </w:tcPr>
          <w:p w14:paraId="3F0CECBA"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1 - 206</w:t>
            </w:r>
          </w:p>
        </w:tc>
        <w:tc>
          <w:tcPr>
            <w:tcW w:w="555" w:type="pct"/>
            <w:vAlign w:val="center"/>
            <w:hideMark/>
          </w:tcPr>
          <w:p w14:paraId="6DE27D0D" w14:textId="1F320300"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$224.00 - $46,144.00</w:t>
            </w:r>
          </w:p>
        </w:tc>
        <w:tc>
          <w:tcPr>
            <w:tcW w:w="692" w:type="pct"/>
            <w:vAlign w:val="center"/>
            <w:hideMark/>
          </w:tcPr>
          <w:p w14:paraId="24E441A1" w14:textId="7AA3C6A6"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$0.001 - $44.80</w:t>
            </w:r>
          </w:p>
        </w:tc>
        <w:tc>
          <w:tcPr>
            <w:tcW w:w="661" w:type="pct"/>
            <w:vAlign w:val="center"/>
            <w:hideMark/>
          </w:tcPr>
          <w:p w14:paraId="63B67229" w14:textId="7808D89F"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$35.84</w:t>
            </w:r>
          </w:p>
        </w:tc>
        <w:tc>
          <w:tcPr>
            <w:tcW w:w="241" w:type="pct"/>
            <w:noWrap/>
            <w:vAlign w:val="center"/>
            <w:hideMark/>
          </w:tcPr>
          <w:p w14:paraId="69468355"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3</w:t>
            </w:r>
          </w:p>
        </w:tc>
      </w:tr>
      <w:tr w:rsidR="002E5574" w:rsidRPr="002E5574" w14:paraId="62CA0903" w14:textId="77777777" w:rsidTr="00CC725F">
        <w:trPr>
          <w:trHeight w:val="864"/>
        </w:trPr>
        <w:tc>
          <w:tcPr>
            <w:tcW w:w="543" w:type="pct"/>
            <w:vAlign w:val="center"/>
            <w:hideMark/>
          </w:tcPr>
          <w:p w14:paraId="35586BAB" w14:textId="690E6A8C" w:rsidR="003C7DB4" w:rsidRPr="00CC725F" w:rsidRDefault="003C7DB4" w:rsidP="00CC725F">
            <w:pPr>
              <w:spacing w:before="60" w:after="60" w:line="240" w:lineRule="auto"/>
              <w:rPr>
                <w:rFonts w:ascii="Arial" w:eastAsia="Times New Roman" w:hAnsi="Arial" w:cs="Arial"/>
                <w:sz w:val="24"/>
                <w:szCs w:val="24"/>
              </w:rPr>
            </w:pPr>
            <w:r w:rsidRPr="00CC725F">
              <w:rPr>
                <w:rFonts w:ascii="Arial" w:eastAsia="Times New Roman" w:hAnsi="Arial" w:cs="Arial"/>
                <w:sz w:val="24"/>
                <w:szCs w:val="24"/>
              </w:rPr>
              <w:t xml:space="preserve">Phase I </w:t>
            </w:r>
            <w:r w:rsidR="00B40958" w:rsidRPr="00CC725F">
              <w:rPr>
                <w:rFonts w:ascii="Arial" w:eastAsia="Times New Roman" w:hAnsi="Arial" w:cs="Arial"/>
                <w:sz w:val="24"/>
                <w:szCs w:val="24"/>
                <w:vertAlign w:val="superscript"/>
              </w:rPr>
              <w:t>a</w:t>
            </w:r>
            <w:r w:rsidR="00B40958" w:rsidRPr="00CC725F">
              <w:rPr>
                <w:rFonts w:ascii="Arial" w:eastAsia="Times New Roman" w:hAnsi="Arial" w:cs="Arial"/>
                <w:sz w:val="24"/>
                <w:szCs w:val="24"/>
              </w:rPr>
              <w:t xml:space="preserve"> </w:t>
            </w:r>
            <w:r w:rsidRPr="00CC725F">
              <w:rPr>
                <w:rFonts w:ascii="Arial" w:eastAsia="Times New Roman" w:hAnsi="Arial" w:cs="Arial"/>
                <w:sz w:val="24"/>
                <w:szCs w:val="24"/>
              </w:rPr>
              <w:t xml:space="preserve">- No Change to </w:t>
            </w:r>
            <w:r w:rsidR="002E5574">
              <w:rPr>
                <w:rFonts w:ascii="Arial" w:eastAsia="Times New Roman" w:hAnsi="Arial" w:cs="Arial"/>
                <w:sz w:val="24"/>
                <w:szCs w:val="24"/>
              </w:rPr>
              <w:t xml:space="preserve">Monitoring </w:t>
            </w:r>
            <w:r w:rsidRPr="00CC725F">
              <w:rPr>
                <w:rFonts w:ascii="Arial" w:eastAsia="Times New Roman" w:hAnsi="Arial" w:cs="Arial"/>
                <w:sz w:val="24"/>
                <w:szCs w:val="24"/>
              </w:rPr>
              <w:t>Frequency</w:t>
            </w:r>
          </w:p>
        </w:tc>
        <w:tc>
          <w:tcPr>
            <w:tcW w:w="409" w:type="pct"/>
            <w:noWrap/>
            <w:vAlign w:val="center"/>
            <w:hideMark/>
          </w:tcPr>
          <w:p w14:paraId="1C275F42" w14:textId="5F311C40" w:rsidR="003C7DB4" w:rsidRPr="00CC725F" w:rsidRDefault="003B0F91" w:rsidP="00CC725F">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$56.00</w:t>
            </w:r>
          </w:p>
        </w:tc>
        <w:tc>
          <w:tcPr>
            <w:tcW w:w="354" w:type="pct"/>
            <w:noWrap/>
            <w:vAlign w:val="center"/>
            <w:hideMark/>
          </w:tcPr>
          <w:p w14:paraId="2D7E1C2D"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4,849</w:t>
            </w:r>
          </w:p>
        </w:tc>
        <w:tc>
          <w:tcPr>
            <w:tcW w:w="465" w:type="pct"/>
            <w:noWrap/>
            <w:vAlign w:val="center"/>
            <w:hideMark/>
          </w:tcPr>
          <w:p w14:paraId="5A0BC2D6"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1</w:t>
            </w:r>
          </w:p>
        </w:tc>
        <w:tc>
          <w:tcPr>
            <w:tcW w:w="432" w:type="pct"/>
            <w:noWrap/>
            <w:vAlign w:val="center"/>
            <w:hideMark/>
          </w:tcPr>
          <w:p w14:paraId="103E7971"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$56.00</w:t>
            </w:r>
          </w:p>
        </w:tc>
        <w:tc>
          <w:tcPr>
            <w:tcW w:w="649" w:type="pct"/>
            <w:noWrap/>
            <w:vAlign w:val="center"/>
            <w:hideMark/>
          </w:tcPr>
          <w:p w14:paraId="47C59487"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1-736</w:t>
            </w:r>
          </w:p>
        </w:tc>
        <w:tc>
          <w:tcPr>
            <w:tcW w:w="555" w:type="pct"/>
            <w:vAlign w:val="center"/>
            <w:hideMark/>
          </w:tcPr>
          <w:p w14:paraId="01DFECE4" w14:textId="76A2D329"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No Change from Baseline</w:t>
            </w:r>
          </w:p>
        </w:tc>
        <w:tc>
          <w:tcPr>
            <w:tcW w:w="692" w:type="pct"/>
            <w:vAlign w:val="center"/>
            <w:hideMark/>
          </w:tcPr>
          <w:p w14:paraId="068FA53F" w14:textId="1201E2BF"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No Change from Baseline</w:t>
            </w:r>
          </w:p>
        </w:tc>
        <w:tc>
          <w:tcPr>
            <w:tcW w:w="661" w:type="pct"/>
            <w:vAlign w:val="center"/>
            <w:hideMark/>
          </w:tcPr>
          <w:p w14:paraId="4FC32121" w14:textId="6D6464D8"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$8.96</w:t>
            </w:r>
          </w:p>
        </w:tc>
        <w:tc>
          <w:tcPr>
            <w:tcW w:w="241" w:type="pct"/>
            <w:noWrap/>
            <w:vAlign w:val="center"/>
            <w:hideMark/>
          </w:tcPr>
          <w:p w14:paraId="0BDAC526"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3</w:t>
            </w:r>
          </w:p>
        </w:tc>
      </w:tr>
      <w:tr w:rsidR="002E5574" w:rsidRPr="002E5574" w14:paraId="5EA76313" w14:textId="77777777" w:rsidTr="00CC725F">
        <w:trPr>
          <w:trHeight w:val="854"/>
        </w:trPr>
        <w:tc>
          <w:tcPr>
            <w:tcW w:w="543" w:type="pct"/>
            <w:vAlign w:val="center"/>
            <w:hideMark/>
          </w:tcPr>
          <w:p w14:paraId="7BC8997E" w14:textId="5186BC69" w:rsidR="003C7DB4" w:rsidRPr="00CC725F" w:rsidRDefault="003C7DB4" w:rsidP="00CC725F">
            <w:pPr>
              <w:spacing w:before="60" w:after="60" w:line="240" w:lineRule="auto"/>
              <w:rPr>
                <w:rFonts w:ascii="Arial" w:eastAsia="Times New Roman" w:hAnsi="Arial" w:cs="Arial"/>
                <w:sz w:val="24"/>
                <w:szCs w:val="24"/>
              </w:rPr>
            </w:pPr>
            <w:r w:rsidRPr="00CC725F">
              <w:rPr>
                <w:rFonts w:ascii="Arial" w:eastAsia="Times New Roman" w:hAnsi="Arial" w:cs="Arial"/>
                <w:sz w:val="24"/>
                <w:szCs w:val="24"/>
              </w:rPr>
              <w:t xml:space="preserve">Phase II </w:t>
            </w:r>
            <w:r w:rsidR="00B40958" w:rsidRPr="00CC725F">
              <w:rPr>
                <w:rFonts w:ascii="Arial" w:eastAsia="Times New Roman" w:hAnsi="Arial" w:cs="Arial"/>
                <w:sz w:val="24"/>
                <w:szCs w:val="24"/>
                <w:vertAlign w:val="superscript"/>
              </w:rPr>
              <w:t>b</w:t>
            </w:r>
            <w:r w:rsidR="00B40958" w:rsidRPr="00CC725F">
              <w:rPr>
                <w:rFonts w:ascii="Arial" w:eastAsia="Times New Roman" w:hAnsi="Arial" w:cs="Arial"/>
                <w:sz w:val="24"/>
                <w:szCs w:val="24"/>
              </w:rPr>
              <w:t xml:space="preserve"> </w:t>
            </w:r>
            <w:r w:rsidRPr="00CC725F">
              <w:rPr>
                <w:rFonts w:ascii="Arial" w:eastAsia="Times New Roman" w:hAnsi="Arial" w:cs="Arial"/>
                <w:sz w:val="24"/>
                <w:szCs w:val="24"/>
              </w:rPr>
              <w:t>- On Increased Monitoring (Quarterly)</w:t>
            </w:r>
          </w:p>
        </w:tc>
        <w:tc>
          <w:tcPr>
            <w:tcW w:w="409" w:type="pct"/>
            <w:noWrap/>
            <w:vAlign w:val="center"/>
            <w:hideMark/>
          </w:tcPr>
          <w:p w14:paraId="59B57C12" w14:textId="571E368F" w:rsidR="003C7DB4" w:rsidRPr="00CC725F" w:rsidRDefault="003B0F91" w:rsidP="00CC725F">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$224.00</w:t>
            </w:r>
          </w:p>
        </w:tc>
        <w:tc>
          <w:tcPr>
            <w:tcW w:w="354" w:type="pct"/>
            <w:noWrap/>
            <w:vAlign w:val="center"/>
            <w:hideMark/>
          </w:tcPr>
          <w:p w14:paraId="22659DC6"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7,498</w:t>
            </w:r>
          </w:p>
        </w:tc>
        <w:tc>
          <w:tcPr>
            <w:tcW w:w="465" w:type="pct"/>
            <w:noWrap/>
            <w:vAlign w:val="center"/>
            <w:hideMark/>
          </w:tcPr>
          <w:p w14:paraId="2F62899A"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4</w:t>
            </w:r>
          </w:p>
        </w:tc>
        <w:tc>
          <w:tcPr>
            <w:tcW w:w="432" w:type="pct"/>
            <w:noWrap/>
            <w:vAlign w:val="center"/>
            <w:hideMark/>
          </w:tcPr>
          <w:p w14:paraId="72459629"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$896.00</w:t>
            </w:r>
          </w:p>
        </w:tc>
        <w:tc>
          <w:tcPr>
            <w:tcW w:w="649" w:type="pct"/>
            <w:noWrap/>
            <w:vAlign w:val="center"/>
            <w:hideMark/>
          </w:tcPr>
          <w:p w14:paraId="729E8C17"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1 - 206</w:t>
            </w:r>
          </w:p>
        </w:tc>
        <w:tc>
          <w:tcPr>
            <w:tcW w:w="555" w:type="pct"/>
            <w:vAlign w:val="center"/>
            <w:hideMark/>
          </w:tcPr>
          <w:p w14:paraId="47714F75" w14:textId="23745E18"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$896.00 - $184,576.00</w:t>
            </w:r>
          </w:p>
        </w:tc>
        <w:tc>
          <w:tcPr>
            <w:tcW w:w="692" w:type="pct"/>
            <w:vAlign w:val="center"/>
            <w:hideMark/>
          </w:tcPr>
          <w:p w14:paraId="61021424" w14:textId="3F0B62D1"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$0.004 - $179.20</w:t>
            </w:r>
          </w:p>
        </w:tc>
        <w:tc>
          <w:tcPr>
            <w:tcW w:w="661" w:type="pct"/>
            <w:vAlign w:val="center"/>
            <w:hideMark/>
          </w:tcPr>
          <w:p w14:paraId="27CBA4B6" w14:textId="32DAC0AC"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$143.36</w:t>
            </w:r>
          </w:p>
        </w:tc>
        <w:tc>
          <w:tcPr>
            <w:tcW w:w="241" w:type="pct"/>
            <w:noWrap/>
            <w:vAlign w:val="center"/>
            <w:hideMark/>
          </w:tcPr>
          <w:p w14:paraId="4A7AA8B7"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17</w:t>
            </w:r>
          </w:p>
        </w:tc>
      </w:tr>
      <w:tr w:rsidR="002E5574" w:rsidRPr="002E5574" w14:paraId="40565816" w14:textId="77777777" w:rsidTr="00CC725F">
        <w:trPr>
          <w:trHeight w:val="824"/>
        </w:trPr>
        <w:tc>
          <w:tcPr>
            <w:tcW w:w="543" w:type="pct"/>
            <w:vAlign w:val="center"/>
            <w:hideMark/>
          </w:tcPr>
          <w:p w14:paraId="5690ADA3" w14:textId="396AE248" w:rsidR="003C7DB4" w:rsidRPr="00CC725F" w:rsidRDefault="003C7DB4" w:rsidP="00CC725F">
            <w:pPr>
              <w:spacing w:before="60" w:after="60" w:line="240" w:lineRule="auto"/>
              <w:rPr>
                <w:rFonts w:ascii="Arial" w:eastAsia="Times New Roman" w:hAnsi="Arial" w:cs="Arial"/>
                <w:sz w:val="24"/>
                <w:szCs w:val="24"/>
              </w:rPr>
            </w:pPr>
            <w:r w:rsidRPr="00CC725F">
              <w:rPr>
                <w:rFonts w:ascii="Arial" w:eastAsia="Times New Roman" w:hAnsi="Arial" w:cs="Arial"/>
                <w:sz w:val="24"/>
                <w:szCs w:val="24"/>
              </w:rPr>
              <w:t>Phase II</w:t>
            </w:r>
            <w:r w:rsidR="00B40958" w:rsidRPr="00CC725F">
              <w:rPr>
                <w:rFonts w:ascii="Arial" w:eastAsia="Times New Roman" w:hAnsi="Arial" w:cs="Arial"/>
                <w:sz w:val="24"/>
                <w:szCs w:val="24"/>
              </w:rPr>
              <w:t xml:space="preserve"> </w:t>
            </w:r>
            <w:r w:rsidR="00B40958" w:rsidRPr="00CC725F">
              <w:rPr>
                <w:rFonts w:ascii="Arial" w:eastAsia="Times New Roman" w:hAnsi="Arial" w:cs="Arial"/>
                <w:sz w:val="24"/>
                <w:szCs w:val="24"/>
                <w:vertAlign w:val="superscript"/>
              </w:rPr>
              <w:t>b</w:t>
            </w:r>
            <w:r w:rsidRPr="00CC725F">
              <w:rPr>
                <w:rFonts w:ascii="Arial" w:eastAsia="Times New Roman" w:hAnsi="Arial" w:cs="Arial"/>
                <w:sz w:val="24"/>
                <w:szCs w:val="24"/>
              </w:rPr>
              <w:t xml:space="preserve"> - No Change to </w:t>
            </w:r>
            <w:r w:rsidR="002E5574">
              <w:rPr>
                <w:rFonts w:ascii="Arial" w:eastAsia="Times New Roman" w:hAnsi="Arial" w:cs="Arial"/>
                <w:sz w:val="24"/>
                <w:szCs w:val="24"/>
              </w:rPr>
              <w:t xml:space="preserve">Monitoring </w:t>
            </w:r>
            <w:r w:rsidRPr="00CC725F">
              <w:rPr>
                <w:rFonts w:ascii="Arial" w:eastAsia="Times New Roman" w:hAnsi="Arial" w:cs="Arial"/>
                <w:sz w:val="24"/>
                <w:szCs w:val="24"/>
              </w:rPr>
              <w:t>Frequency</w:t>
            </w:r>
          </w:p>
        </w:tc>
        <w:tc>
          <w:tcPr>
            <w:tcW w:w="409" w:type="pct"/>
            <w:noWrap/>
            <w:vAlign w:val="center"/>
            <w:hideMark/>
          </w:tcPr>
          <w:p w14:paraId="076228F9" w14:textId="5E236733" w:rsidR="003C7DB4" w:rsidRPr="00CC725F" w:rsidRDefault="003B0F91" w:rsidP="00CC725F">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$224.00</w:t>
            </w:r>
          </w:p>
        </w:tc>
        <w:tc>
          <w:tcPr>
            <w:tcW w:w="354" w:type="pct"/>
            <w:noWrap/>
            <w:vAlign w:val="center"/>
            <w:hideMark/>
          </w:tcPr>
          <w:p w14:paraId="5BCA9B5E"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4,849</w:t>
            </w:r>
          </w:p>
        </w:tc>
        <w:tc>
          <w:tcPr>
            <w:tcW w:w="465" w:type="pct"/>
            <w:noWrap/>
            <w:vAlign w:val="center"/>
            <w:hideMark/>
          </w:tcPr>
          <w:p w14:paraId="06B746DC"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1</w:t>
            </w:r>
          </w:p>
        </w:tc>
        <w:tc>
          <w:tcPr>
            <w:tcW w:w="432" w:type="pct"/>
            <w:noWrap/>
            <w:vAlign w:val="center"/>
            <w:hideMark/>
          </w:tcPr>
          <w:p w14:paraId="40261401"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$224.00</w:t>
            </w:r>
          </w:p>
        </w:tc>
        <w:tc>
          <w:tcPr>
            <w:tcW w:w="649" w:type="pct"/>
            <w:noWrap/>
            <w:vAlign w:val="center"/>
            <w:hideMark/>
          </w:tcPr>
          <w:p w14:paraId="0FDA390B"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1-736</w:t>
            </w:r>
          </w:p>
        </w:tc>
        <w:tc>
          <w:tcPr>
            <w:tcW w:w="555" w:type="pct"/>
            <w:vAlign w:val="center"/>
            <w:hideMark/>
          </w:tcPr>
          <w:p w14:paraId="41CB03D5" w14:textId="62486A9F"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$224.00 - $164,864.00</w:t>
            </w:r>
          </w:p>
        </w:tc>
        <w:tc>
          <w:tcPr>
            <w:tcW w:w="692" w:type="pct"/>
            <w:vAlign w:val="center"/>
            <w:hideMark/>
          </w:tcPr>
          <w:p w14:paraId="245EDBFF" w14:textId="21308DE3"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$0.002 - $5,152.00</w:t>
            </w:r>
          </w:p>
        </w:tc>
        <w:tc>
          <w:tcPr>
            <w:tcW w:w="661" w:type="pct"/>
            <w:vAlign w:val="center"/>
            <w:hideMark/>
          </w:tcPr>
          <w:p w14:paraId="662A8267" w14:textId="5EBFF3B6"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$35.84</w:t>
            </w:r>
          </w:p>
        </w:tc>
        <w:tc>
          <w:tcPr>
            <w:tcW w:w="241" w:type="pct"/>
            <w:noWrap/>
            <w:vAlign w:val="center"/>
            <w:hideMark/>
          </w:tcPr>
          <w:p w14:paraId="07D98F2D"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17</w:t>
            </w:r>
          </w:p>
        </w:tc>
      </w:tr>
      <w:tr w:rsidR="002E5574" w:rsidRPr="002E5574" w14:paraId="5751FF51" w14:textId="77777777" w:rsidTr="00CC725F">
        <w:trPr>
          <w:trHeight w:val="589"/>
        </w:trPr>
        <w:tc>
          <w:tcPr>
            <w:tcW w:w="543" w:type="pct"/>
            <w:vAlign w:val="center"/>
            <w:hideMark/>
          </w:tcPr>
          <w:p w14:paraId="4B7E1A4F" w14:textId="514123B5" w:rsidR="003C7DB4" w:rsidRPr="00CC725F" w:rsidRDefault="003C7DB4" w:rsidP="00CC725F">
            <w:pPr>
              <w:spacing w:before="60" w:after="60" w:line="240" w:lineRule="auto"/>
              <w:rPr>
                <w:rFonts w:ascii="Arial" w:eastAsia="Times New Roman" w:hAnsi="Arial" w:cs="Arial"/>
                <w:sz w:val="24"/>
                <w:szCs w:val="24"/>
              </w:rPr>
            </w:pPr>
            <w:r w:rsidRPr="00CC725F">
              <w:rPr>
                <w:rFonts w:ascii="Arial" w:eastAsia="Times New Roman" w:hAnsi="Arial" w:cs="Arial"/>
                <w:sz w:val="24"/>
                <w:szCs w:val="24"/>
              </w:rPr>
              <w:t>Alternative 1</w:t>
            </w:r>
            <w:r w:rsidR="0086450F" w:rsidRPr="00CC725F">
              <w:rPr>
                <w:rFonts w:ascii="Arial" w:eastAsia="Times New Roman" w:hAnsi="Arial" w:cs="Arial"/>
                <w:sz w:val="24"/>
                <w:szCs w:val="24"/>
              </w:rPr>
              <w:t xml:space="preserve"> </w:t>
            </w:r>
            <w:r w:rsidRPr="00CC725F">
              <w:rPr>
                <w:rFonts w:ascii="Arial" w:eastAsia="Times New Roman" w:hAnsi="Arial" w:cs="Arial"/>
                <w:sz w:val="24"/>
                <w:szCs w:val="24"/>
              </w:rPr>
              <w:t xml:space="preserve">- Not Adopted </w:t>
            </w:r>
            <w:r w:rsidRPr="00CC725F">
              <w:rPr>
                <w:rFonts w:ascii="Arial" w:eastAsia="Times New Roman" w:hAnsi="Arial" w:cs="Arial"/>
                <w:sz w:val="24"/>
                <w:szCs w:val="24"/>
              </w:rPr>
              <w:br/>
              <w:t>(original proposal)</w:t>
            </w:r>
          </w:p>
        </w:tc>
        <w:tc>
          <w:tcPr>
            <w:tcW w:w="409" w:type="pct"/>
            <w:noWrap/>
            <w:vAlign w:val="center"/>
            <w:hideMark/>
          </w:tcPr>
          <w:p w14:paraId="3FC42C21" w14:textId="04F57A71" w:rsidR="003C7DB4" w:rsidRPr="00CC725F" w:rsidRDefault="003B0F91" w:rsidP="00CC725F">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$56.00</w:t>
            </w:r>
          </w:p>
        </w:tc>
        <w:tc>
          <w:tcPr>
            <w:tcW w:w="354" w:type="pct"/>
            <w:noWrap/>
            <w:vAlign w:val="center"/>
            <w:hideMark/>
          </w:tcPr>
          <w:p w14:paraId="63DDC940"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7,498</w:t>
            </w:r>
          </w:p>
        </w:tc>
        <w:tc>
          <w:tcPr>
            <w:tcW w:w="465" w:type="pct"/>
            <w:noWrap/>
            <w:vAlign w:val="center"/>
            <w:hideMark/>
          </w:tcPr>
          <w:p w14:paraId="4E7E7F3B"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4</w:t>
            </w:r>
          </w:p>
        </w:tc>
        <w:tc>
          <w:tcPr>
            <w:tcW w:w="432" w:type="pct"/>
            <w:noWrap/>
            <w:vAlign w:val="center"/>
            <w:hideMark/>
          </w:tcPr>
          <w:p w14:paraId="65E3D23F"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$224.00</w:t>
            </w:r>
          </w:p>
        </w:tc>
        <w:tc>
          <w:tcPr>
            <w:tcW w:w="649" w:type="pct"/>
            <w:noWrap/>
            <w:vAlign w:val="center"/>
            <w:hideMark/>
          </w:tcPr>
          <w:p w14:paraId="7005B697"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1 - 206</w:t>
            </w:r>
          </w:p>
        </w:tc>
        <w:tc>
          <w:tcPr>
            <w:tcW w:w="555" w:type="pct"/>
            <w:vAlign w:val="center"/>
            <w:hideMark/>
          </w:tcPr>
          <w:p w14:paraId="263ABACA" w14:textId="00D3CFD0"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$224.00 - $46,144.00</w:t>
            </w:r>
          </w:p>
        </w:tc>
        <w:tc>
          <w:tcPr>
            <w:tcW w:w="692" w:type="pct"/>
            <w:vAlign w:val="center"/>
            <w:hideMark/>
          </w:tcPr>
          <w:p w14:paraId="361C9BA5" w14:textId="7594ABA8"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$0.001-$44.80</w:t>
            </w:r>
          </w:p>
        </w:tc>
        <w:tc>
          <w:tcPr>
            <w:tcW w:w="661" w:type="pct"/>
            <w:vAlign w:val="center"/>
            <w:hideMark/>
          </w:tcPr>
          <w:p w14:paraId="028BCEA1" w14:textId="638A30F5"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$35.84</w:t>
            </w:r>
          </w:p>
        </w:tc>
        <w:tc>
          <w:tcPr>
            <w:tcW w:w="241" w:type="pct"/>
            <w:noWrap/>
            <w:vAlign w:val="center"/>
            <w:hideMark/>
          </w:tcPr>
          <w:p w14:paraId="4882A71E"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20</w:t>
            </w:r>
          </w:p>
        </w:tc>
      </w:tr>
      <w:tr w:rsidR="002E5574" w:rsidRPr="002E5574" w14:paraId="2FAAB9C8" w14:textId="77777777" w:rsidTr="00CC725F">
        <w:trPr>
          <w:trHeight w:val="589"/>
        </w:trPr>
        <w:tc>
          <w:tcPr>
            <w:tcW w:w="543" w:type="pct"/>
            <w:vAlign w:val="center"/>
            <w:hideMark/>
          </w:tcPr>
          <w:p w14:paraId="7FBCB9F6" w14:textId="41E4AC2D" w:rsidR="003C7DB4" w:rsidRPr="00CC725F" w:rsidRDefault="003C7DB4" w:rsidP="00CC725F">
            <w:pPr>
              <w:spacing w:before="60" w:after="60" w:line="240" w:lineRule="auto"/>
              <w:rPr>
                <w:rFonts w:ascii="Arial" w:eastAsia="Times New Roman" w:hAnsi="Arial" w:cs="Arial"/>
                <w:sz w:val="24"/>
                <w:szCs w:val="24"/>
              </w:rPr>
            </w:pPr>
            <w:r w:rsidRPr="00CC725F">
              <w:rPr>
                <w:rFonts w:ascii="Arial" w:eastAsia="Times New Roman" w:hAnsi="Arial" w:cs="Arial"/>
                <w:sz w:val="24"/>
                <w:szCs w:val="24"/>
              </w:rPr>
              <w:t xml:space="preserve">Alternative 1 - Not Adopted </w:t>
            </w:r>
            <w:r w:rsidRPr="00CC725F">
              <w:rPr>
                <w:rFonts w:ascii="Arial" w:eastAsia="Times New Roman" w:hAnsi="Arial" w:cs="Arial"/>
                <w:sz w:val="24"/>
                <w:szCs w:val="24"/>
              </w:rPr>
              <w:br/>
              <w:t>(original proposal)</w:t>
            </w:r>
          </w:p>
        </w:tc>
        <w:tc>
          <w:tcPr>
            <w:tcW w:w="409" w:type="pct"/>
            <w:noWrap/>
            <w:vAlign w:val="center"/>
            <w:hideMark/>
          </w:tcPr>
          <w:p w14:paraId="06371605" w14:textId="47851A9E" w:rsidR="003C7DB4" w:rsidRPr="00CC725F" w:rsidRDefault="003B0F91" w:rsidP="00CC725F">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$56.00</w:t>
            </w:r>
          </w:p>
        </w:tc>
        <w:tc>
          <w:tcPr>
            <w:tcW w:w="354" w:type="pct"/>
            <w:noWrap/>
            <w:vAlign w:val="center"/>
            <w:hideMark/>
          </w:tcPr>
          <w:p w14:paraId="0A5476D7"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4,849</w:t>
            </w:r>
          </w:p>
        </w:tc>
        <w:tc>
          <w:tcPr>
            <w:tcW w:w="465" w:type="pct"/>
            <w:noWrap/>
            <w:vAlign w:val="center"/>
            <w:hideMark/>
          </w:tcPr>
          <w:p w14:paraId="655FD259"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1</w:t>
            </w:r>
          </w:p>
        </w:tc>
        <w:tc>
          <w:tcPr>
            <w:tcW w:w="432" w:type="pct"/>
            <w:noWrap/>
            <w:vAlign w:val="center"/>
            <w:hideMark/>
          </w:tcPr>
          <w:p w14:paraId="28157BAC"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$56.00</w:t>
            </w:r>
          </w:p>
        </w:tc>
        <w:tc>
          <w:tcPr>
            <w:tcW w:w="649" w:type="pct"/>
            <w:noWrap/>
            <w:vAlign w:val="center"/>
            <w:hideMark/>
          </w:tcPr>
          <w:p w14:paraId="5B363912"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1-736</w:t>
            </w:r>
          </w:p>
        </w:tc>
        <w:tc>
          <w:tcPr>
            <w:tcW w:w="555" w:type="pct"/>
            <w:vAlign w:val="center"/>
            <w:hideMark/>
          </w:tcPr>
          <w:p w14:paraId="4A383B3C" w14:textId="36A7F8DB"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No Change from Baseline</w:t>
            </w:r>
          </w:p>
        </w:tc>
        <w:tc>
          <w:tcPr>
            <w:tcW w:w="692" w:type="pct"/>
            <w:vAlign w:val="center"/>
            <w:hideMark/>
          </w:tcPr>
          <w:p w14:paraId="6A454283" w14:textId="36624DFA"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No Change from Baseline</w:t>
            </w:r>
          </w:p>
        </w:tc>
        <w:tc>
          <w:tcPr>
            <w:tcW w:w="661" w:type="pct"/>
            <w:vAlign w:val="center"/>
            <w:hideMark/>
          </w:tcPr>
          <w:p w14:paraId="7E1593FF" w14:textId="745644C9"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$8.96</w:t>
            </w:r>
          </w:p>
        </w:tc>
        <w:tc>
          <w:tcPr>
            <w:tcW w:w="241" w:type="pct"/>
            <w:noWrap/>
            <w:vAlign w:val="center"/>
            <w:hideMark/>
          </w:tcPr>
          <w:p w14:paraId="1CDB99DF" w14:textId="77777777" w:rsidR="003C7DB4" w:rsidRPr="00CC725F" w:rsidRDefault="003C7DB4">
            <w:pPr>
              <w:spacing w:after="0" w:line="240" w:lineRule="auto"/>
              <w:jc w:val="center"/>
              <w:rPr>
                <w:rFonts w:ascii="Arial" w:eastAsia="Times New Roman" w:hAnsi="Arial" w:cs="Arial"/>
                <w:sz w:val="24"/>
                <w:szCs w:val="24"/>
              </w:rPr>
            </w:pPr>
            <w:r w:rsidRPr="00CC725F">
              <w:rPr>
                <w:rFonts w:ascii="Arial" w:eastAsia="Times New Roman" w:hAnsi="Arial" w:cs="Arial"/>
                <w:sz w:val="24"/>
                <w:szCs w:val="24"/>
              </w:rPr>
              <w:t>20</w:t>
            </w:r>
          </w:p>
        </w:tc>
      </w:tr>
    </w:tbl>
    <w:p w14:paraId="43A60938" w14:textId="2E745E82" w:rsidR="003C7DB4" w:rsidRPr="00CC725F" w:rsidRDefault="003C7DB4" w:rsidP="00CC725F">
      <w:pPr>
        <w:pStyle w:val="Default"/>
        <w:numPr>
          <w:ilvl w:val="0"/>
          <w:numId w:val="15"/>
        </w:numPr>
        <w:ind w:left="360"/>
        <w:rPr>
          <w:rFonts w:ascii="Arial" w:hAnsi="Arial" w:cs="Arial"/>
        </w:rPr>
      </w:pPr>
      <w:r w:rsidRPr="00CC725F">
        <w:rPr>
          <w:rFonts w:ascii="Arial" w:hAnsi="Arial" w:cs="Arial"/>
        </w:rPr>
        <w:t>Adopted Regulation (DLR = 0.002 mg/l; approval through 12/31/2023)</w:t>
      </w:r>
    </w:p>
    <w:p w14:paraId="53BC81D5" w14:textId="415A5CB8" w:rsidR="003C7DB4" w:rsidRPr="00CC725F" w:rsidRDefault="003C7DB4" w:rsidP="00CC725F">
      <w:pPr>
        <w:pStyle w:val="Default"/>
        <w:numPr>
          <w:ilvl w:val="0"/>
          <w:numId w:val="15"/>
        </w:numPr>
        <w:ind w:left="360"/>
        <w:rPr>
          <w:rFonts w:ascii="Arial" w:hAnsi="Arial" w:cs="Arial"/>
        </w:rPr>
      </w:pPr>
      <w:r w:rsidRPr="00CC725F">
        <w:rPr>
          <w:rFonts w:ascii="Arial" w:hAnsi="Arial" w:cs="Arial"/>
        </w:rPr>
        <w:t>Adopted Regulation (DLR = 0.001 mg/l;</w:t>
      </w:r>
      <w:r w:rsidR="0086450F" w:rsidRPr="00CC725F">
        <w:rPr>
          <w:rFonts w:ascii="Arial" w:hAnsi="Arial" w:cs="Arial"/>
        </w:rPr>
        <w:t xml:space="preserve"> </w:t>
      </w:r>
      <w:r w:rsidRPr="00CC725F">
        <w:rPr>
          <w:rFonts w:ascii="Arial" w:hAnsi="Arial" w:cs="Arial"/>
        </w:rPr>
        <w:t>/1/2024 forward)</w:t>
      </w:r>
    </w:p>
    <w:p w14:paraId="0261C350" w14:textId="77777777" w:rsidR="00B40958" w:rsidRPr="002E5574" w:rsidRDefault="0086450F" w:rsidP="00CC725F">
      <w:pPr>
        <w:pStyle w:val="Default"/>
        <w:numPr>
          <w:ilvl w:val="0"/>
          <w:numId w:val="15"/>
        </w:numPr>
        <w:ind w:left="360"/>
        <w:rPr>
          <w:rFonts w:ascii="Arial" w:hAnsi="Arial" w:cs="Arial"/>
        </w:rPr>
      </w:pPr>
      <w:r w:rsidRPr="002E5574">
        <w:rPr>
          <w:rFonts w:ascii="Arial" w:hAnsi="Arial" w:cs="Arial"/>
        </w:rPr>
        <w:t xml:space="preserve">Based </w:t>
      </w:r>
      <w:r w:rsidR="003C7DB4" w:rsidRPr="00CC725F">
        <w:rPr>
          <w:rFonts w:ascii="Arial" w:hAnsi="Arial" w:cs="Arial"/>
        </w:rPr>
        <w:t xml:space="preserve">on sources </w:t>
      </w:r>
      <w:r w:rsidRPr="002E5574">
        <w:rPr>
          <w:rFonts w:ascii="Arial" w:hAnsi="Arial" w:cs="Arial"/>
        </w:rPr>
        <w:t xml:space="preserve">expected to be </w:t>
      </w:r>
      <w:r w:rsidR="003C7DB4" w:rsidRPr="00CC725F">
        <w:rPr>
          <w:rFonts w:ascii="Arial" w:hAnsi="Arial" w:cs="Arial"/>
        </w:rPr>
        <w:t xml:space="preserve">impacted by new quarterly monitoring schedules in Phase I </w:t>
      </w:r>
      <w:r w:rsidRPr="002E5574">
        <w:rPr>
          <w:rFonts w:ascii="Arial" w:hAnsi="Arial" w:cs="Arial"/>
        </w:rPr>
        <w:t>continuing in Phase II</w:t>
      </w:r>
      <w:r w:rsidR="003C7DB4" w:rsidRPr="00CC725F">
        <w:rPr>
          <w:rFonts w:ascii="Arial" w:hAnsi="Arial" w:cs="Arial"/>
        </w:rPr>
        <w:t xml:space="preserve">, then </w:t>
      </w:r>
      <w:r w:rsidRPr="002E5574">
        <w:rPr>
          <w:rFonts w:ascii="Arial" w:hAnsi="Arial" w:cs="Arial"/>
        </w:rPr>
        <w:t xml:space="preserve">the </w:t>
      </w:r>
      <w:r w:rsidR="003C7DB4" w:rsidRPr="00CC725F">
        <w:rPr>
          <w:rFonts w:ascii="Arial" w:hAnsi="Arial" w:cs="Arial"/>
        </w:rPr>
        <w:t xml:space="preserve">new costs per analysis in Phase II. </w:t>
      </w:r>
    </w:p>
    <w:p w14:paraId="324E2A5C" w14:textId="77777777" w:rsidR="00B40958" w:rsidRPr="002E5574" w:rsidRDefault="003C7DB4" w:rsidP="00CC725F">
      <w:pPr>
        <w:pStyle w:val="Default"/>
        <w:numPr>
          <w:ilvl w:val="0"/>
          <w:numId w:val="15"/>
        </w:numPr>
        <w:ind w:left="360"/>
        <w:rPr>
          <w:rFonts w:ascii="Arial" w:hAnsi="Arial" w:cs="Arial"/>
        </w:rPr>
      </w:pPr>
      <w:r w:rsidRPr="00CC725F">
        <w:rPr>
          <w:rFonts w:ascii="Arial" w:hAnsi="Arial" w:cs="Arial"/>
        </w:rPr>
        <w:t>Calculation = Cost per Source Analysis-Frequency</w:t>
      </w:r>
      <w:r w:rsidR="0086450F" w:rsidRPr="002E5574">
        <w:rPr>
          <w:rFonts w:ascii="Arial" w:hAnsi="Arial" w:cs="Arial"/>
        </w:rPr>
        <w:t xml:space="preserve"> multiplied by</w:t>
      </w:r>
      <w:r w:rsidRPr="00CC725F">
        <w:rPr>
          <w:rFonts w:ascii="Arial" w:hAnsi="Arial" w:cs="Arial"/>
        </w:rPr>
        <w:t xml:space="preserve"> Number of Sources in PWS</w:t>
      </w:r>
    </w:p>
    <w:p w14:paraId="4414436E" w14:textId="48BA68AA" w:rsidR="003C7DB4" w:rsidRPr="00CC725F" w:rsidRDefault="003C7DB4" w:rsidP="00CC725F">
      <w:pPr>
        <w:pStyle w:val="Default"/>
        <w:numPr>
          <w:ilvl w:val="0"/>
          <w:numId w:val="15"/>
        </w:numPr>
        <w:ind w:left="360"/>
        <w:rPr>
          <w:rFonts w:ascii="Arial" w:hAnsi="Arial" w:cs="Arial"/>
        </w:rPr>
      </w:pPr>
      <w:r w:rsidRPr="00CC725F">
        <w:rPr>
          <w:rFonts w:ascii="Arial" w:hAnsi="Arial" w:cs="Arial"/>
        </w:rPr>
        <w:t>Calculation = Cost per PWS divided by Population Served by PWS</w:t>
      </w:r>
    </w:p>
    <w:p w14:paraId="246E3172" w14:textId="4A4AAA6C" w:rsidR="003C7DB4" w:rsidRPr="002E5574" w:rsidRDefault="003C7DB4" w:rsidP="00CC725F">
      <w:pPr>
        <w:pStyle w:val="Default"/>
        <w:spacing w:after="240"/>
        <w:ind w:left="360"/>
        <w:rPr>
          <w:rFonts w:ascii="Arial" w:hAnsi="Arial" w:cs="Arial"/>
        </w:rPr>
      </w:pPr>
    </w:p>
    <w:sectPr w:rsidR="003C7DB4" w:rsidRPr="002E5574" w:rsidSect="00CC725F">
      <w:pgSz w:w="24480" w:h="15840" w:orient="landscape" w:code="3"/>
      <w:pgMar w:top="1166" w:right="1440" w:bottom="994"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0C636" w14:textId="77777777" w:rsidR="00596FF3" w:rsidRDefault="00596FF3" w:rsidP="00960186">
      <w:pPr>
        <w:spacing w:after="0" w:line="240" w:lineRule="auto"/>
      </w:pPr>
      <w:r>
        <w:separator/>
      </w:r>
    </w:p>
  </w:endnote>
  <w:endnote w:type="continuationSeparator" w:id="0">
    <w:p w14:paraId="4219FAAA" w14:textId="77777777" w:rsidR="00596FF3" w:rsidRDefault="00596FF3" w:rsidP="0096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99B7D" w14:textId="37599C4C" w:rsidR="00960186" w:rsidRDefault="00960186" w:rsidP="00960186">
    <w:pPr>
      <w:pStyle w:val="Footer"/>
      <w:jc w:val="center"/>
    </w:pPr>
    <w:r>
      <w:fldChar w:fldCharType="begin"/>
    </w:r>
    <w:r>
      <w:instrText xml:space="preserve"> PAGE   \* MERGEFORMAT </w:instrText>
    </w:r>
    <w:r>
      <w:fldChar w:fldCharType="separate"/>
    </w:r>
    <w:r w:rsidR="00F523B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68BC2" w14:textId="77777777" w:rsidR="00596FF3" w:rsidRDefault="00596FF3" w:rsidP="00960186">
      <w:pPr>
        <w:spacing w:after="0" w:line="240" w:lineRule="auto"/>
      </w:pPr>
      <w:r>
        <w:separator/>
      </w:r>
    </w:p>
  </w:footnote>
  <w:footnote w:type="continuationSeparator" w:id="0">
    <w:p w14:paraId="287B0AEF" w14:textId="77777777" w:rsidR="00596FF3" w:rsidRDefault="00596FF3" w:rsidP="00960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15EED"/>
    <w:multiLevelType w:val="hybridMultilevel"/>
    <w:tmpl w:val="DB863258"/>
    <w:lvl w:ilvl="0" w:tplc="1604D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499C"/>
    <w:multiLevelType w:val="hybridMultilevel"/>
    <w:tmpl w:val="DB863258"/>
    <w:lvl w:ilvl="0" w:tplc="1604D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31C8E"/>
    <w:multiLevelType w:val="hybridMultilevel"/>
    <w:tmpl w:val="6D6A1D96"/>
    <w:lvl w:ilvl="0" w:tplc="E3A841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D4170"/>
    <w:multiLevelType w:val="hybridMultilevel"/>
    <w:tmpl w:val="2A928B5E"/>
    <w:lvl w:ilvl="0" w:tplc="4A5C12BC">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55643"/>
    <w:multiLevelType w:val="hybridMultilevel"/>
    <w:tmpl w:val="DB863258"/>
    <w:lvl w:ilvl="0" w:tplc="1604D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00F45"/>
    <w:multiLevelType w:val="hybridMultilevel"/>
    <w:tmpl w:val="E6BC444E"/>
    <w:lvl w:ilvl="0" w:tplc="04090019">
      <w:start w:val="1"/>
      <w:numFmt w:val="lowerLetter"/>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1E526A3C"/>
    <w:multiLevelType w:val="hybridMultilevel"/>
    <w:tmpl w:val="A87AF624"/>
    <w:lvl w:ilvl="0" w:tplc="A5424DD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1364A"/>
    <w:multiLevelType w:val="hybridMultilevel"/>
    <w:tmpl w:val="FEB29E0A"/>
    <w:lvl w:ilvl="0" w:tplc="04090019">
      <w:start w:val="1"/>
      <w:numFmt w:val="lowerLetter"/>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2904478F"/>
    <w:multiLevelType w:val="hybridMultilevel"/>
    <w:tmpl w:val="59720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F064A"/>
    <w:multiLevelType w:val="hybridMultilevel"/>
    <w:tmpl w:val="41048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8920BA"/>
    <w:multiLevelType w:val="hybridMultilevel"/>
    <w:tmpl w:val="8CF6237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25177EC"/>
    <w:multiLevelType w:val="hybridMultilevel"/>
    <w:tmpl w:val="CF269D1C"/>
    <w:lvl w:ilvl="0" w:tplc="E378F15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47FCF"/>
    <w:multiLevelType w:val="hybridMultilevel"/>
    <w:tmpl w:val="E80825D2"/>
    <w:lvl w:ilvl="0" w:tplc="BAD058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C5B49"/>
    <w:multiLevelType w:val="hybridMultilevel"/>
    <w:tmpl w:val="7F2A1308"/>
    <w:lvl w:ilvl="0" w:tplc="0BC00B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274DA"/>
    <w:multiLevelType w:val="hybridMultilevel"/>
    <w:tmpl w:val="6D6A1D96"/>
    <w:lvl w:ilvl="0" w:tplc="E3A841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80361D"/>
    <w:multiLevelType w:val="hybridMultilevel"/>
    <w:tmpl w:val="88D0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34FC9"/>
    <w:multiLevelType w:val="hybridMultilevel"/>
    <w:tmpl w:val="2B4EBBB4"/>
    <w:lvl w:ilvl="0" w:tplc="3C1C8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7C5B4C"/>
    <w:multiLevelType w:val="hybridMultilevel"/>
    <w:tmpl w:val="74E6FB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C2E04"/>
    <w:multiLevelType w:val="hybridMultilevel"/>
    <w:tmpl w:val="F25A0F68"/>
    <w:lvl w:ilvl="0" w:tplc="04090017">
      <w:start w:val="1"/>
      <w:numFmt w:val="lowerLetter"/>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9" w15:restartNumberingAfterBreak="0">
    <w:nsid w:val="7D847ED1"/>
    <w:multiLevelType w:val="hybridMultilevel"/>
    <w:tmpl w:val="F232FB2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5"/>
  </w:num>
  <w:num w:numId="2">
    <w:abstractNumId w:val="12"/>
  </w:num>
  <w:num w:numId="3">
    <w:abstractNumId w:val="0"/>
  </w:num>
  <w:num w:numId="4">
    <w:abstractNumId w:val="4"/>
  </w:num>
  <w:num w:numId="5">
    <w:abstractNumId w:val="9"/>
  </w:num>
  <w:num w:numId="6">
    <w:abstractNumId w:val="1"/>
  </w:num>
  <w:num w:numId="7">
    <w:abstractNumId w:val="3"/>
  </w:num>
  <w:num w:numId="8">
    <w:abstractNumId w:val="13"/>
  </w:num>
  <w:num w:numId="9">
    <w:abstractNumId w:val="6"/>
  </w:num>
  <w:num w:numId="10">
    <w:abstractNumId w:val="2"/>
  </w:num>
  <w:num w:numId="11">
    <w:abstractNumId w:val="14"/>
  </w:num>
  <w:num w:numId="12">
    <w:abstractNumId w:val="11"/>
  </w:num>
  <w:num w:numId="13">
    <w:abstractNumId w:val="16"/>
  </w:num>
  <w:num w:numId="14">
    <w:abstractNumId w:val="5"/>
  </w:num>
  <w:num w:numId="15">
    <w:abstractNumId w:val="18"/>
  </w:num>
  <w:num w:numId="16">
    <w:abstractNumId w:val="7"/>
  </w:num>
  <w:num w:numId="17">
    <w:abstractNumId w:val="10"/>
  </w:num>
  <w:num w:numId="18">
    <w:abstractNumId w:val="19"/>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5A9"/>
    <w:rsid w:val="000058AE"/>
    <w:rsid w:val="0001685A"/>
    <w:rsid w:val="00027604"/>
    <w:rsid w:val="00030A27"/>
    <w:rsid w:val="000427F4"/>
    <w:rsid w:val="000430AF"/>
    <w:rsid w:val="00050CD1"/>
    <w:rsid w:val="000711D9"/>
    <w:rsid w:val="00071AB6"/>
    <w:rsid w:val="00074A32"/>
    <w:rsid w:val="00090CB1"/>
    <w:rsid w:val="00092107"/>
    <w:rsid w:val="000B52BF"/>
    <w:rsid w:val="000C644F"/>
    <w:rsid w:val="000C6F9E"/>
    <w:rsid w:val="000D632B"/>
    <w:rsid w:val="000D70E9"/>
    <w:rsid w:val="000E1DF7"/>
    <w:rsid w:val="000E7353"/>
    <w:rsid w:val="000F5A1D"/>
    <w:rsid w:val="00110733"/>
    <w:rsid w:val="00115EF9"/>
    <w:rsid w:val="001438EC"/>
    <w:rsid w:val="0015550B"/>
    <w:rsid w:val="00155C3D"/>
    <w:rsid w:val="001622FA"/>
    <w:rsid w:val="001659E1"/>
    <w:rsid w:val="00165C65"/>
    <w:rsid w:val="00176E26"/>
    <w:rsid w:val="00184198"/>
    <w:rsid w:val="00187C8C"/>
    <w:rsid w:val="00191DB5"/>
    <w:rsid w:val="0019237A"/>
    <w:rsid w:val="001A193D"/>
    <w:rsid w:val="001B5EE7"/>
    <w:rsid w:val="001C3A41"/>
    <w:rsid w:val="001D5E3A"/>
    <w:rsid w:val="001E49E9"/>
    <w:rsid w:val="001F2470"/>
    <w:rsid w:val="001F46C9"/>
    <w:rsid w:val="00205766"/>
    <w:rsid w:val="002204FD"/>
    <w:rsid w:val="002366EE"/>
    <w:rsid w:val="00240209"/>
    <w:rsid w:val="0024221C"/>
    <w:rsid w:val="002426D8"/>
    <w:rsid w:val="0024277B"/>
    <w:rsid w:val="00250419"/>
    <w:rsid w:val="0026540F"/>
    <w:rsid w:val="00270024"/>
    <w:rsid w:val="00271AF8"/>
    <w:rsid w:val="00281664"/>
    <w:rsid w:val="002A23DB"/>
    <w:rsid w:val="002A5CEC"/>
    <w:rsid w:val="002A78A2"/>
    <w:rsid w:val="002B4A87"/>
    <w:rsid w:val="002D3F54"/>
    <w:rsid w:val="002D486D"/>
    <w:rsid w:val="002D5833"/>
    <w:rsid w:val="002E3E10"/>
    <w:rsid w:val="002E4B0C"/>
    <w:rsid w:val="002E5574"/>
    <w:rsid w:val="002F04E2"/>
    <w:rsid w:val="0030343C"/>
    <w:rsid w:val="00321E15"/>
    <w:rsid w:val="003320BB"/>
    <w:rsid w:val="00345B1E"/>
    <w:rsid w:val="00354B78"/>
    <w:rsid w:val="00360786"/>
    <w:rsid w:val="003628EE"/>
    <w:rsid w:val="00371A25"/>
    <w:rsid w:val="00383EC7"/>
    <w:rsid w:val="003964A7"/>
    <w:rsid w:val="003A229F"/>
    <w:rsid w:val="003A23B1"/>
    <w:rsid w:val="003A64FF"/>
    <w:rsid w:val="003B0F91"/>
    <w:rsid w:val="003C7DB4"/>
    <w:rsid w:val="003E0083"/>
    <w:rsid w:val="003E321D"/>
    <w:rsid w:val="003F3AE0"/>
    <w:rsid w:val="00401AB6"/>
    <w:rsid w:val="00404813"/>
    <w:rsid w:val="00406C35"/>
    <w:rsid w:val="00410261"/>
    <w:rsid w:val="0041089B"/>
    <w:rsid w:val="00425DC5"/>
    <w:rsid w:val="00460F42"/>
    <w:rsid w:val="00472EAB"/>
    <w:rsid w:val="00481EFC"/>
    <w:rsid w:val="0049712D"/>
    <w:rsid w:val="004A2891"/>
    <w:rsid w:val="004A3EDF"/>
    <w:rsid w:val="004A7033"/>
    <w:rsid w:val="004B32B4"/>
    <w:rsid w:val="004B5A0B"/>
    <w:rsid w:val="004D5AF0"/>
    <w:rsid w:val="004E260B"/>
    <w:rsid w:val="004F16B4"/>
    <w:rsid w:val="004F7A4E"/>
    <w:rsid w:val="00507F48"/>
    <w:rsid w:val="00520B92"/>
    <w:rsid w:val="005250B2"/>
    <w:rsid w:val="0053336C"/>
    <w:rsid w:val="00542AE9"/>
    <w:rsid w:val="005518A6"/>
    <w:rsid w:val="00586515"/>
    <w:rsid w:val="00587444"/>
    <w:rsid w:val="00596FF3"/>
    <w:rsid w:val="005A1569"/>
    <w:rsid w:val="005A47DD"/>
    <w:rsid w:val="005B02FC"/>
    <w:rsid w:val="005C2276"/>
    <w:rsid w:val="005C2D5D"/>
    <w:rsid w:val="005E0224"/>
    <w:rsid w:val="005E3DE6"/>
    <w:rsid w:val="005F43B0"/>
    <w:rsid w:val="005F5176"/>
    <w:rsid w:val="005F55A9"/>
    <w:rsid w:val="005F7766"/>
    <w:rsid w:val="0060486B"/>
    <w:rsid w:val="0061198F"/>
    <w:rsid w:val="006173D4"/>
    <w:rsid w:val="006263E4"/>
    <w:rsid w:val="00642CC3"/>
    <w:rsid w:val="00663F00"/>
    <w:rsid w:val="0067241E"/>
    <w:rsid w:val="0069755E"/>
    <w:rsid w:val="006A23C6"/>
    <w:rsid w:val="006B3331"/>
    <w:rsid w:val="006C56D6"/>
    <w:rsid w:val="006D14AD"/>
    <w:rsid w:val="006D7838"/>
    <w:rsid w:val="006E329D"/>
    <w:rsid w:val="006E4348"/>
    <w:rsid w:val="006F17A7"/>
    <w:rsid w:val="00701FA2"/>
    <w:rsid w:val="0070221D"/>
    <w:rsid w:val="007026A0"/>
    <w:rsid w:val="00706801"/>
    <w:rsid w:val="00721F39"/>
    <w:rsid w:val="007231A9"/>
    <w:rsid w:val="007259D4"/>
    <w:rsid w:val="0072634B"/>
    <w:rsid w:val="007356B8"/>
    <w:rsid w:val="007402CF"/>
    <w:rsid w:val="00743090"/>
    <w:rsid w:val="0075322B"/>
    <w:rsid w:val="007951C4"/>
    <w:rsid w:val="007C0E0A"/>
    <w:rsid w:val="007D46FA"/>
    <w:rsid w:val="007E044D"/>
    <w:rsid w:val="008047C4"/>
    <w:rsid w:val="00811CE0"/>
    <w:rsid w:val="00813A28"/>
    <w:rsid w:val="00844D4D"/>
    <w:rsid w:val="008472E8"/>
    <w:rsid w:val="0086450F"/>
    <w:rsid w:val="008705D8"/>
    <w:rsid w:val="00872078"/>
    <w:rsid w:val="00874D70"/>
    <w:rsid w:val="00881FAB"/>
    <w:rsid w:val="008872F9"/>
    <w:rsid w:val="00894527"/>
    <w:rsid w:val="008D2EEC"/>
    <w:rsid w:val="008D32D6"/>
    <w:rsid w:val="008F76F0"/>
    <w:rsid w:val="009135C4"/>
    <w:rsid w:val="009152D6"/>
    <w:rsid w:val="009162E6"/>
    <w:rsid w:val="00942C52"/>
    <w:rsid w:val="00952CC8"/>
    <w:rsid w:val="009578CE"/>
    <w:rsid w:val="00960186"/>
    <w:rsid w:val="00975468"/>
    <w:rsid w:val="00992131"/>
    <w:rsid w:val="009A02B2"/>
    <w:rsid w:val="009C2337"/>
    <w:rsid w:val="009D3128"/>
    <w:rsid w:val="009E5EA8"/>
    <w:rsid w:val="00A034E4"/>
    <w:rsid w:val="00A05A17"/>
    <w:rsid w:val="00A2199C"/>
    <w:rsid w:val="00A32480"/>
    <w:rsid w:val="00A35F0D"/>
    <w:rsid w:val="00A44F8F"/>
    <w:rsid w:val="00A53BD7"/>
    <w:rsid w:val="00A8529C"/>
    <w:rsid w:val="00A90827"/>
    <w:rsid w:val="00A9094D"/>
    <w:rsid w:val="00A97FD7"/>
    <w:rsid w:val="00AA55B6"/>
    <w:rsid w:val="00AB0947"/>
    <w:rsid w:val="00AB206B"/>
    <w:rsid w:val="00AC43A6"/>
    <w:rsid w:val="00AC4E58"/>
    <w:rsid w:val="00AC6B57"/>
    <w:rsid w:val="00AE3AEB"/>
    <w:rsid w:val="00AE658B"/>
    <w:rsid w:val="00AF2012"/>
    <w:rsid w:val="00AF2634"/>
    <w:rsid w:val="00B00099"/>
    <w:rsid w:val="00B20F6D"/>
    <w:rsid w:val="00B25018"/>
    <w:rsid w:val="00B346C3"/>
    <w:rsid w:val="00B40958"/>
    <w:rsid w:val="00B41FDC"/>
    <w:rsid w:val="00B570F7"/>
    <w:rsid w:val="00B64EB3"/>
    <w:rsid w:val="00B74E5B"/>
    <w:rsid w:val="00B92605"/>
    <w:rsid w:val="00B936D8"/>
    <w:rsid w:val="00B93ADE"/>
    <w:rsid w:val="00BB13E6"/>
    <w:rsid w:val="00BB296F"/>
    <w:rsid w:val="00BC148F"/>
    <w:rsid w:val="00BC14FC"/>
    <w:rsid w:val="00BC2533"/>
    <w:rsid w:val="00BD17B2"/>
    <w:rsid w:val="00BE193D"/>
    <w:rsid w:val="00BE701A"/>
    <w:rsid w:val="00C239ED"/>
    <w:rsid w:val="00C26BB3"/>
    <w:rsid w:val="00C338DF"/>
    <w:rsid w:val="00C359F8"/>
    <w:rsid w:val="00C5687F"/>
    <w:rsid w:val="00C646F2"/>
    <w:rsid w:val="00C727B5"/>
    <w:rsid w:val="00C74919"/>
    <w:rsid w:val="00C86224"/>
    <w:rsid w:val="00C86337"/>
    <w:rsid w:val="00C86409"/>
    <w:rsid w:val="00C903D6"/>
    <w:rsid w:val="00CA73D0"/>
    <w:rsid w:val="00CC725F"/>
    <w:rsid w:val="00CD00C5"/>
    <w:rsid w:val="00CD3A4B"/>
    <w:rsid w:val="00CD4F38"/>
    <w:rsid w:val="00CE1F3F"/>
    <w:rsid w:val="00CF742F"/>
    <w:rsid w:val="00D10784"/>
    <w:rsid w:val="00D146DC"/>
    <w:rsid w:val="00D14E36"/>
    <w:rsid w:val="00D61CC1"/>
    <w:rsid w:val="00D74EFA"/>
    <w:rsid w:val="00D750B6"/>
    <w:rsid w:val="00D90FC0"/>
    <w:rsid w:val="00D930E4"/>
    <w:rsid w:val="00D9388B"/>
    <w:rsid w:val="00DC3837"/>
    <w:rsid w:val="00DD6EFC"/>
    <w:rsid w:val="00DE0D7A"/>
    <w:rsid w:val="00DE47A1"/>
    <w:rsid w:val="00DF37EB"/>
    <w:rsid w:val="00DF3F10"/>
    <w:rsid w:val="00E03997"/>
    <w:rsid w:val="00E048BD"/>
    <w:rsid w:val="00E136C6"/>
    <w:rsid w:val="00E2064F"/>
    <w:rsid w:val="00E25E25"/>
    <w:rsid w:val="00E657BB"/>
    <w:rsid w:val="00EA1B5C"/>
    <w:rsid w:val="00EA1E37"/>
    <w:rsid w:val="00EA7A29"/>
    <w:rsid w:val="00EB05C3"/>
    <w:rsid w:val="00EC6206"/>
    <w:rsid w:val="00EE719A"/>
    <w:rsid w:val="00EF5EE0"/>
    <w:rsid w:val="00F03687"/>
    <w:rsid w:val="00F1308F"/>
    <w:rsid w:val="00F34646"/>
    <w:rsid w:val="00F42ABB"/>
    <w:rsid w:val="00F523BF"/>
    <w:rsid w:val="00F9186E"/>
    <w:rsid w:val="00F96F44"/>
    <w:rsid w:val="00F9746B"/>
    <w:rsid w:val="00FA3273"/>
    <w:rsid w:val="00FB07AE"/>
    <w:rsid w:val="00FB3778"/>
    <w:rsid w:val="00FD4CE8"/>
    <w:rsid w:val="00FF055B"/>
    <w:rsid w:val="00FF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A060"/>
  <w15:docId w15:val="{72FD23E2-AC43-4B89-9B0D-E59E53F2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5A9"/>
    <w:pPr>
      <w:spacing w:after="200" w:line="276" w:lineRule="auto"/>
    </w:pPr>
  </w:style>
  <w:style w:type="paragraph" w:styleId="Heading1">
    <w:name w:val="heading 1"/>
    <w:basedOn w:val="Normal"/>
    <w:next w:val="Normal"/>
    <w:link w:val="Heading1Char"/>
    <w:uiPriority w:val="9"/>
    <w:qFormat/>
    <w:rsid w:val="00B41FDC"/>
    <w:pPr>
      <w:keepNext/>
      <w:keepLines/>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B41FDC"/>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A2199C"/>
    <w:pPr>
      <w:keepNext/>
      <w:keepLines/>
      <w:spacing w:before="40" w:after="0"/>
      <w:outlineLvl w:val="2"/>
    </w:pPr>
    <w:rPr>
      <w:rFonts w:ascii="Arial" w:eastAsiaTheme="majorEastAsia" w:hAnsi="Arial" w:cstheme="majorBidi"/>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5A9"/>
  </w:style>
  <w:style w:type="character" w:styleId="Hyperlink">
    <w:name w:val="Hyperlink"/>
    <w:basedOn w:val="DefaultParagraphFont"/>
    <w:uiPriority w:val="99"/>
    <w:unhideWhenUsed/>
    <w:rsid w:val="005F55A9"/>
    <w:rPr>
      <w:color w:val="0563C1" w:themeColor="hyperlink"/>
      <w:u w:val="single"/>
    </w:rPr>
  </w:style>
  <w:style w:type="paragraph" w:styleId="BalloonText">
    <w:name w:val="Balloon Text"/>
    <w:basedOn w:val="Normal"/>
    <w:link w:val="BalloonTextChar"/>
    <w:uiPriority w:val="99"/>
    <w:semiHidden/>
    <w:unhideWhenUsed/>
    <w:rsid w:val="005F5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5A9"/>
    <w:rPr>
      <w:rFonts w:ascii="Segoe UI" w:hAnsi="Segoe UI" w:cs="Segoe UI"/>
      <w:sz w:val="18"/>
      <w:szCs w:val="18"/>
    </w:rPr>
  </w:style>
  <w:style w:type="paragraph" w:styleId="ListParagraph">
    <w:name w:val="List Paragraph"/>
    <w:basedOn w:val="Normal"/>
    <w:uiPriority w:val="34"/>
    <w:qFormat/>
    <w:rsid w:val="005F55A9"/>
    <w:pPr>
      <w:ind w:left="720"/>
      <w:contextualSpacing/>
    </w:pPr>
  </w:style>
  <w:style w:type="paragraph" w:styleId="NoSpacing">
    <w:name w:val="No Spacing"/>
    <w:uiPriority w:val="1"/>
    <w:qFormat/>
    <w:rsid w:val="005F55A9"/>
    <w:pPr>
      <w:spacing w:after="0" w:line="240" w:lineRule="auto"/>
    </w:pPr>
  </w:style>
  <w:style w:type="paragraph" w:customStyle="1" w:styleId="Default">
    <w:name w:val="Default"/>
    <w:rsid w:val="003320BB"/>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960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186"/>
  </w:style>
  <w:style w:type="character" w:styleId="CommentReference">
    <w:name w:val="annotation reference"/>
    <w:basedOn w:val="DefaultParagraphFont"/>
    <w:uiPriority w:val="99"/>
    <w:semiHidden/>
    <w:unhideWhenUsed/>
    <w:rsid w:val="004D5AF0"/>
    <w:rPr>
      <w:sz w:val="16"/>
      <w:szCs w:val="16"/>
    </w:rPr>
  </w:style>
  <w:style w:type="paragraph" w:styleId="CommentText">
    <w:name w:val="annotation text"/>
    <w:basedOn w:val="Normal"/>
    <w:link w:val="CommentTextChar"/>
    <w:uiPriority w:val="99"/>
    <w:semiHidden/>
    <w:unhideWhenUsed/>
    <w:rsid w:val="004D5AF0"/>
    <w:pPr>
      <w:spacing w:line="240" w:lineRule="auto"/>
    </w:pPr>
    <w:rPr>
      <w:sz w:val="20"/>
      <w:szCs w:val="20"/>
    </w:rPr>
  </w:style>
  <w:style w:type="character" w:customStyle="1" w:styleId="CommentTextChar">
    <w:name w:val="Comment Text Char"/>
    <w:basedOn w:val="DefaultParagraphFont"/>
    <w:link w:val="CommentText"/>
    <w:uiPriority w:val="99"/>
    <w:semiHidden/>
    <w:rsid w:val="004D5AF0"/>
    <w:rPr>
      <w:sz w:val="20"/>
      <w:szCs w:val="20"/>
    </w:rPr>
  </w:style>
  <w:style w:type="paragraph" w:styleId="CommentSubject">
    <w:name w:val="annotation subject"/>
    <w:basedOn w:val="CommentText"/>
    <w:next w:val="CommentText"/>
    <w:link w:val="CommentSubjectChar"/>
    <w:uiPriority w:val="99"/>
    <w:semiHidden/>
    <w:unhideWhenUsed/>
    <w:rsid w:val="004D5AF0"/>
    <w:rPr>
      <w:b/>
      <w:bCs/>
    </w:rPr>
  </w:style>
  <w:style w:type="character" w:customStyle="1" w:styleId="CommentSubjectChar">
    <w:name w:val="Comment Subject Char"/>
    <w:basedOn w:val="CommentTextChar"/>
    <w:link w:val="CommentSubject"/>
    <w:uiPriority w:val="99"/>
    <w:semiHidden/>
    <w:rsid w:val="004D5AF0"/>
    <w:rPr>
      <w:b/>
      <w:bCs/>
      <w:sz w:val="20"/>
      <w:szCs w:val="20"/>
    </w:rPr>
  </w:style>
  <w:style w:type="paragraph" w:styleId="Revision">
    <w:name w:val="Revision"/>
    <w:hidden/>
    <w:uiPriority w:val="99"/>
    <w:semiHidden/>
    <w:rsid w:val="000058AE"/>
    <w:pPr>
      <w:spacing w:after="0" w:line="240" w:lineRule="auto"/>
    </w:pPr>
  </w:style>
  <w:style w:type="character" w:customStyle="1" w:styleId="Heading1Char">
    <w:name w:val="Heading 1 Char"/>
    <w:basedOn w:val="DefaultParagraphFont"/>
    <w:link w:val="Heading1"/>
    <w:uiPriority w:val="9"/>
    <w:rsid w:val="00B41FDC"/>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B41FDC"/>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A2199C"/>
    <w:rPr>
      <w:rFonts w:ascii="Arial" w:eastAsiaTheme="majorEastAsia" w:hAnsi="Arial" w:cstheme="majorBidi"/>
      <w:b/>
      <w:sz w:val="24"/>
      <w:szCs w:val="24"/>
      <w:u w:val="single"/>
    </w:rPr>
  </w:style>
  <w:style w:type="table" w:styleId="TableGrid">
    <w:name w:val="Table Grid"/>
    <w:basedOn w:val="TableNormal"/>
    <w:uiPriority w:val="39"/>
    <w:rsid w:val="0035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156591">
      <w:bodyDiv w:val="1"/>
      <w:marLeft w:val="0"/>
      <w:marRight w:val="0"/>
      <w:marTop w:val="0"/>
      <w:marBottom w:val="0"/>
      <w:divBdr>
        <w:top w:val="none" w:sz="0" w:space="0" w:color="auto"/>
        <w:left w:val="none" w:sz="0" w:space="0" w:color="auto"/>
        <w:bottom w:val="none" w:sz="0" w:space="0" w:color="auto"/>
        <w:right w:val="none" w:sz="0" w:space="0" w:color="auto"/>
      </w:divBdr>
    </w:div>
    <w:div w:id="431628307">
      <w:bodyDiv w:val="1"/>
      <w:marLeft w:val="0"/>
      <w:marRight w:val="0"/>
      <w:marTop w:val="0"/>
      <w:marBottom w:val="0"/>
      <w:divBdr>
        <w:top w:val="none" w:sz="0" w:space="0" w:color="auto"/>
        <w:left w:val="none" w:sz="0" w:space="0" w:color="auto"/>
        <w:bottom w:val="none" w:sz="0" w:space="0" w:color="auto"/>
        <w:right w:val="none" w:sz="0" w:space="0" w:color="auto"/>
      </w:divBdr>
    </w:div>
    <w:div w:id="558131101">
      <w:bodyDiv w:val="1"/>
      <w:marLeft w:val="0"/>
      <w:marRight w:val="0"/>
      <w:marTop w:val="0"/>
      <w:marBottom w:val="0"/>
      <w:divBdr>
        <w:top w:val="none" w:sz="0" w:space="0" w:color="auto"/>
        <w:left w:val="none" w:sz="0" w:space="0" w:color="auto"/>
        <w:bottom w:val="none" w:sz="0" w:space="0" w:color="auto"/>
        <w:right w:val="none" w:sz="0" w:space="0" w:color="auto"/>
      </w:divBdr>
    </w:div>
    <w:div w:id="615790389">
      <w:bodyDiv w:val="1"/>
      <w:marLeft w:val="0"/>
      <w:marRight w:val="0"/>
      <w:marTop w:val="0"/>
      <w:marBottom w:val="0"/>
      <w:divBdr>
        <w:top w:val="none" w:sz="0" w:space="0" w:color="auto"/>
        <w:left w:val="none" w:sz="0" w:space="0" w:color="auto"/>
        <w:bottom w:val="none" w:sz="0" w:space="0" w:color="auto"/>
        <w:right w:val="none" w:sz="0" w:space="0" w:color="auto"/>
      </w:divBdr>
    </w:div>
    <w:div w:id="651832357">
      <w:bodyDiv w:val="1"/>
      <w:marLeft w:val="0"/>
      <w:marRight w:val="0"/>
      <w:marTop w:val="0"/>
      <w:marBottom w:val="0"/>
      <w:divBdr>
        <w:top w:val="none" w:sz="0" w:space="0" w:color="auto"/>
        <w:left w:val="none" w:sz="0" w:space="0" w:color="auto"/>
        <w:bottom w:val="none" w:sz="0" w:space="0" w:color="auto"/>
        <w:right w:val="none" w:sz="0" w:space="0" w:color="auto"/>
      </w:divBdr>
    </w:div>
    <w:div w:id="692996370">
      <w:bodyDiv w:val="1"/>
      <w:marLeft w:val="0"/>
      <w:marRight w:val="0"/>
      <w:marTop w:val="0"/>
      <w:marBottom w:val="0"/>
      <w:divBdr>
        <w:top w:val="none" w:sz="0" w:space="0" w:color="auto"/>
        <w:left w:val="none" w:sz="0" w:space="0" w:color="auto"/>
        <w:bottom w:val="none" w:sz="0" w:space="0" w:color="auto"/>
        <w:right w:val="none" w:sz="0" w:space="0" w:color="auto"/>
      </w:divBdr>
    </w:div>
    <w:div w:id="762653668">
      <w:bodyDiv w:val="1"/>
      <w:marLeft w:val="0"/>
      <w:marRight w:val="0"/>
      <w:marTop w:val="0"/>
      <w:marBottom w:val="0"/>
      <w:divBdr>
        <w:top w:val="none" w:sz="0" w:space="0" w:color="auto"/>
        <w:left w:val="none" w:sz="0" w:space="0" w:color="auto"/>
        <w:bottom w:val="none" w:sz="0" w:space="0" w:color="auto"/>
        <w:right w:val="none" w:sz="0" w:space="0" w:color="auto"/>
      </w:divBdr>
    </w:div>
    <w:div w:id="798185761">
      <w:bodyDiv w:val="1"/>
      <w:marLeft w:val="0"/>
      <w:marRight w:val="0"/>
      <w:marTop w:val="0"/>
      <w:marBottom w:val="0"/>
      <w:divBdr>
        <w:top w:val="none" w:sz="0" w:space="0" w:color="auto"/>
        <w:left w:val="none" w:sz="0" w:space="0" w:color="auto"/>
        <w:bottom w:val="none" w:sz="0" w:space="0" w:color="auto"/>
        <w:right w:val="none" w:sz="0" w:space="0" w:color="auto"/>
      </w:divBdr>
    </w:div>
    <w:div w:id="1000236485">
      <w:bodyDiv w:val="1"/>
      <w:marLeft w:val="0"/>
      <w:marRight w:val="0"/>
      <w:marTop w:val="0"/>
      <w:marBottom w:val="0"/>
      <w:divBdr>
        <w:top w:val="none" w:sz="0" w:space="0" w:color="auto"/>
        <w:left w:val="none" w:sz="0" w:space="0" w:color="auto"/>
        <w:bottom w:val="none" w:sz="0" w:space="0" w:color="auto"/>
        <w:right w:val="none" w:sz="0" w:space="0" w:color="auto"/>
      </w:divBdr>
    </w:div>
    <w:div w:id="1070998794">
      <w:bodyDiv w:val="1"/>
      <w:marLeft w:val="0"/>
      <w:marRight w:val="0"/>
      <w:marTop w:val="0"/>
      <w:marBottom w:val="0"/>
      <w:divBdr>
        <w:top w:val="none" w:sz="0" w:space="0" w:color="auto"/>
        <w:left w:val="none" w:sz="0" w:space="0" w:color="auto"/>
        <w:bottom w:val="none" w:sz="0" w:space="0" w:color="auto"/>
        <w:right w:val="none" w:sz="0" w:space="0" w:color="auto"/>
      </w:divBdr>
    </w:div>
    <w:div w:id="1157039892">
      <w:bodyDiv w:val="1"/>
      <w:marLeft w:val="0"/>
      <w:marRight w:val="0"/>
      <w:marTop w:val="0"/>
      <w:marBottom w:val="0"/>
      <w:divBdr>
        <w:top w:val="none" w:sz="0" w:space="0" w:color="auto"/>
        <w:left w:val="none" w:sz="0" w:space="0" w:color="auto"/>
        <w:bottom w:val="none" w:sz="0" w:space="0" w:color="auto"/>
        <w:right w:val="none" w:sz="0" w:space="0" w:color="auto"/>
      </w:divBdr>
    </w:div>
    <w:div w:id="1306273592">
      <w:bodyDiv w:val="1"/>
      <w:marLeft w:val="0"/>
      <w:marRight w:val="0"/>
      <w:marTop w:val="0"/>
      <w:marBottom w:val="0"/>
      <w:divBdr>
        <w:top w:val="none" w:sz="0" w:space="0" w:color="auto"/>
        <w:left w:val="none" w:sz="0" w:space="0" w:color="auto"/>
        <w:bottom w:val="none" w:sz="0" w:space="0" w:color="auto"/>
        <w:right w:val="none" w:sz="0" w:space="0" w:color="auto"/>
      </w:divBdr>
    </w:div>
    <w:div w:id="1599369163">
      <w:bodyDiv w:val="1"/>
      <w:marLeft w:val="0"/>
      <w:marRight w:val="0"/>
      <w:marTop w:val="0"/>
      <w:marBottom w:val="0"/>
      <w:divBdr>
        <w:top w:val="none" w:sz="0" w:space="0" w:color="auto"/>
        <w:left w:val="none" w:sz="0" w:space="0" w:color="auto"/>
        <w:bottom w:val="none" w:sz="0" w:space="0" w:color="auto"/>
        <w:right w:val="none" w:sz="0" w:space="0" w:color="auto"/>
      </w:divBdr>
    </w:div>
    <w:div w:id="1628582581">
      <w:bodyDiv w:val="1"/>
      <w:marLeft w:val="0"/>
      <w:marRight w:val="0"/>
      <w:marTop w:val="0"/>
      <w:marBottom w:val="0"/>
      <w:divBdr>
        <w:top w:val="none" w:sz="0" w:space="0" w:color="auto"/>
        <w:left w:val="none" w:sz="0" w:space="0" w:color="auto"/>
        <w:bottom w:val="none" w:sz="0" w:space="0" w:color="auto"/>
        <w:right w:val="none" w:sz="0" w:space="0" w:color="auto"/>
      </w:divBdr>
    </w:div>
    <w:div w:id="1631788472">
      <w:bodyDiv w:val="1"/>
      <w:marLeft w:val="0"/>
      <w:marRight w:val="0"/>
      <w:marTop w:val="0"/>
      <w:marBottom w:val="0"/>
      <w:divBdr>
        <w:top w:val="none" w:sz="0" w:space="0" w:color="auto"/>
        <w:left w:val="none" w:sz="0" w:space="0" w:color="auto"/>
        <w:bottom w:val="none" w:sz="0" w:space="0" w:color="auto"/>
        <w:right w:val="none" w:sz="0" w:space="0" w:color="auto"/>
      </w:divBdr>
    </w:div>
    <w:div w:id="1754737312">
      <w:bodyDiv w:val="1"/>
      <w:marLeft w:val="0"/>
      <w:marRight w:val="0"/>
      <w:marTop w:val="0"/>
      <w:marBottom w:val="0"/>
      <w:divBdr>
        <w:top w:val="none" w:sz="0" w:space="0" w:color="auto"/>
        <w:left w:val="none" w:sz="0" w:space="0" w:color="auto"/>
        <w:bottom w:val="none" w:sz="0" w:space="0" w:color="auto"/>
        <w:right w:val="none" w:sz="0" w:space="0" w:color="auto"/>
      </w:divBdr>
    </w:div>
    <w:div w:id="1782795857">
      <w:bodyDiv w:val="1"/>
      <w:marLeft w:val="0"/>
      <w:marRight w:val="0"/>
      <w:marTop w:val="0"/>
      <w:marBottom w:val="0"/>
      <w:divBdr>
        <w:top w:val="none" w:sz="0" w:space="0" w:color="auto"/>
        <w:left w:val="none" w:sz="0" w:space="0" w:color="auto"/>
        <w:bottom w:val="none" w:sz="0" w:space="0" w:color="auto"/>
        <w:right w:val="none" w:sz="0" w:space="0" w:color="auto"/>
      </w:divBdr>
    </w:div>
    <w:div w:id="1841696433">
      <w:bodyDiv w:val="1"/>
      <w:marLeft w:val="0"/>
      <w:marRight w:val="0"/>
      <w:marTop w:val="0"/>
      <w:marBottom w:val="0"/>
      <w:divBdr>
        <w:top w:val="none" w:sz="0" w:space="0" w:color="auto"/>
        <w:left w:val="none" w:sz="0" w:space="0" w:color="auto"/>
        <w:bottom w:val="none" w:sz="0" w:space="0" w:color="auto"/>
        <w:right w:val="none" w:sz="0" w:space="0" w:color="auto"/>
      </w:divBdr>
    </w:div>
    <w:div w:id="1888646169">
      <w:bodyDiv w:val="1"/>
      <w:marLeft w:val="0"/>
      <w:marRight w:val="0"/>
      <w:marTop w:val="0"/>
      <w:marBottom w:val="0"/>
      <w:divBdr>
        <w:top w:val="none" w:sz="0" w:space="0" w:color="auto"/>
        <w:left w:val="none" w:sz="0" w:space="0" w:color="auto"/>
        <w:bottom w:val="none" w:sz="0" w:space="0" w:color="auto"/>
        <w:right w:val="none" w:sz="0" w:space="0" w:color="auto"/>
      </w:divBdr>
    </w:div>
    <w:div w:id="1935429135">
      <w:bodyDiv w:val="1"/>
      <w:marLeft w:val="0"/>
      <w:marRight w:val="0"/>
      <w:marTop w:val="0"/>
      <w:marBottom w:val="0"/>
      <w:divBdr>
        <w:top w:val="none" w:sz="0" w:space="0" w:color="auto"/>
        <w:left w:val="none" w:sz="0" w:space="0" w:color="auto"/>
        <w:bottom w:val="none" w:sz="0" w:space="0" w:color="auto"/>
        <w:right w:val="none" w:sz="0" w:space="0" w:color="auto"/>
      </w:divBdr>
    </w:div>
    <w:div w:id="1992516130">
      <w:bodyDiv w:val="1"/>
      <w:marLeft w:val="0"/>
      <w:marRight w:val="0"/>
      <w:marTop w:val="0"/>
      <w:marBottom w:val="0"/>
      <w:divBdr>
        <w:top w:val="none" w:sz="0" w:space="0" w:color="auto"/>
        <w:left w:val="none" w:sz="0" w:space="0" w:color="auto"/>
        <w:bottom w:val="none" w:sz="0" w:space="0" w:color="auto"/>
        <w:right w:val="none" w:sz="0" w:space="0" w:color="auto"/>
      </w:divBdr>
    </w:div>
    <w:div w:id="21032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3B81F-1562-4E92-BCB0-987A6C3A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4122</Words>
  <Characters>23499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Miguelino, Eric@Waterboards</dc:creator>
  <cp:lastModifiedBy>Eric</cp:lastModifiedBy>
  <cp:revision>2</cp:revision>
  <cp:lastPrinted>2020-09-04T01:17:00Z</cp:lastPrinted>
  <dcterms:created xsi:type="dcterms:W3CDTF">2021-03-22T23:17:00Z</dcterms:created>
  <dcterms:modified xsi:type="dcterms:W3CDTF">2021-03-22T23:17:00Z</dcterms:modified>
</cp:coreProperties>
</file>