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7B63C" w14:textId="05C280D1" w:rsidR="00815DB2" w:rsidRPr="003256A2" w:rsidRDefault="00815DB2" w:rsidP="003256A2">
      <w:pPr>
        <w:spacing w:after="120"/>
        <w:rPr>
          <w:rFonts w:ascii="Arial" w:hAnsi="Arial" w:cs="Arial"/>
          <w:b/>
          <w:bCs/>
          <w:caps/>
          <w:sz w:val="24"/>
          <w:szCs w:val="24"/>
        </w:rPr>
      </w:pPr>
      <w:bookmarkStart w:id="0" w:name="_Toc532638644"/>
      <w:bookmarkStart w:id="1" w:name="_Toc532641332"/>
      <w:bookmarkStart w:id="2" w:name="_Toc532792578"/>
      <w:bookmarkStart w:id="3" w:name="_Toc69541013"/>
      <w:bookmarkStart w:id="4" w:name="_Toc73861397"/>
      <w:bookmarkStart w:id="5" w:name="_Toc73862134"/>
      <w:bookmarkStart w:id="6" w:name="_Toc73864654"/>
      <w:bookmarkStart w:id="7" w:name="_Toc87836462"/>
      <w:r w:rsidRPr="003256A2">
        <w:rPr>
          <w:rFonts w:ascii="Arial" w:hAnsi="Arial" w:cs="Arial"/>
          <w:b/>
          <w:bCs/>
          <w:caps/>
          <w:sz w:val="24"/>
          <w:szCs w:val="24"/>
        </w:rPr>
        <w:t>Initial Statement of Reasons</w:t>
      </w:r>
      <w:r w:rsidR="00173594" w:rsidRPr="003256A2">
        <w:rPr>
          <w:rFonts w:ascii="Arial" w:hAnsi="Arial" w:cs="Arial"/>
          <w:b/>
          <w:bCs/>
          <w:caps/>
          <w:sz w:val="24"/>
          <w:szCs w:val="24"/>
        </w:rPr>
        <w:t xml:space="preserve"> - ADDENDUM</w:t>
      </w:r>
    </w:p>
    <w:p w14:paraId="3666CB27" w14:textId="77777777" w:rsidR="00815DB2" w:rsidRPr="003256A2" w:rsidRDefault="00815DB2" w:rsidP="003256A2">
      <w:pPr>
        <w:spacing w:after="0"/>
        <w:outlineLvl w:val="0"/>
        <w:rPr>
          <w:rFonts w:ascii="Arial" w:hAnsi="Arial" w:cs="Arial"/>
          <w:color w:val="000000"/>
          <w:sz w:val="24"/>
          <w:szCs w:val="24"/>
        </w:rPr>
      </w:pPr>
      <w:r w:rsidRPr="003256A2">
        <w:rPr>
          <w:rFonts w:ascii="Arial" w:hAnsi="Arial" w:cs="Arial"/>
          <w:b/>
          <w:sz w:val="24"/>
          <w:szCs w:val="24"/>
        </w:rPr>
        <w:t>Perchlorate Detection Limit for Purposes of Reporting (DLR)</w:t>
      </w:r>
    </w:p>
    <w:p w14:paraId="208C6937" w14:textId="228CB6BE" w:rsidR="00815DB2" w:rsidRDefault="00815DB2" w:rsidP="003256A2">
      <w:pPr>
        <w:rPr>
          <w:rFonts w:ascii="Arial" w:hAnsi="Arial" w:cs="Arial"/>
          <w:b/>
          <w:sz w:val="24"/>
          <w:szCs w:val="24"/>
        </w:rPr>
      </w:pPr>
      <w:r w:rsidRPr="003256A2">
        <w:rPr>
          <w:rFonts w:ascii="Arial" w:hAnsi="Arial" w:cs="Arial"/>
          <w:b/>
          <w:sz w:val="24"/>
          <w:szCs w:val="24"/>
        </w:rPr>
        <w:t>Title 22, California Code of Regulations</w:t>
      </w:r>
    </w:p>
    <w:p w14:paraId="40A656B6" w14:textId="47C69B6E" w:rsidR="008A6891" w:rsidRDefault="00914480" w:rsidP="00914480">
      <w:pPr>
        <w:rPr>
          <w:rFonts w:ascii="Arial" w:hAnsi="Arial" w:cs="Arial"/>
          <w:sz w:val="24"/>
          <w:szCs w:val="24"/>
        </w:rPr>
      </w:pPr>
      <w:r w:rsidRPr="00DC58B9">
        <w:rPr>
          <w:rFonts w:ascii="Arial" w:hAnsi="Arial" w:cs="Arial"/>
          <w:sz w:val="24"/>
          <w:szCs w:val="24"/>
        </w:rPr>
        <w:t xml:space="preserve">This addendum identifies changes to the Initial Statement of Reasons (ISR).  If there is </w:t>
      </w:r>
      <w:r w:rsidR="00DC58B9">
        <w:rPr>
          <w:rFonts w:ascii="Arial" w:hAnsi="Arial" w:cs="Arial"/>
          <w:sz w:val="24"/>
          <w:szCs w:val="24"/>
        </w:rPr>
        <w:t>revision</w:t>
      </w:r>
      <w:r w:rsidRPr="00DC58B9">
        <w:rPr>
          <w:rFonts w:ascii="Arial" w:hAnsi="Arial" w:cs="Arial"/>
          <w:sz w:val="24"/>
          <w:szCs w:val="24"/>
        </w:rPr>
        <w:t xml:space="preserve"> to </w:t>
      </w:r>
      <w:r w:rsidR="00DC58B9">
        <w:rPr>
          <w:rFonts w:ascii="Arial" w:hAnsi="Arial" w:cs="Arial"/>
          <w:sz w:val="24"/>
          <w:szCs w:val="24"/>
        </w:rPr>
        <w:t xml:space="preserve">the </w:t>
      </w:r>
      <w:r w:rsidRPr="00DC58B9">
        <w:rPr>
          <w:rFonts w:ascii="Arial" w:hAnsi="Arial" w:cs="Arial"/>
          <w:sz w:val="24"/>
          <w:szCs w:val="24"/>
        </w:rPr>
        <w:t>text</w:t>
      </w:r>
      <w:r w:rsidR="00DC58B9">
        <w:rPr>
          <w:rFonts w:ascii="Arial" w:hAnsi="Arial" w:cs="Arial"/>
          <w:sz w:val="24"/>
          <w:szCs w:val="24"/>
        </w:rPr>
        <w:t xml:space="preserve"> in the ISR</w:t>
      </w:r>
      <w:r w:rsidRPr="00DC58B9">
        <w:rPr>
          <w:rFonts w:ascii="Arial" w:hAnsi="Arial" w:cs="Arial"/>
          <w:sz w:val="24"/>
          <w:szCs w:val="24"/>
        </w:rPr>
        <w:t xml:space="preserve">, this document will refer to the specific heading from the previously noticed ISR and present the subsequent text. </w:t>
      </w:r>
      <w:r w:rsidR="00B522ED">
        <w:rPr>
          <w:rFonts w:ascii="Arial" w:hAnsi="Arial" w:cs="Arial"/>
          <w:sz w:val="24"/>
          <w:szCs w:val="24"/>
        </w:rPr>
        <w:t xml:space="preserve"> </w:t>
      </w:r>
      <w:r w:rsidRPr="00DC58B9">
        <w:rPr>
          <w:rFonts w:ascii="Arial" w:hAnsi="Arial" w:cs="Arial"/>
          <w:sz w:val="24"/>
          <w:szCs w:val="24"/>
        </w:rPr>
        <w:t xml:space="preserve">All text changes will </w:t>
      </w:r>
      <w:r w:rsidR="007C2487" w:rsidRPr="00DC58B9">
        <w:rPr>
          <w:rFonts w:ascii="Arial" w:hAnsi="Arial" w:cs="Arial"/>
          <w:sz w:val="24"/>
          <w:szCs w:val="24"/>
        </w:rPr>
        <w:t xml:space="preserve">be </w:t>
      </w:r>
      <w:r w:rsidRPr="00DC58B9">
        <w:rPr>
          <w:rFonts w:ascii="Arial" w:hAnsi="Arial" w:cs="Arial"/>
          <w:sz w:val="24"/>
          <w:szCs w:val="24"/>
        </w:rPr>
        <w:t xml:space="preserve">indicated using a single </w:t>
      </w:r>
      <w:r w:rsidRPr="00DC58B9">
        <w:rPr>
          <w:rFonts w:ascii="Arial" w:hAnsi="Arial" w:cs="Arial"/>
          <w:sz w:val="24"/>
          <w:szCs w:val="24"/>
          <w:u w:val="single"/>
        </w:rPr>
        <w:t>underline</w:t>
      </w:r>
      <w:r w:rsidRPr="00DC58B9">
        <w:rPr>
          <w:rFonts w:ascii="Arial" w:hAnsi="Arial" w:cs="Arial"/>
          <w:sz w:val="24"/>
          <w:szCs w:val="24"/>
        </w:rPr>
        <w:t xml:space="preserve"> for </w:t>
      </w:r>
      <w:r w:rsidR="001358E5">
        <w:rPr>
          <w:rFonts w:ascii="Arial" w:hAnsi="Arial" w:cs="Arial"/>
          <w:sz w:val="24"/>
          <w:szCs w:val="24"/>
        </w:rPr>
        <w:t>revised</w:t>
      </w:r>
      <w:r w:rsidR="001358E5" w:rsidRPr="00DC58B9">
        <w:rPr>
          <w:rFonts w:ascii="Arial" w:hAnsi="Arial" w:cs="Arial"/>
          <w:sz w:val="24"/>
          <w:szCs w:val="24"/>
        </w:rPr>
        <w:t xml:space="preserve"> </w:t>
      </w:r>
      <w:r w:rsidRPr="00DC58B9">
        <w:rPr>
          <w:rFonts w:ascii="Arial" w:hAnsi="Arial" w:cs="Arial"/>
          <w:sz w:val="24"/>
          <w:szCs w:val="24"/>
        </w:rPr>
        <w:t xml:space="preserve">text and single </w:t>
      </w:r>
      <w:r w:rsidRPr="00DC58B9">
        <w:rPr>
          <w:rFonts w:ascii="Arial" w:hAnsi="Arial" w:cs="Arial"/>
          <w:strike/>
          <w:sz w:val="24"/>
          <w:szCs w:val="24"/>
        </w:rPr>
        <w:t>strikeout</w:t>
      </w:r>
      <w:r w:rsidRPr="00DC58B9">
        <w:rPr>
          <w:rFonts w:ascii="Arial" w:hAnsi="Arial" w:cs="Arial"/>
          <w:sz w:val="24"/>
          <w:szCs w:val="24"/>
        </w:rPr>
        <w:t xml:space="preserve"> for deleted text.</w:t>
      </w:r>
    </w:p>
    <w:p w14:paraId="21D4AC02" w14:textId="77777777" w:rsidR="008A6891" w:rsidRPr="009F386E" w:rsidRDefault="008A6891" w:rsidP="008A6891">
      <w:pPr>
        <w:keepNext/>
        <w:numPr>
          <w:ilvl w:val="0"/>
          <w:numId w:val="4"/>
        </w:numPr>
        <w:spacing w:after="120"/>
        <w:rPr>
          <w:rFonts w:ascii="Arial" w:hAnsi="Arial" w:cs="Arial"/>
          <w:b/>
          <w:sz w:val="24"/>
          <w:szCs w:val="24"/>
        </w:rPr>
      </w:pPr>
      <w:r w:rsidRPr="009F386E">
        <w:rPr>
          <w:rFonts w:ascii="Arial" w:hAnsi="Arial" w:cs="Arial"/>
          <w:b/>
          <w:sz w:val="24"/>
          <w:szCs w:val="24"/>
        </w:rPr>
        <w:t>BACKGROUND/AUTHORITY (PROBLEM STATEMENT)</w:t>
      </w:r>
    </w:p>
    <w:p w14:paraId="76D77B86" w14:textId="77777777" w:rsidR="008A6891" w:rsidRPr="009F386E" w:rsidRDefault="008A6891" w:rsidP="008A6891">
      <w:pPr>
        <w:rPr>
          <w:rFonts w:ascii="Arial" w:hAnsi="Arial" w:cs="Arial"/>
          <w:sz w:val="24"/>
          <w:szCs w:val="24"/>
        </w:rPr>
      </w:pPr>
      <w:r w:rsidRPr="009F386E">
        <w:rPr>
          <w:rFonts w:ascii="Arial" w:hAnsi="Arial" w:cs="Arial"/>
          <w:sz w:val="24"/>
          <w:szCs w:val="24"/>
        </w:rPr>
        <w:t xml:space="preserve">Health and Safety Code (HSC) section 116270 states California’s legislative intent to establish primary drinking water standards at least as stringent as those under the federal Safe Drinking Water Act and to establish a program that is more protective of public health than the minimum federal requirements.  HSC subsections 116365(a) and (b) require the State Water Resources Control Board (State Water Board) to adopt primary drinking water standards for contaminants.  Each standard must be set at a level as close as feasible to the corresponding public health goal (PHG), placing primary emphasis on the protection of public health, and meeting, to the extent technologically and economically feasible, HSC 116365(a) conditions.  HSC 116365(g) requires review of each primary drinking water standard at least once every five years.  If changes in technology or treatment techniques permit materially greater protection of public health or attainment of the PHG, then the State Water Board must amend the standard.  </w:t>
      </w:r>
    </w:p>
    <w:p w14:paraId="43AAC9BA" w14:textId="77777777" w:rsidR="008A6891" w:rsidRPr="009F386E" w:rsidRDefault="008A6891" w:rsidP="008A6891">
      <w:pPr>
        <w:rPr>
          <w:rFonts w:ascii="Arial" w:hAnsi="Arial" w:cs="Arial"/>
          <w:sz w:val="24"/>
          <w:szCs w:val="24"/>
        </w:rPr>
      </w:pPr>
      <w:r w:rsidRPr="009F386E">
        <w:rPr>
          <w:rFonts w:ascii="Arial" w:hAnsi="Arial" w:cs="Arial"/>
          <w:sz w:val="24"/>
          <w:szCs w:val="24"/>
        </w:rPr>
        <w:t>The perchlorate primary drinking water standard is expressed in the form of a maximum contaminant level (MCL)</w:t>
      </w:r>
      <w:r>
        <w:rPr>
          <w:rFonts w:ascii="Arial" w:hAnsi="Arial" w:cs="Arial"/>
          <w:sz w:val="24"/>
          <w:szCs w:val="24"/>
        </w:rPr>
        <w:t xml:space="preserve"> and associated monitoring and reporting requirements</w:t>
      </w:r>
      <w:r w:rsidRPr="009F386E">
        <w:rPr>
          <w:rFonts w:ascii="Arial" w:hAnsi="Arial" w:cs="Arial"/>
          <w:sz w:val="24"/>
          <w:szCs w:val="24"/>
        </w:rPr>
        <w:t xml:space="preserve"> as described in HSC 116275, </w:t>
      </w:r>
      <w:r>
        <w:rPr>
          <w:rFonts w:ascii="Arial" w:hAnsi="Arial" w:cs="Arial"/>
          <w:sz w:val="24"/>
          <w:szCs w:val="24"/>
        </w:rPr>
        <w:t xml:space="preserve">including </w:t>
      </w:r>
      <w:r w:rsidRPr="009F386E">
        <w:rPr>
          <w:rFonts w:ascii="Arial" w:hAnsi="Arial" w:cs="Arial"/>
          <w:sz w:val="24"/>
          <w:szCs w:val="24"/>
        </w:rPr>
        <w:t>a</w:t>
      </w:r>
      <w:r>
        <w:rPr>
          <w:rFonts w:ascii="Arial" w:hAnsi="Arial" w:cs="Arial"/>
          <w:sz w:val="24"/>
          <w:szCs w:val="24"/>
        </w:rPr>
        <w:t xml:space="preserve"> </w:t>
      </w:r>
      <w:r w:rsidRPr="009F386E">
        <w:rPr>
          <w:rFonts w:ascii="Arial" w:hAnsi="Arial" w:cs="Arial"/>
          <w:sz w:val="24"/>
          <w:szCs w:val="24"/>
        </w:rPr>
        <w:t xml:space="preserve">Detection Limit for Purposes of Reporting (DLR) as defined in 22 </w:t>
      </w:r>
      <w:r>
        <w:rPr>
          <w:rFonts w:ascii="Arial" w:hAnsi="Arial" w:cs="Arial"/>
          <w:sz w:val="24"/>
          <w:szCs w:val="24"/>
        </w:rPr>
        <w:t>California Code of Regulations (CCR)</w:t>
      </w:r>
      <w:r w:rsidRPr="009F386E">
        <w:rPr>
          <w:rFonts w:ascii="Arial" w:hAnsi="Arial" w:cs="Arial"/>
          <w:sz w:val="24"/>
          <w:szCs w:val="24"/>
        </w:rPr>
        <w:t xml:space="preserve">, section 64400.34.  </w:t>
      </w:r>
      <w:r>
        <w:rPr>
          <w:rFonts w:ascii="Arial" w:hAnsi="Arial" w:cs="Arial"/>
          <w:sz w:val="24"/>
          <w:szCs w:val="24"/>
        </w:rPr>
        <w:t xml:space="preserve">The current perchlorate MCL and DLR are </w:t>
      </w:r>
      <w:r w:rsidRPr="009F386E">
        <w:rPr>
          <w:rFonts w:ascii="Arial" w:hAnsi="Arial" w:cs="Arial"/>
          <w:sz w:val="24"/>
          <w:szCs w:val="24"/>
        </w:rPr>
        <w:t>0.006 mg/L</w:t>
      </w:r>
      <w:r>
        <w:rPr>
          <w:rFonts w:ascii="Arial" w:hAnsi="Arial" w:cs="Arial"/>
          <w:sz w:val="24"/>
          <w:szCs w:val="24"/>
        </w:rPr>
        <w:t xml:space="preserve"> and </w:t>
      </w:r>
      <w:r w:rsidRPr="009F386E">
        <w:rPr>
          <w:rFonts w:ascii="Arial" w:hAnsi="Arial" w:cs="Arial"/>
          <w:sz w:val="24"/>
          <w:szCs w:val="24"/>
        </w:rPr>
        <w:t>0.004 mg/L</w:t>
      </w:r>
      <w:r>
        <w:rPr>
          <w:rFonts w:ascii="Arial" w:hAnsi="Arial" w:cs="Arial"/>
          <w:sz w:val="24"/>
          <w:szCs w:val="24"/>
        </w:rPr>
        <w:t>, respectively</w:t>
      </w:r>
      <w:r w:rsidRPr="009F386E">
        <w:rPr>
          <w:rFonts w:ascii="Arial" w:hAnsi="Arial" w:cs="Arial"/>
          <w:sz w:val="24"/>
          <w:szCs w:val="24"/>
        </w:rPr>
        <w:t xml:space="preserve">. </w:t>
      </w:r>
    </w:p>
    <w:p w14:paraId="0A09BCC4" w14:textId="77777777" w:rsidR="008A6891" w:rsidRPr="009F386E" w:rsidRDefault="008A6891" w:rsidP="008A6891">
      <w:pPr>
        <w:rPr>
          <w:rFonts w:ascii="Arial" w:hAnsi="Arial" w:cs="Arial"/>
          <w:sz w:val="24"/>
          <w:szCs w:val="24"/>
        </w:rPr>
      </w:pPr>
      <w:r w:rsidRPr="009F386E">
        <w:rPr>
          <w:rFonts w:ascii="Arial" w:hAnsi="Arial" w:cs="Arial"/>
          <w:sz w:val="24"/>
          <w:szCs w:val="24"/>
        </w:rPr>
        <w:t>Pursuant to HSC 116365(c), the Office of Environmental Health Hazard Assessment (OEHHA) prepares and publishes an assessment of public health risks posed by each contaminant for which the State Water Board proposes a primary drinking water standard.  This risk assessment includes an estimate, the PHG, of the drinking water contaminant level that is not anticipated to cause or contribute to adverse health effects, or that does not pose any significant health risk.</w:t>
      </w:r>
    </w:p>
    <w:p w14:paraId="623C491B" w14:textId="77777777" w:rsidR="008A6891" w:rsidRDefault="008A6891" w:rsidP="003256A2">
      <w:pPr>
        <w:rPr>
          <w:rFonts w:ascii="Arial" w:hAnsi="Arial" w:cs="Arial"/>
          <w:sz w:val="24"/>
          <w:szCs w:val="24"/>
        </w:rPr>
      </w:pPr>
      <w:r w:rsidRPr="009F386E">
        <w:rPr>
          <w:rFonts w:ascii="Arial" w:hAnsi="Arial" w:cs="Arial"/>
          <w:sz w:val="24"/>
          <w:szCs w:val="24"/>
        </w:rPr>
        <w:t xml:space="preserve">In 2015, OEHHA revised the perchlorate PHG from 0.006 mg/L to 0.001 mg/L.  Consistent with </w:t>
      </w:r>
      <w:r>
        <w:rPr>
          <w:rFonts w:ascii="Arial" w:hAnsi="Arial" w:cs="Arial"/>
          <w:sz w:val="24"/>
          <w:szCs w:val="24"/>
        </w:rPr>
        <w:t xml:space="preserve">HSC </w:t>
      </w:r>
      <w:r w:rsidRPr="009F386E">
        <w:rPr>
          <w:rFonts w:ascii="Arial" w:hAnsi="Arial" w:cs="Arial"/>
          <w:sz w:val="24"/>
          <w:szCs w:val="24"/>
        </w:rPr>
        <w:t xml:space="preserve">116365(g), this revision was considered in the State Water Board’s 2016 review of the perchlorate MCL.  While analytical methods are available to report data at concentrations lower than the current </w:t>
      </w:r>
      <w:r>
        <w:rPr>
          <w:rFonts w:ascii="Arial" w:hAnsi="Arial" w:cs="Arial"/>
          <w:sz w:val="24"/>
          <w:szCs w:val="24"/>
        </w:rPr>
        <w:t xml:space="preserve">DLR of </w:t>
      </w:r>
      <w:r w:rsidRPr="009F386E">
        <w:rPr>
          <w:rFonts w:ascii="Arial" w:hAnsi="Arial" w:cs="Arial"/>
          <w:sz w:val="24"/>
          <w:szCs w:val="24"/>
        </w:rPr>
        <w:t xml:space="preserve">0.004 mg/L, many water systems and laboratories quantify reported concentrations only as low as the DLR.  The lack of perchlorate occurrence data at concentrations below the current DLR hinders the State Water Board’s ability to evaluate whether technology </w:t>
      </w:r>
      <w:r>
        <w:rPr>
          <w:rFonts w:ascii="Arial" w:hAnsi="Arial" w:cs="Arial"/>
          <w:sz w:val="24"/>
          <w:szCs w:val="24"/>
        </w:rPr>
        <w:t>can achieve</w:t>
      </w:r>
      <w:r w:rsidRPr="009F386E">
        <w:rPr>
          <w:rFonts w:ascii="Arial" w:hAnsi="Arial" w:cs="Arial"/>
          <w:sz w:val="24"/>
          <w:szCs w:val="24"/>
        </w:rPr>
        <w:t xml:space="preserve"> a materially greater protection of public health or attainment of the public health goal than the current DLR of 0.004 mg/</w:t>
      </w:r>
      <w:r>
        <w:rPr>
          <w:rFonts w:ascii="Arial" w:hAnsi="Arial" w:cs="Arial"/>
          <w:sz w:val="24"/>
          <w:szCs w:val="24"/>
        </w:rPr>
        <w:t>L</w:t>
      </w:r>
      <w:r w:rsidRPr="009F386E">
        <w:rPr>
          <w:rFonts w:ascii="Arial" w:hAnsi="Arial" w:cs="Arial"/>
          <w:sz w:val="24"/>
          <w:szCs w:val="24"/>
        </w:rPr>
        <w:t>, and determine the economic feasibility of lowering the MCL.</w:t>
      </w:r>
    </w:p>
    <w:p w14:paraId="54BBB20A" w14:textId="5188DB07" w:rsidR="00651A3B" w:rsidRPr="00656A58" w:rsidRDefault="00651A3B" w:rsidP="00651A3B">
      <w:pPr>
        <w:rPr>
          <w:rFonts w:ascii="Arial" w:hAnsi="Arial" w:cs="Arial"/>
          <w:sz w:val="24"/>
          <w:szCs w:val="24"/>
        </w:rPr>
      </w:pPr>
      <w:r w:rsidRPr="00013214">
        <w:rPr>
          <w:rFonts w:ascii="Arial" w:hAnsi="Arial" w:cs="Arial"/>
          <w:color w:val="222222"/>
          <w:sz w:val="24"/>
          <w:szCs w:val="24"/>
          <w:shd w:val="clear" w:color="auto" w:fill="FFFFFF"/>
        </w:rPr>
        <w:lastRenderedPageBreak/>
        <w:t>T</w:t>
      </w:r>
      <w:r w:rsidRPr="00013214">
        <w:rPr>
          <w:rFonts w:ascii="Arial" w:hAnsi="Arial" w:cs="Arial"/>
          <w:sz w:val="24"/>
          <w:szCs w:val="24"/>
        </w:rPr>
        <w:t xml:space="preserve">he State Water Board proposes to </w:t>
      </w:r>
      <w:r w:rsidR="00013214" w:rsidRPr="00013214">
        <w:rPr>
          <w:rFonts w:ascii="Arial" w:hAnsi="Arial" w:cs="Arial"/>
          <w:sz w:val="24"/>
          <w:szCs w:val="24"/>
          <w:u w:val="single"/>
        </w:rPr>
        <w:t>initially</w:t>
      </w:r>
      <w:r w:rsidR="00013214">
        <w:rPr>
          <w:rFonts w:ascii="Arial" w:hAnsi="Arial" w:cs="Arial"/>
          <w:sz w:val="24"/>
          <w:szCs w:val="24"/>
        </w:rPr>
        <w:t xml:space="preserve"> </w:t>
      </w:r>
      <w:r w:rsidRPr="00013214">
        <w:rPr>
          <w:rFonts w:ascii="Arial" w:hAnsi="Arial" w:cs="Arial"/>
          <w:sz w:val="24"/>
          <w:szCs w:val="24"/>
        </w:rPr>
        <w:t>lower the perchlorate DLR from 0.004 mg/L to 0.002 mg/L, which is consistent with current laboratory analytical capabilities</w:t>
      </w:r>
      <w:r w:rsidR="00013214">
        <w:rPr>
          <w:rFonts w:ascii="Arial" w:hAnsi="Arial" w:cs="Arial"/>
          <w:sz w:val="24"/>
          <w:szCs w:val="24"/>
        </w:rPr>
        <w:t xml:space="preserve"> </w:t>
      </w:r>
      <w:r w:rsidR="00013214" w:rsidRPr="00013214">
        <w:rPr>
          <w:rFonts w:ascii="Arial" w:hAnsi="Arial" w:cs="Arial"/>
          <w:sz w:val="24"/>
          <w:szCs w:val="24"/>
          <w:u w:val="single"/>
        </w:rPr>
        <w:t>(</w:t>
      </w:r>
      <w:r w:rsidR="00656A58" w:rsidRPr="00013214">
        <w:rPr>
          <w:rFonts w:ascii="Arial" w:hAnsi="Arial" w:cs="Arial"/>
          <w:sz w:val="24"/>
          <w:szCs w:val="24"/>
          <w:u w:val="single"/>
        </w:rPr>
        <w:t>Phase</w:t>
      </w:r>
      <w:r w:rsidR="00656A58">
        <w:rPr>
          <w:rFonts w:ascii="Arial" w:hAnsi="Arial" w:cs="Arial"/>
          <w:sz w:val="24"/>
          <w:szCs w:val="24"/>
          <w:u w:val="single"/>
        </w:rPr>
        <w:t> </w:t>
      </w:r>
      <w:r w:rsidR="00013214" w:rsidRPr="00013214">
        <w:rPr>
          <w:rFonts w:ascii="Arial" w:hAnsi="Arial" w:cs="Arial"/>
          <w:sz w:val="24"/>
          <w:szCs w:val="24"/>
          <w:u w:val="single"/>
        </w:rPr>
        <w:t>I)</w:t>
      </w:r>
      <w:r w:rsidR="00656A58" w:rsidRPr="00656A58">
        <w:rPr>
          <w:rFonts w:ascii="Arial" w:hAnsi="Arial" w:cs="Arial"/>
          <w:sz w:val="24"/>
          <w:szCs w:val="24"/>
        </w:rPr>
        <w:t>.</w:t>
      </w:r>
      <w:r w:rsidR="00656A58">
        <w:rPr>
          <w:rFonts w:ascii="Arial" w:hAnsi="Arial" w:cs="Arial"/>
          <w:sz w:val="24"/>
          <w:szCs w:val="24"/>
          <w:u w:val="single"/>
        </w:rPr>
        <w:t xml:space="preserve">  </w:t>
      </w:r>
      <w:r w:rsidR="00656A58" w:rsidRPr="00CC2332">
        <w:rPr>
          <w:rFonts w:ascii="Arial" w:hAnsi="Arial" w:cs="Arial"/>
          <w:sz w:val="24"/>
          <w:szCs w:val="24"/>
          <w:u w:val="single"/>
        </w:rPr>
        <w:t xml:space="preserve">The State Water Board </w:t>
      </w:r>
      <w:r w:rsidR="00656A58">
        <w:rPr>
          <w:rFonts w:ascii="Arial" w:hAnsi="Arial" w:cs="Arial"/>
          <w:sz w:val="24"/>
          <w:szCs w:val="24"/>
          <w:u w:val="single"/>
        </w:rPr>
        <w:t xml:space="preserve">further </w:t>
      </w:r>
      <w:r w:rsidR="00656A58" w:rsidRPr="00CC2332">
        <w:rPr>
          <w:rFonts w:ascii="Arial" w:hAnsi="Arial" w:cs="Arial"/>
          <w:sz w:val="24"/>
          <w:szCs w:val="24"/>
          <w:u w:val="single"/>
        </w:rPr>
        <w:t>proposes to lower the perchlorate DLR from 0.00</w:t>
      </w:r>
      <w:r w:rsidR="00656A58">
        <w:rPr>
          <w:rFonts w:ascii="Arial" w:hAnsi="Arial" w:cs="Arial"/>
          <w:sz w:val="24"/>
          <w:szCs w:val="24"/>
          <w:u w:val="single"/>
        </w:rPr>
        <w:t>2</w:t>
      </w:r>
      <w:r w:rsidR="00656A58" w:rsidRPr="00CC2332">
        <w:rPr>
          <w:rFonts w:ascii="Arial" w:hAnsi="Arial" w:cs="Arial"/>
          <w:sz w:val="24"/>
          <w:szCs w:val="24"/>
          <w:u w:val="single"/>
        </w:rPr>
        <w:t xml:space="preserve"> mg/L to the PHG of 0.001 mg/L in a</w:t>
      </w:r>
      <w:r w:rsidR="00656A58">
        <w:rPr>
          <w:rFonts w:ascii="Arial" w:hAnsi="Arial" w:cs="Arial"/>
          <w:sz w:val="24"/>
          <w:szCs w:val="24"/>
          <w:u w:val="single"/>
        </w:rPr>
        <w:t xml:space="preserve"> </w:t>
      </w:r>
      <w:r w:rsidR="00656A58" w:rsidRPr="00013214">
        <w:rPr>
          <w:rFonts w:ascii="Arial" w:hAnsi="Arial" w:cs="Arial"/>
          <w:sz w:val="24"/>
          <w:szCs w:val="24"/>
          <w:u w:val="single"/>
        </w:rPr>
        <w:t xml:space="preserve">second phase </w:t>
      </w:r>
      <w:r w:rsidR="00656A58">
        <w:rPr>
          <w:rFonts w:ascii="Arial" w:hAnsi="Arial" w:cs="Arial"/>
          <w:sz w:val="24"/>
          <w:szCs w:val="24"/>
          <w:u w:val="single"/>
        </w:rPr>
        <w:t xml:space="preserve">effective January 1, 2024, which allows time for the laboratory industry to develop sufficient capacity at the lower concentration </w:t>
      </w:r>
      <w:r w:rsidR="00656A58" w:rsidRPr="00013214">
        <w:rPr>
          <w:rFonts w:ascii="Arial" w:hAnsi="Arial" w:cs="Arial"/>
          <w:sz w:val="24"/>
          <w:szCs w:val="24"/>
          <w:u w:val="single"/>
        </w:rPr>
        <w:t>(Phase II)</w:t>
      </w:r>
      <w:r w:rsidR="00656A58" w:rsidRPr="00CC2332">
        <w:rPr>
          <w:rFonts w:ascii="Arial" w:hAnsi="Arial" w:cs="Arial"/>
          <w:sz w:val="24"/>
          <w:szCs w:val="24"/>
          <w:u w:val="single"/>
        </w:rPr>
        <w:t>.</w:t>
      </w:r>
      <w:r w:rsidRPr="00656A58">
        <w:rPr>
          <w:rFonts w:ascii="Arial" w:hAnsi="Arial" w:cs="Arial"/>
          <w:sz w:val="24"/>
          <w:szCs w:val="24"/>
        </w:rPr>
        <w:t xml:space="preserve">  The proposed DLR</w:t>
      </w:r>
      <w:r w:rsidR="00656A58" w:rsidRPr="00656A58">
        <w:rPr>
          <w:rFonts w:ascii="Arial" w:hAnsi="Arial" w:cs="Arial"/>
          <w:sz w:val="24"/>
          <w:szCs w:val="24"/>
          <w:u w:val="single"/>
        </w:rPr>
        <w:t>s</w:t>
      </w:r>
      <w:r w:rsidRPr="00656A58">
        <w:rPr>
          <w:rFonts w:ascii="Arial" w:hAnsi="Arial" w:cs="Arial"/>
          <w:sz w:val="24"/>
          <w:szCs w:val="24"/>
        </w:rPr>
        <w:t xml:space="preserve"> would not have a significant adverse impact on businesses, water systems, or individuals served by the water systems.</w:t>
      </w:r>
    </w:p>
    <w:p w14:paraId="7374DA1A" w14:textId="750144A8" w:rsidR="00CC2332" w:rsidRPr="00CC2332" w:rsidRDefault="00CC2332" w:rsidP="009843A5">
      <w:pPr>
        <w:rPr>
          <w:rFonts w:ascii="Arial" w:hAnsi="Arial" w:cs="Arial"/>
          <w:sz w:val="24"/>
          <w:szCs w:val="24"/>
        </w:rPr>
      </w:pPr>
      <w:r w:rsidRPr="00CC2332">
        <w:rPr>
          <w:rFonts w:ascii="Arial" w:hAnsi="Arial" w:cs="Arial"/>
          <w:sz w:val="24"/>
          <w:szCs w:val="24"/>
        </w:rPr>
        <w:t>(No change for the remainder of section)</w:t>
      </w:r>
    </w:p>
    <w:p w14:paraId="7BD42D43" w14:textId="77777777" w:rsidR="00462D22" w:rsidRPr="009F386E" w:rsidRDefault="00462D22" w:rsidP="00DC58B9">
      <w:pPr>
        <w:keepNext/>
        <w:numPr>
          <w:ilvl w:val="0"/>
          <w:numId w:val="29"/>
        </w:numPr>
        <w:rPr>
          <w:rFonts w:ascii="Arial" w:hAnsi="Arial" w:cs="Arial"/>
          <w:b/>
          <w:sz w:val="24"/>
          <w:szCs w:val="24"/>
        </w:rPr>
      </w:pPr>
      <w:r w:rsidRPr="009F386E">
        <w:rPr>
          <w:rFonts w:ascii="Arial" w:hAnsi="Arial" w:cs="Arial"/>
          <w:b/>
          <w:sz w:val="24"/>
          <w:szCs w:val="24"/>
        </w:rPr>
        <w:t>SUMMARY OF PROPOSAL AND PURPOSE</w:t>
      </w:r>
    </w:p>
    <w:p w14:paraId="15D96964" w14:textId="77777777" w:rsidR="00462D22" w:rsidRPr="009F386E" w:rsidRDefault="00462D22" w:rsidP="00462D22">
      <w:pPr>
        <w:keepNext/>
        <w:spacing w:after="120" w:line="360" w:lineRule="auto"/>
        <w:rPr>
          <w:rFonts w:ascii="Arial" w:hAnsi="Arial" w:cs="Arial"/>
          <w:bCs/>
          <w:sz w:val="24"/>
          <w:szCs w:val="24"/>
          <w:u w:val="single"/>
        </w:rPr>
      </w:pPr>
      <w:bookmarkStart w:id="8" w:name="_Hlk23246952"/>
      <w:r w:rsidRPr="009F386E">
        <w:rPr>
          <w:rFonts w:ascii="Arial" w:hAnsi="Arial" w:cs="Arial"/>
          <w:bCs/>
          <w:sz w:val="24"/>
          <w:szCs w:val="24"/>
          <w:u w:val="single"/>
        </w:rPr>
        <w:t>Perchlorate DLR proposal:</w:t>
      </w:r>
    </w:p>
    <w:bookmarkEnd w:id="8"/>
    <w:p w14:paraId="50ACD328" w14:textId="77777777" w:rsidR="00462D22" w:rsidRPr="00DC58B9" w:rsidRDefault="00462D22" w:rsidP="00462D22">
      <w:pPr>
        <w:numPr>
          <w:ilvl w:val="0"/>
          <w:numId w:val="2"/>
        </w:numPr>
        <w:tabs>
          <w:tab w:val="clear" w:pos="360"/>
        </w:tabs>
        <w:spacing w:after="200"/>
        <w:ind w:left="810" w:hanging="360"/>
        <w:rPr>
          <w:rFonts w:ascii="Arial" w:hAnsi="Arial" w:cs="Arial"/>
          <w:strike/>
          <w:sz w:val="24"/>
          <w:szCs w:val="24"/>
        </w:rPr>
      </w:pPr>
      <w:r w:rsidRPr="00DC58B9">
        <w:rPr>
          <w:rFonts w:ascii="Arial" w:hAnsi="Arial" w:cs="Arial"/>
          <w:strike/>
          <w:sz w:val="24"/>
          <w:szCs w:val="24"/>
        </w:rPr>
        <w:t>In Table 64432-A, replace the current perchlorate DLR of 0.004 mg/L with a revised perchlorate DLR of 0.002 mg/L.</w:t>
      </w:r>
    </w:p>
    <w:p w14:paraId="112D775B" w14:textId="77777777" w:rsidR="00462D22" w:rsidRPr="00DC58B9" w:rsidRDefault="00462D22" w:rsidP="00462D22">
      <w:pPr>
        <w:rPr>
          <w:rFonts w:ascii="Arial" w:eastAsia="Calibri" w:hAnsi="Arial" w:cs="Arial"/>
          <w:strike/>
          <w:sz w:val="24"/>
          <w:szCs w:val="24"/>
        </w:rPr>
      </w:pPr>
      <w:r w:rsidRPr="00DC58B9">
        <w:rPr>
          <w:rFonts w:ascii="Arial" w:eastAsia="Calibri" w:hAnsi="Arial" w:cs="Arial"/>
          <w:strike/>
          <w:sz w:val="24"/>
          <w:szCs w:val="24"/>
        </w:rPr>
        <w:t xml:space="preserve">The primary purpose of the proposed regulations is to adopt a revised DLR of 0.002 mg/L for perchlorate to allow determination of perchlorate occurrence in drinking water sources at concentrations below the current DLR of 0.004 mg/L.  This will allow determination of whether it is possible to amend the MCL for perchlorate, as required by HSC 116365.  </w:t>
      </w:r>
    </w:p>
    <w:p w14:paraId="0C98A291" w14:textId="218697E1" w:rsidR="00462D22" w:rsidRPr="00DC58B9" w:rsidRDefault="00462D22" w:rsidP="00462D22">
      <w:pPr>
        <w:numPr>
          <w:ilvl w:val="0"/>
          <w:numId w:val="2"/>
        </w:numPr>
        <w:tabs>
          <w:tab w:val="clear" w:pos="360"/>
        </w:tabs>
        <w:spacing w:after="200"/>
        <w:ind w:left="810" w:hanging="360"/>
        <w:rPr>
          <w:rFonts w:ascii="Arial" w:hAnsi="Arial" w:cs="Arial"/>
          <w:sz w:val="24"/>
          <w:szCs w:val="24"/>
          <w:u w:val="single"/>
        </w:rPr>
      </w:pPr>
      <w:r w:rsidRPr="00DC58B9">
        <w:rPr>
          <w:rFonts w:ascii="Arial" w:hAnsi="Arial" w:cs="Arial"/>
          <w:sz w:val="24"/>
          <w:szCs w:val="24"/>
          <w:u w:val="single"/>
        </w:rPr>
        <w:t xml:space="preserve">In Table 64432-A, replace the current perchlorate DLR of 0.004 mg/L with </w:t>
      </w:r>
      <w:r w:rsidR="00013214">
        <w:rPr>
          <w:rFonts w:ascii="Arial" w:hAnsi="Arial" w:cs="Arial"/>
          <w:sz w:val="24"/>
          <w:szCs w:val="24"/>
          <w:u w:val="single"/>
        </w:rPr>
        <w:t>a</w:t>
      </w:r>
      <w:r w:rsidR="00013214" w:rsidRPr="00DC58B9">
        <w:rPr>
          <w:rFonts w:ascii="Arial" w:hAnsi="Arial" w:cs="Arial"/>
          <w:sz w:val="24"/>
          <w:szCs w:val="24"/>
          <w:u w:val="single"/>
        </w:rPr>
        <w:t xml:space="preserve"> </w:t>
      </w:r>
      <w:r w:rsidRPr="00DC58B9">
        <w:rPr>
          <w:rFonts w:ascii="Arial" w:hAnsi="Arial" w:cs="Arial"/>
          <w:sz w:val="24"/>
          <w:szCs w:val="24"/>
          <w:u w:val="single"/>
        </w:rPr>
        <w:t>revised perchlorate DLR of 0.002 mg/L and a DLR of 0.001 mg/L (effective January 1, 2024).</w:t>
      </w:r>
    </w:p>
    <w:p w14:paraId="56A14A66" w14:textId="1F2D5769" w:rsidR="00462D22" w:rsidRPr="00DC58B9" w:rsidRDefault="00462D22" w:rsidP="00462D22">
      <w:pPr>
        <w:rPr>
          <w:rFonts w:ascii="Arial" w:eastAsia="Calibri" w:hAnsi="Arial" w:cs="Arial"/>
          <w:sz w:val="24"/>
          <w:szCs w:val="24"/>
          <w:u w:val="single"/>
        </w:rPr>
      </w:pPr>
      <w:r w:rsidRPr="00DC58B9">
        <w:rPr>
          <w:rFonts w:ascii="Arial" w:eastAsia="Calibri" w:hAnsi="Arial" w:cs="Arial"/>
          <w:sz w:val="24"/>
          <w:szCs w:val="24"/>
          <w:u w:val="single"/>
        </w:rPr>
        <w:t xml:space="preserve">The primary purpose of the proposed regulations is to adopt a revised DLR for perchlorate to allow determination of perchlorate occurrence in drinking water sources at concentrations below the current DLR of 0.004 mg/L. </w:t>
      </w:r>
      <w:r w:rsidR="00B522ED">
        <w:rPr>
          <w:rFonts w:ascii="Arial" w:eastAsia="Calibri" w:hAnsi="Arial" w:cs="Arial"/>
          <w:sz w:val="24"/>
          <w:szCs w:val="24"/>
          <w:u w:val="single"/>
        </w:rPr>
        <w:t xml:space="preserve"> </w:t>
      </w:r>
      <w:r w:rsidRPr="00DC58B9">
        <w:rPr>
          <w:rFonts w:ascii="Arial" w:eastAsia="Calibri" w:hAnsi="Arial" w:cs="Arial"/>
          <w:sz w:val="24"/>
          <w:szCs w:val="24"/>
          <w:u w:val="single"/>
        </w:rPr>
        <w:t xml:space="preserve">This will allow determination of whether it is possible to amend the MCL for perchlorate, as required by HSC 116365.  </w:t>
      </w:r>
    </w:p>
    <w:p w14:paraId="1F2C77D3" w14:textId="77777777" w:rsidR="00462D22" w:rsidRPr="00CC2332" w:rsidRDefault="00462D22" w:rsidP="00462D22">
      <w:pPr>
        <w:rPr>
          <w:rFonts w:ascii="Arial" w:hAnsi="Arial" w:cs="Arial"/>
          <w:sz w:val="24"/>
          <w:szCs w:val="24"/>
        </w:rPr>
      </w:pPr>
      <w:r w:rsidRPr="00CC2332">
        <w:rPr>
          <w:rFonts w:ascii="Arial" w:hAnsi="Arial" w:cs="Arial"/>
          <w:sz w:val="24"/>
          <w:szCs w:val="24"/>
        </w:rPr>
        <w:t>(No change for the remainder of section)</w:t>
      </w:r>
    </w:p>
    <w:p w14:paraId="54824A3E" w14:textId="77777777" w:rsidR="00F32BBA" w:rsidRPr="009F386E" w:rsidRDefault="00F32BBA" w:rsidP="00DC58B9">
      <w:pPr>
        <w:keepNext/>
        <w:numPr>
          <w:ilvl w:val="0"/>
          <w:numId w:val="30"/>
        </w:numPr>
        <w:rPr>
          <w:rFonts w:ascii="Arial" w:hAnsi="Arial" w:cs="Arial"/>
          <w:b/>
          <w:sz w:val="24"/>
          <w:szCs w:val="24"/>
        </w:rPr>
      </w:pPr>
      <w:r w:rsidRPr="009F386E">
        <w:rPr>
          <w:rFonts w:ascii="Arial" w:hAnsi="Arial" w:cs="Arial"/>
          <w:b/>
          <w:sz w:val="24"/>
          <w:szCs w:val="24"/>
        </w:rPr>
        <w:t>NECESSITY OF PROPOSED REGULATIONS</w:t>
      </w:r>
    </w:p>
    <w:p w14:paraId="25670CA9" w14:textId="77777777" w:rsidR="00F32BBA" w:rsidRPr="009F386E" w:rsidRDefault="00F32BBA" w:rsidP="00F32BBA">
      <w:pPr>
        <w:keepNext/>
        <w:spacing w:after="120"/>
        <w:rPr>
          <w:rFonts w:ascii="Arial" w:hAnsi="Arial" w:cs="Arial"/>
          <w:bCs/>
          <w:sz w:val="24"/>
          <w:szCs w:val="24"/>
          <w:u w:val="single"/>
        </w:rPr>
      </w:pPr>
      <w:r w:rsidRPr="009F386E">
        <w:rPr>
          <w:rFonts w:ascii="Arial" w:hAnsi="Arial" w:cs="Arial"/>
          <w:bCs/>
          <w:sz w:val="24"/>
          <w:szCs w:val="24"/>
          <w:u w:val="single"/>
        </w:rPr>
        <w:t>Perchlorate DLR</w:t>
      </w:r>
    </w:p>
    <w:p w14:paraId="7D5D6497" w14:textId="77777777" w:rsidR="00F32BBA" w:rsidRPr="009F386E" w:rsidRDefault="00F32BBA" w:rsidP="00F32BBA">
      <w:pPr>
        <w:rPr>
          <w:rFonts w:ascii="Arial" w:hAnsi="Arial" w:cs="Arial"/>
          <w:bCs/>
          <w:sz w:val="24"/>
          <w:szCs w:val="24"/>
        </w:rPr>
      </w:pPr>
      <w:r w:rsidRPr="009F386E">
        <w:rPr>
          <w:rFonts w:ascii="Arial" w:hAnsi="Arial" w:cs="Arial"/>
          <w:bCs/>
          <w:sz w:val="24"/>
          <w:szCs w:val="24"/>
        </w:rPr>
        <w:t>HSC s</w:t>
      </w:r>
      <w:r w:rsidRPr="009F386E">
        <w:rPr>
          <w:rFonts w:ascii="Arial" w:hAnsi="Arial" w:cs="Arial"/>
          <w:sz w:val="24"/>
          <w:szCs w:val="24"/>
        </w:rPr>
        <w:t>ubsections 116365(a) and (b) require the State Water Board to adopt primary drinking water standards for contaminants at levels as close as feasible to the corresponding PHGs, placing primary emphasis on the protection of public health, and to the extent that is technologically and economically feasible.  HSC 116365(g) requires review of each primary drinking water standard at least once every five years.  If changes in technology or treatment techniques permit materially greater protection of public health or attainment of the PHG, then the State Water Board must amend the standard.</w:t>
      </w:r>
      <w:r>
        <w:rPr>
          <w:rFonts w:ascii="Arial" w:hAnsi="Arial" w:cs="Arial"/>
          <w:sz w:val="24"/>
          <w:szCs w:val="24"/>
        </w:rPr>
        <w:t xml:space="preserve">  </w:t>
      </w:r>
      <w:r w:rsidRPr="004F54AC">
        <w:rPr>
          <w:rFonts w:ascii="Arial" w:hAnsi="Arial" w:cs="Arial"/>
          <w:sz w:val="24"/>
          <w:szCs w:val="24"/>
          <w:shd w:val="clear" w:color="auto" w:fill="FFFFFF"/>
        </w:rPr>
        <w:t>HSC section 116375</w:t>
      </w:r>
      <w:r>
        <w:rPr>
          <w:rFonts w:ascii="Arial" w:hAnsi="Arial" w:cs="Arial"/>
          <w:sz w:val="24"/>
          <w:szCs w:val="24"/>
          <w:shd w:val="clear" w:color="auto" w:fill="FFFFFF"/>
        </w:rPr>
        <w:t xml:space="preserve"> mandates that</w:t>
      </w:r>
      <w:r w:rsidRPr="004F54AC">
        <w:rPr>
          <w:rFonts w:ascii="Arial" w:hAnsi="Arial" w:cs="Arial"/>
          <w:sz w:val="24"/>
          <w:szCs w:val="24"/>
          <w:shd w:val="clear" w:color="auto" w:fill="FFFFFF"/>
        </w:rPr>
        <w:t xml:space="preserve"> the State Water Board adopt regulations </w:t>
      </w:r>
      <w:r>
        <w:rPr>
          <w:rFonts w:ascii="Arial" w:hAnsi="Arial" w:cs="Arial"/>
          <w:sz w:val="24"/>
          <w:szCs w:val="24"/>
          <w:shd w:val="clear" w:color="auto" w:fill="FFFFFF"/>
        </w:rPr>
        <w:lastRenderedPageBreak/>
        <w:t>for</w:t>
      </w:r>
      <w:r w:rsidRPr="004F54AC">
        <w:rPr>
          <w:rFonts w:ascii="Arial" w:hAnsi="Arial" w:cs="Arial"/>
          <w:sz w:val="24"/>
          <w:szCs w:val="24"/>
          <w:shd w:val="clear" w:color="auto" w:fill="FFFFFF"/>
        </w:rPr>
        <w:t xml:space="preserve"> the monitoring of contaminants, including the type of contaminant, frequency and method of sampling and testing, and the reporting of results.</w:t>
      </w:r>
    </w:p>
    <w:p w14:paraId="02E8F3B7" w14:textId="77777777" w:rsidR="00F32BBA" w:rsidRPr="009F386E" w:rsidRDefault="00F32BBA" w:rsidP="00F32BBA">
      <w:pPr>
        <w:rPr>
          <w:rFonts w:ascii="Arial" w:hAnsi="Arial" w:cs="Arial"/>
          <w:bCs/>
          <w:sz w:val="24"/>
          <w:szCs w:val="24"/>
        </w:rPr>
      </w:pPr>
      <w:r w:rsidRPr="009F386E">
        <w:rPr>
          <w:rFonts w:ascii="Arial" w:hAnsi="Arial" w:cs="Arial"/>
          <w:bCs/>
          <w:sz w:val="24"/>
          <w:szCs w:val="24"/>
        </w:rPr>
        <w:t xml:space="preserve">When the current perchlorate MCL of 0.006 mg/L was adopted in 2007, it met the HSC 116365(a) requirement to be as close as possible to the PHG of 0.006 mg/L.  As part of the periodic review of existing MCLs required by HSC 116365(g), OEHHA’s 2015 amendment of the PHG from 0.006 mg/L to 0.001 mg/L necessitated </w:t>
      </w:r>
      <w:r>
        <w:rPr>
          <w:rFonts w:ascii="Arial" w:hAnsi="Arial" w:cs="Arial"/>
          <w:bCs/>
          <w:sz w:val="24"/>
          <w:szCs w:val="24"/>
        </w:rPr>
        <w:t xml:space="preserve">the </w:t>
      </w:r>
      <w:r w:rsidRPr="009F386E">
        <w:rPr>
          <w:rFonts w:ascii="Arial" w:hAnsi="Arial" w:cs="Arial"/>
          <w:bCs/>
          <w:sz w:val="24"/>
          <w:szCs w:val="24"/>
        </w:rPr>
        <w:t>State Water Board’s consideration of whether to lower the MCL for perchlorate.</w:t>
      </w:r>
    </w:p>
    <w:p w14:paraId="3DDA5486" w14:textId="77777777" w:rsidR="00F32BBA" w:rsidRPr="009F386E" w:rsidRDefault="00F32BBA" w:rsidP="00F32BBA">
      <w:pPr>
        <w:rPr>
          <w:rFonts w:ascii="Arial" w:hAnsi="Arial" w:cs="Arial"/>
          <w:sz w:val="24"/>
          <w:szCs w:val="24"/>
        </w:rPr>
      </w:pPr>
      <w:r>
        <w:rPr>
          <w:rFonts w:ascii="Arial" w:hAnsi="Arial" w:cs="Arial"/>
          <w:sz w:val="24"/>
          <w:szCs w:val="24"/>
        </w:rPr>
        <w:t>DLRs are</w:t>
      </w:r>
      <w:r w:rsidRPr="009F386E">
        <w:rPr>
          <w:rFonts w:ascii="Arial" w:hAnsi="Arial" w:cs="Arial"/>
          <w:sz w:val="24"/>
          <w:szCs w:val="24"/>
        </w:rPr>
        <w:t xml:space="preserve"> the designated minimum level</w:t>
      </w:r>
      <w:r>
        <w:rPr>
          <w:rFonts w:ascii="Arial" w:hAnsi="Arial" w:cs="Arial"/>
          <w:sz w:val="24"/>
          <w:szCs w:val="24"/>
        </w:rPr>
        <w:t>s</w:t>
      </w:r>
      <w:r w:rsidRPr="009F386E">
        <w:rPr>
          <w:rFonts w:ascii="Arial" w:hAnsi="Arial" w:cs="Arial"/>
          <w:sz w:val="24"/>
          <w:szCs w:val="24"/>
        </w:rPr>
        <w:t xml:space="preserve"> at or above which any analytical finding of a contaminant in drinking water resulting from monitoring must be reported to the State Water Board.  DLRs for inorganic </w:t>
      </w:r>
      <w:r>
        <w:rPr>
          <w:rFonts w:ascii="Arial" w:hAnsi="Arial" w:cs="Arial"/>
          <w:sz w:val="24"/>
          <w:szCs w:val="24"/>
        </w:rPr>
        <w:t>contaminants</w:t>
      </w:r>
      <w:r w:rsidRPr="009F386E">
        <w:rPr>
          <w:rFonts w:ascii="Arial" w:hAnsi="Arial" w:cs="Arial"/>
          <w:sz w:val="24"/>
          <w:szCs w:val="24"/>
        </w:rPr>
        <w:t>, such as perchlorate, are found in 22 CCR Table 64432</w:t>
      </w:r>
      <w:r w:rsidRPr="009F386E">
        <w:rPr>
          <w:rFonts w:ascii="Arial" w:hAnsi="Arial" w:cs="Arial"/>
          <w:sz w:val="24"/>
          <w:szCs w:val="24"/>
        </w:rPr>
        <w:noBreakHyphen/>
        <w:t xml:space="preserve">A.  </w:t>
      </w:r>
      <w:r>
        <w:rPr>
          <w:rFonts w:ascii="Arial" w:hAnsi="Arial" w:cs="Arial"/>
          <w:sz w:val="24"/>
          <w:szCs w:val="24"/>
        </w:rPr>
        <w:t xml:space="preserve">The DLR is considered as part of the technological feasibility analysis when establishing an MCL.  </w:t>
      </w:r>
      <w:r w:rsidRPr="009F386E">
        <w:rPr>
          <w:rFonts w:ascii="Arial" w:hAnsi="Arial" w:cs="Arial"/>
          <w:sz w:val="24"/>
          <w:szCs w:val="24"/>
        </w:rPr>
        <w:t xml:space="preserve">While analytical methods are available to report data at concentrations lower than the current 0.004 mg/L DLR, many water systems and laboratories quantify reported concentrations only as low as the DLR.  The lack of data on perchlorate occurrence at concentrations below the current DLR hinders the State Water Board’s ability to evaluate whether technology achieves a materially greater protection of public health or attainment of the PHG and to determine the economic feasibility of lowering the MCL in conducting the HSC 116365(g) review.  To adequately conduct this review and evaluation, and to adequately evaluate health risk, technological feasibility, and economic feasibility in consideration of a revised MCL, it is necessary to </w:t>
      </w:r>
      <w:bookmarkStart w:id="9" w:name="_Hlk16123231"/>
      <w:r w:rsidRPr="009F386E">
        <w:rPr>
          <w:rFonts w:ascii="Arial" w:hAnsi="Arial" w:cs="Arial"/>
          <w:sz w:val="24"/>
          <w:szCs w:val="24"/>
        </w:rPr>
        <w:t>acquire water quality data characterizing drinking water source concentrations of perchlorate to concentrations lower than the current DLR, and ideally, at least as low as the current PHG.</w:t>
      </w:r>
      <w:bookmarkEnd w:id="9"/>
    </w:p>
    <w:p w14:paraId="7BE9767D" w14:textId="77777777" w:rsidR="00F32BBA" w:rsidRPr="009F386E" w:rsidRDefault="00F32BBA" w:rsidP="00F32BBA">
      <w:pPr>
        <w:rPr>
          <w:rFonts w:ascii="Arial" w:hAnsi="Arial" w:cs="Arial"/>
          <w:sz w:val="24"/>
          <w:szCs w:val="24"/>
        </w:rPr>
      </w:pPr>
      <w:r w:rsidRPr="009F386E">
        <w:rPr>
          <w:rFonts w:ascii="Arial" w:hAnsi="Arial" w:cs="Arial"/>
          <w:sz w:val="24"/>
          <w:szCs w:val="24"/>
        </w:rPr>
        <w:t xml:space="preserve">These data are further necessary to carry out the State Water Board’s responsibilities under HSC 116350(b) to </w:t>
      </w:r>
      <w:r w:rsidRPr="00AA4E31">
        <w:rPr>
          <w:rFonts w:ascii="Arial" w:hAnsi="Arial" w:cs="Arial"/>
          <w:sz w:val="24"/>
          <w:szCs w:val="24"/>
        </w:rPr>
        <w:t>“</w:t>
      </w:r>
      <w:r w:rsidRPr="009F386E">
        <w:rPr>
          <w:rFonts w:ascii="Arial" w:eastAsia="Calibri" w:hAnsi="Arial" w:cs="Arial"/>
          <w:sz w:val="24"/>
          <w:szCs w:val="24"/>
        </w:rPr>
        <w:t>conduct research, studies, and demonstration projects relating to the provision of a dependable, safe supply of drinking water, including, but not limited to</w:t>
      </w:r>
      <w:r>
        <w:rPr>
          <w:rFonts w:ascii="Arial" w:eastAsia="Calibri" w:hAnsi="Arial" w:cs="Arial"/>
          <w:sz w:val="24"/>
          <w:szCs w:val="24"/>
        </w:rPr>
        <w:t>…</w:t>
      </w:r>
      <w:r w:rsidRPr="009F386E">
        <w:rPr>
          <w:rFonts w:ascii="Arial" w:eastAsia="Calibri" w:hAnsi="Arial" w:cs="Arial"/>
          <w:sz w:val="24"/>
          <w:szCs w:val="24"/>
        </w:rPr>
        <w:t>improved methods to identify and measure the existence of contaminants in drinking water and to identify the source of the contaminants,</w:t>
      </w:r>
      <w:r w:rsidRPr="00AA4E31">
        <w:rPr>
          <w:rFonts w:ascii="Arial" w:eastAsia="Calibri" w:hAnsi="Arial" w:cs="Arial"/>
          <w:sz w:val="24"/>
          <w:szCs w:val="24"/>
        </w:rPr>
        <w:t>”</w:t>
      </w:r>
      <w:r w:rsidRPr="009F386E">
        <w:rPr>
          <w:rFonts w:ascii="Arial" w:eastAsia="Calibri" w:hAnsi="Arial" w:cs="Arial"/>
          <w:sz w:val="24"/>
          <w:szCs w:val="24"/>
        </w:rPr>
        <w:t xml:space="preserve"> and </w:t>
      </w:r>
      <w:r w:rsidRPr="00AA4E31">
        <w:rPr>
          <w:rFonts w:ascii="Arial" w:eastAsia="Calibri" w:hAnsi="Arial" w:cs="Arial"/>
          <w:sz w:val="24"/>
          <w:szCs w:val="24"/>
        </w:rPr>
        <w:t>“</w:t>
      </w:r>
      <w:r w:rsidRPr="009F386E">
        <w:rPr>
          <w:rFonts w:ascii="Arial" w:eastAsia="Calibri" w:hAnsi="Arial" w:cs="Arial"/>
          <w:sz w:val="24"/>
          <w:szCs w:val="24"/>
        </w:rPr>
        <w:t>improved methods to identify, measure, and assess the potential adverse health effects of contaminants in drinking water.</w:t>
      </w:r>
      <w:r w:rsidRPr="00AA4E31">
        <w:rPr>
          <w:rFonts w:ascii="Arial" w:eastAsia="Calibri" w:hAnsi="Arial" w:cs="Arial"/>
          <w:sz w:val="24"/>
          <w:szCs w:val="24"/>
        </w:rPr>
        <w:t>”</w:t>
      </w:r>
    </w:p>
    <w:p w14:paraId="46739A23" w14:textId="614D0AF2" w:rsidR="00F32BBA" w:rsidRPr="009733C8" w:rsidRDefault="00F32BBA" w:rsidP="00F32BBA">
      <w:pPr>
        <w:rPr>
          <w:rFonts w:ascii="Arial" w:hAnsi="Arial" w:cs="Arial"/>
          <w:sz w:val="24"/>
          <w:szCs w:val="24"/>
          <w:u w:val="double"/>
        </w:rPr>
      </w:pPr>
      <w:r w:rsidRPr="00113407">
        <w:rPr>
          <w:rFonts w:ascii="Arial" w:hAnsi="Arial" w:cs="Arial"/>
          <w:sz w:val="24"/>
          <w:szCs w:val="24"/>
        </w:rPr>
        <w:t xml:space="preserve">To remedy this data deficiency, the State Water Board is proposing to lower the perchlorate DLR from 0.004 mg/L to the technologically </w:t>
      </w:r>
      <w:r w:rsidRPr="00162185">
        <w:rPr>
          <w:rFonts w:ascii="Arial" w:hAnsi="Arial" w:cs="Arial"/>
          <w:sz w:val="24"/>
          <w:szCs w:val="24"/>
        </w:rPr>
        <w:t>and economically</w:t>
      </w:r>
      <w:r>
        <w:rPr>
          <w:rFonts w:ascii="Arial" w:hAnsi="Arial" w:cs="Arial"/>
          <w:sz w:val="24"/>
          <w:szCs w:val="24"/>
        </w:rPr>
        <w:t xml:space="preserve"> </w:t>
      </w:r>
      <w:r w:rsidRPr="00113407">
        <w:rPr>
          <w:rFonts w:ascii="Arial" w:hAnsi="Arial" w:cs="Arial"/>
          <w:sz w:val="24"/>
          <w:szCs w:val="24"/>
        </w:rPr>
        <w:t xml:space="preserve">feasible concentration of </w:t>
      </w:r>
      <w:r w:rsidRPr="00DC58B9">
        <w:rPr>
          <w:rFonts w:ascii="Arial" w:hAnsi="Arial" w:cs="Arial"/>
          <w:strike/>
          <w:sz w:val="24"/>
          <w:szCs w:val="24"/>
        </w:rPr>
        <w:t>0.002 mg/L</w:t>
      </w:r>
      <w:r w:rsidRPr="00113407">
        <w:rPr>
          <w:rFonts w:ascii="Arial" w:hAnsi="Arial" w:cs="Arial"/>
          <w:sz w:val="24"/>
          <w:szCs w:val="24"/>
        </w:rPr>
        <w:t xml:space="preserve"> </w:t>
      </w:r>
      <w:r w:rsidRPr="00DC58B9">
        <w:rPr>
          <w:rFonts w:ascii="Arial" w:hAnsi="Arial" w:cs="Arial"/>
          <w:sz w:val="24"/>
          <w:szCs w:val="24"/>
          <w:u w:val="single"/>
        </w:rPr>
        <w:t>0.001 mg/L</w:t>
      </w:r>
      <w:r>
        <w:rPr>
          <w:rFonts w:ascii="Arial" w:hAnsi="Arial" w:cs="Arial"/>
          <w:sz w:val="24"/>
          <w:szCs w:val="24"/>
          <w:u w:val="single"/>
        </w:rPr>
        <w:t>,</w:t>
      </w:r>
      <w:r w:rsidRPr="00113407">
        <w:rPr>
          <w:rFonts w:ascii="Arial" w:hAnsi="Arial" w:cs="Arial"/>
          <w:sz w:val="24"/>
          <w:szCs w:val="24"/>
        </w:rPr>
        <w:t xml:space="preserve"> </w:t>
      </w:r>
      <w:r w:rsidRPr="00DC58B9">
        <w:rPr>
          <w:rFonts w:ascii="Arial" w:hAnsi="Arial" w:cs="Arial"/>
          <w:sz w:val="24"/>
          <w:szCs w:val="24"/>
          <w:u w:val="single"/>
        </w:rPr>
        <w:t xml:space="preserve">using a two-phase </w:t>
      </w:r>
      <w:r>
        <w:rPr>
          <w:rFonts w:ascii="Arial" w:hAnsi="Arial" w:cs="Arial"/>
          <w:sz w:val="24"/>
          <w:szCs w:val="24"/>
          <w:u w:val="single"/>
        </w:rPr>
        <w:t xml:space="preserve">implementation </w:t>
      </w:r>
      <w:r w:rsidRPr="00DC58B9">
        <w:rPr>
          <w:rFonts w:ascii="Arial" w:hAnsi="Arial" w:cs="Arial"/>
          <w:sz w:val="24"/>
          <w:szCs w:val="24"/>
          <w:u w:val="single"/>
        </w:rPr>
        <w:t>approach over the span of three years</w:t>
      </w:r>
      <w:r w:rsidRPr="009733C8">
        <w:rPr>
          <w:rFonts w:ascii="Arial" w:hAnsi="Arial" w:cs="Arial"/>
          <w:sz w:val="24"/>
          <w:szCs w:val="24"/>
          <w:u w:val="single"/>
        </w:rPr>
        <w:t>.</w:t>
      </w:r>
      <w:r w:rsidR="00C67944" w:rsidRPr="009733C8">
        <w:rPr>
          <w:rFonts w:ascii="Arial" w:hAnsi="Arial" w:cs="Arial"/>
          <w:sz w:val="24"/>
          <w:szCs w:val="24"/>
          <w:u w:val="single"/>
        </w:rPr>
        <w:t xml:space="preserve"> </w:t>
      </w:r>
      <w:r w:rsidR="00C67944">
        <w:rPr>
          <w:rFonts w:ascii="Arial" w:hAnsi="Arial" w:cs="Arial"/>
          <w:sz w:val="24"/>
          <w:szCs w:val="24"/>
          <w:u w:val="single"/>
        </w:rPr>
        <w:t xml:space="preserve"> Following receipt of oral and written comments, State Water Board staff consulted with the Environmental Laboratory Technical Advisory Committee and with staff of the Environmental Laboratory Accreditation Program regarding time required for laboratories to acquire the necessary instrumentation, train analysts, and gain accreditation to perform methods capable of achieving the proposed DLR of 0.001 mg/L</w:t>
      </w:r>
      <w:r w:rsidR="00C67944" w:rsidRPr="009733C8">
        <w:rPr>
          <w:rFonts w:ascii="Arial" w:hAnsi="Arial" w:cs="Arial"/>
          <w:sz w:val="24"/>
          <w:szCs w:val="24"/>
          <w:u w:val="single"/>
        </w:rPr>
        <w:t xml:space="preserve">.  Responses indicated </w:t>
      </w:r>
      <w:r w:rsidR="00C70653" w:rsidRPr="009733C8">
        <w:rPr>
          <w:rFonts w:ascii="Arial" w:hAnsi="Arial" w:cs="Arial"/>
          <w:sz w:val="24"/>
          <w:szCs w:val="24"/>
          <w:u w:val="single"/>
        </w:rPr>
        <w:t>approximately 18 to 24</w:t>
      </w:r>
      <w:r w:rsidR="009733C8">
        <w:rPr>
          <w:rFonts w:ascii="Arial" w:hAnsi="Arial" w:cs="Arial"/>
          <w:sz w:val="24"/>
          <w:szCs w:val="24"/>
          <w:u w:val="single"/>
        </w:rPr>
        <w:t xml:space="preserve"> </w:t>
      </w:r>
      <w:r w:rsidR="00C70653" w:rsidRPr="009733C8">
        <w:rPr>
          <w:rFonts w:ascii="Arial" w:hAnsi="Arial" w:cs="Arial"/>
          <w:sz w:val="24"/>
          <w:szCs w:val="24"/>
          <w:u w:val="single"/>
        </w:rPr>
        <w:t>month</w:t>
      </w:r>
      <w:r w:rsidR="009733C8">
        <w:rPr>
          <w:rFonts w:ascii="Arial" w:hAnsi="Arial" w:cs="Arial"/>
          <w:sz w:val="24"/>
          <w:szCs w:val="24"/>
          <w:u w:val="single"/>
        </w:rPr>
        <w:t xml:space="preserve">s </w:t>
      </w:r>
      <w:r w:rsidR="00C70653" w:rsidRPr="009733C8">
        <w:rPr>
          <w:rFonts w:ascii="Arial" w:hAnsi="Arial" w:cs="Arial"/>
          <w:sz w:val="24"/>
          <w:szCs w:val="24"/>
          <w:u w:val="single"/>
        </w:rPr>
        <w:t>for a large municipal laboratory</w:t>
      </w:r>
      <w:r w:rsidR="009733C8">
        <w:rPr>
          <w:rFonts w:ascii="Arial" w:hAnsi="Arial" w:cs="Arial"/>
          <w:sz w:val="24"/>
          <w:szCs w:val="24"/>
          <w:u w:val="single"/>
        </w:rPr>
        <w:t xml:space="preserve"> and 4</w:t>
      </w:r>
      <w:r w:rsidR="00C70653" w:rsidRPr="009733C8">
        <w:rPr>
          <w:rFonts w:ascii="Arial" w:hAnsi="Arial" w:cs="Arial"/>
          <w:sz w:val="24"/>
          <w:szCs w:val="24"/>
          <w:u w:val="single"/>
        </w:rPr>
        <w:t xml:space="preserve"> months for a large commercial laboratory</w:t>
      </w:r>
      <w:r w:rsidR="00C67944" w:rsidRPr="009733C8">
        <w:rPr>
          <w:rFonts w:ascii="Arial" w:hAnsi="Arial" w:cs="Arial"/>
          <w:sz w:val="24"/>
          <w:szCs w:val="24"/>
          <w:u w:val="single"/>
        </w:rPr>
        <w:t>.</w:t>
      </w:r>
      <w:r w:rsidR="00C70653" w:rsidRPr="009733C8">
        <w:rPr>
          <w:rFonts w:ascii="Arial" w:hAnsi="Arial" w:cs="Arial"/>
          <w:sz w:val="24"/>
          <w:szCs w:val="24"/>
          <w:u w:val="single"/>
        </w:rPr>
        <w:t xml:space="preserve">  </w:t>
      </w:r>
      <w:r w:rsidR="00C67944" w:rsidRPr="009733C8">
        <w:rPr>
          <w:rFonts w:ascii="Arial" w:hAnsi="Arial" w:cs="Arial"/>
          <w:sz w:val="24"/>
          <w:szCs w:val="24"/>
          <w:u w:val="single"/>
        </w:rPr>
        <w:t xml:space="preserve">To adequately allow for variability in financing, approval, and procurement processes across commercial and </w:t>
      </w:r>
      <w:r w:rsidR="00C70653" w:rsidRPr="009733C8">
        <w:rPr>
          <w:rFonts w:ascii="Arial" w:hAnsi="Arial" w:cs="Arial"/>
          <w:sz w:val="24"/>
          <w:szCs w:val="24"/>
          <w:u w:val="single"/>
        </w:rPr>
        <w:t xml:space="preserve">municipal laboratories, </w:t>
      </w:r>
      <w:r w:rsidR="00C67944" w:rsidRPr="009733C8">
        <w:rPr>
          <w:rFonts w:ascii="Arial" w:hAnsi="Arial" w:cs="Arial"/>
          <w:sz w:val="24"/>
          <w:szCs w:val="24"/>
          <w:u w:val="single"/>
        </w:rPr>
        <w:t xml:space="preserve">and in consideration of the current economic </w:t>
      </w:r>
      <w:r w:rsidR="00C67944" w:rsidRPr="009733C8">
        <w:rPr>
          <w:rFonts w:ascii="Arial" w:hAnsi="Arial" w:cs="Arial"/>
          <w:sz w:val="24"/>
          <w:szCs w:val="24"/>
          <w:u w:val="single"/>
        </w:rPr>
        <w:lastRenderedPageBreak/>
        <w:t xml:space="preserve">uncertainty </w:t>
      </w:r>
      <w:r w:rsidR="000350E3" w:rsidRPr="009733C8">
        <w:rPr>
          <w:rFonts w:ascii="Arial" w:hAnsi="Arial" w:cs="Arial"/>
          <w:sz w:val="24"/>
          <w:szCs w:val="24"/>
          <w:u w:val="single"/>
        </w:rPr>
        <w:t>associated with the COVID-19 pandemic, the State Water Board is proposing an effective date of January 1, 2024</w:t>
      </w:r>
      <w:r w:rsidR="00F43F76" w:rsidRPr="009733C8">
        <w:rPr>
          <w:rFonts w:ascii="Arial" w:hAnsi="Arial" w:cs="Arial"/>
          <w:sz w:val="24"/>
          <w:szCs w:val="24"/>
          <w:u w:val="single"/>
        </w:rPr>
        <w:t xml:space="preserve"> to allow adequate time for the laboratory industry to develop sufficient analytical capacity at 0.001 mg/L</w:t>
      </w:r>
      <w:r w:rsidR="00C67944" w:rsidRPr="009733C8">
        <w:rPr>
          <w:rFonts w:ascii="Arial" w:hAnsi="Arial" w:cs="Arial"/>
          <w:sz w:val="24"/>
          <w:szCs w:val="24"/>
          <w:u w:val="single"/>
        </w:rPr>
        <w:t>.</w:t>
      </w:r>
      <w:r w:rsidR="00C67944">
        <w:rPr>
          <w:rFonts w:ascii="Arial" w:hAnsi="Arial" w:cs="Arial"/>
          <w:sz w:val="24"/>
          <w:szCs w:val="24"/>
          <w:u w:val="single"/>
        </w:rPr>
        <w:t xml:space="preserve">  </w:t>
      </w:r>
    </w:p>
    <w:p w14:paraId="5EDEBDBC" w14:textId="77777777" w:rsidR="00F32BBA" w:rsidRPr="00CC2332" w:rsidRDefault="00F32BBA" w:rsidP="00F32BBA">
      <w:pPr>
        <w:rPr>
          <w:rFonts w:ascii="Arial" w:hAnsi="Arial" w:cs="Arial"/>
          <w:sz w:val="24"/>
          <w:szCs w:val="24"/>
        </w:rPr>
      </w:pPr>
      <w:r w:rsidRPr="00CC2332">
        <w:rPr>
          <w:rFonts w:ascii="Arial" w:hAnsi="Arial" w:cs="Arial"/>
          <w:sz w:val="24"/>
          <w:szCs w:val="24"/>
        </w:rPr>
        <w:t>(No change for the remainder of section)</w:t>
      </w:r>
      <w:bookmarkStart w:id="10" w:name="_GoBack"/>
      <w:bookmarkEnd w:id="10"/>
    </w:p>
    <w:p w14:paraId="2E6A3328" w14:textId="77777777" w:rsidR="00F32BBA" w:rsidRPr="009F386E" w:rsidRDefault="00F32BBA" w:rsidP="00656A58">
      <w:pPr>
        <w:keepNext/>
        <w:numPr>
          <w:ilvl w:val="0"/>
          <w:numId w:val="31"/>
        </w:numPr>
        <w:rPr>
          <w:rFonts w:ascii="Arial" w:hAnsi="Arial" w:cs="Arial"/>
          <w:b/>
          <w:sz w:val="24"/>
          <w:szCs w:val="24"/>
        </w:rPr>
      </w:pPr>
      <w:r w:rsidRPr="009F386E">
        <w:rPr>
          <w:rFonts w:ascii="Arial" w:hAnsi="Arial" w:cs="Arial"/>
          <w:b/>
          <w:sz w:val="24"/>
          <w:szCs w:val="24"/>
        </w:rPr>
        <w:t>ECONOMIC IMPACT ASSESSMENT / ANALYSIS</w:t>
      </w:r>
    </w:p>
    <w:p w14:paraId="3B3960DF" w14:textId="77777777" w:rsidR="00F32BBA" w:rsidRPr="00DA5EE2" w:rsidRDefault="00F32BBA" w:rsidP="00DA5EE2">
      <w:pPr>
        <w:rPr>
          <w:rFonts w:ascii="Arial" w:hAnsi="Arial" w:cs="Arial"/>
          <w:b/>
          <w:sz w:val="24"/>
          <w:szCs w:val="24"/>
        </w:rPr>
      </w:pPr>
      <w:r w:rsidRPr="00DA5EE2">
        <w:rPr>
          <w:rFonts w:ascii="Arial" w:hAnsi="Arial" w:cs="Arial"/>
          <w:sz w:val="24"/>
          <w:szCs w:val="24"/>
        </w:rPr>
        <w:t>Government Code section 11346.3(b) requires that state agencies proposing a regulation that is not a major regulation shall prepare an economic impact assessment of whether and to what extent it would affect the creation or elimination of jobs; the creation of new businesses or the elimination of existing businesses; the expansion of businesses; and the benefits of the regulation to the health and welfare of California residents, worker safety, and the state’s environment.</w:t>
      </w:r>
    </w:p>
    <w:p w14:paraId="23460E99" w14:textId="77777777" w:rsidR="00F32BBA" w:rsidRPr="009F386E" w:rsidRDefault="00F32BBA" w:rsidP="00F32BBA">
      <w:pPr>
        <w:rPr>
          <w:rFonts w:ascii="Arial" w:eastAsia="Calibri" w:hAnsi="Arial" w:cs="Arial"/>
          <w:sz w:val="24"/>
          <w:szCs w:val="24"/>
          <w:u w:val="single"/>
        </w:rPr>
      </w:pPr>
      <w:r w:rsidRPr="009F386E">
        <w:rPr>
          <w:rFonts w:ascii="Arial" w:eastAsia="Calibri" w:hAnsi="Arial" w:cs="Arial"/>
          <w:sz w:val="24"/>
          <w:szCs w:val="24"/>
          <w:u w:val="single"/>
        </w:rPr>
        <w:t xml:space="preserve">Referenced definitions from Chapter 12 (repealed) </w:t>
      </w:r>
    </w:p>
    <w:p w14:paraId="51AAD747" w14:textId="77777777" w:rsidR="00F32BBA" w:rsidRPr="00C148A6" w:rsidRDefault="00F32BBA" w:rsidP="00F32BBA">
      <w:pPr>
        <w:rPr>
          <w:rFonts w:ascii="Arial" w:eastAsia="Calibri" w:hAnsi="Arial" w:cs="Arial"/>
          <w:bCs/>
          <w:sz w:val="24"/>
          <w:szCs w:val="24"/>
        </w:rPr>
      </w:pPr>
      <w:r w:rsidRPr="009F386E">
        <w:rPr>
          <w:rFonts w:ascii="Arial" w:eastAsia="Calibri" w:hAnsi="Arial" w:cs="Arial"/>
          <w:sz w:val="24"/>
          <w:szCs w:val="24"/>
        </w:rPr>
        <w:t xml:space="preserve">The re-addition of the </w:t>
      </w:r>
      <w:r w:rsidRPr="009F386E">
        <w:rPr>
          <w:rFonts w:ascii="Arial" w:hAnsi="Arial" w:cs="Arial"/>
          <w:sz w:val="24"/>
          <w:szCs w:val="24"/>
        </w:rPr>
        <w:t xml:space="preserve">definitions for “Possible Contaminating </w:t>
      </w:r>
      <w:r>
        <w:rPr>
          <w:rFonts w:ascii="Arial" w:hAnsi="Arial" w:cs="Arial"/>
          <w:sz w:val="24"/>
          <w:szCs w:val="24"/>
        </w:rPr>
        <w:t>A</w:t>
      </w:r>
      <w:r w:rsidRPr="009F386E">
        <w:rPr>
          <w:rFonts w:ascii="Arial" w:hAnsi="Arial" w:cs="Arial"/>
          <w:sz w:val="24"/>
          <w:szCs w:val="24"/>
        </w:rPr>
        <w:t xml:space="preserve">ctivity” and “Source Water Assessment” to the existing regulations, which currently refer to these terms, is not expected to create any significant economic impact. </w:t>
      </w:r>
    </w:p>
    <w:p w14:paraId="22119483" w14:textId="77777777" w:rsidR="00F32BBA" w:rsidRPr="009F386E" w:rsidRDefault="00F32BBA" w:rsidP="00F32BBA">
      <w:pPr>
        <w:spacing w:after="120"/>
        <w:rPr>
          <w:rFonts w:ascii="Arial" w:hAnsi="Arial" w:cs="Arial"/>
          <w:bCs/>
          <w:sz w:val="24"/>
          <w:szCs w:val="24"/>
          <w:u w:val="single"/>
        </w:rPr>
      </w:pPr>
      <w:r w:rsidRPr="009F386E">
        <w:rPr>
          <w:rFonts w:ascii="Arial" w:hAnsi="Arial" w:cs="Arial"/>
          <w:bCs/>
          <w:sz w:val="24"/>
          <w:szCs w:val="24"/>
          <w:u w:val="single"/>
        </w:rPr>
        <w:t>Perchlorate DLR</w:t>
      </w:r>
    </w:p>
    <w:p w14:paraId="177B37A4" w14:textId="484B35AB" w:rsidR="00F32BBA" w:rsidRPr="009F386E" w:rsidRDefault="00F32BBA" w:rsidP="00F32BBA">
      <w:pPr>
        <w:rPr>
          <w:rFonts w:ascii="Arial" w:hAnsi="Arial" w:cs="Arial"/>
          <w:bCs/>
          <w:sz w:val="24"/>
          <w:szCs w:val="24"/>
          <w:lang w:eastAsia="x-none"/>
        </w:rPr>
      </w:pPr>
      <w:r w:rsidRPr="009F386E">
        <w:rPr>
          <w:rFonts w:ascii="Arial" w:hAnsi="Arial" w:cs="Arial"/>
          <w:sz w:val="24"/>
          <w:szCs w:val="24"/>
          <w:lang w:eastAsia="x-none"/>
        </w:rPr>
        <w:t xml:space="preserve">The proposed regulation would affect the </w:t>
      </w:r>
      <w:r w:rsidRPr="009F386E">
        <w:rPr>
          <w:rFonts w:ascii="Arial" w:hAnsi="Arial" w:cs="Arial"/>
          <w:sz w:val="24"/>
          <w:szCs w:val="24"/>
          <w:lang w:val="x-none" w:eastAsia="x-none"/>
        </w:rPr>
        <w:t xml:space="preserve">monitoring of </w:t>
      </w:r>
      <w:r w:rsidRPr="009F386E">
        <w:rPr>
          <w:rFonts w:ascii="Arial" w:hAnsi="Arial" w:cs="Arial"/>
          <w:sz w:val="24"/>
          <w:szCs w:val="24"/>
          <w:lang w:eastAsia="x-none"/>
        </w:rPr>
        <w:t>perchlorate by California’s public water systems (PWS)</w:t>
      </w:r>
      <w:r w:rsidRPr="009F386E">
        <w:rPr>
          <w:rFonts w:ascii="Arial" w:hAnsi="Arial" w:cs="Arial"/>
          <w:sz w:val="24"/>
          <w:szCs w:val="24"/>
          <w:lang w:val="x-none" w:eastAsia="x-none"/>
        </w:rPr>
        <w:t>.</w:t>
      </w:r>
      <w:r w:rsidRPr="009F386E">
        <w:rPr>
          <w:rFonts w:ascii="Arial" w:hAnsi="Arial" w:cs="Arial"/>
          <w:sz w:val="24"/>
          <w:szCs w:val="24"/>
          <w:lang w:eastAsia="x-none"/>
        </w:rPr>
        <w:t xml:space="preserve">  </w:t>
      </w:r>
      <w:r w:rsidR="00716E86" w:rsidRPr="00DC58B9">
        <w:rPr>
          <w:rFonts w:ascii="Arial" w:hAnsi="Arial" w:cs="Arial"/>
          <w:sz w:val="24"/>
          <w:szCs w:val="24"/>
          <w:u w:val="single"/>
          <w:lang w:eastAsia="x-none"/>
        </w:rPr>
        <w:t xml:space="preserve">The proposed regulation maintains the </w:t>
      </w:r>
      <w:r w:rsidR="00162185">
        <w:rPr>
          <w:rFonts w:ascii="Arial" w:hAnsi="Arial" w:cs="Arial"/>
          <w:sz w:val="24"/>
          <w:szCs w:val="24"/>
          <w:u w:val="single"/>
          <w:lang w:eastAsia="x-none"/>
        </w:rPr>
        <w:t>existing monitoring</w:t>
      </w:r>
      <w:r w:rsidR="00162185" w:rsidRPr="00DC58B9">
        <w:rPr>
          <w:rFonts w:ascii="Arial" w:hAnsi="Arial" w:cs="Arial"/>
          <w:sz w:val="24"/>
          <w:szCs w:val="24"/>
          <w:u w:val="single"/>
          <w:lang w:eastAsia="x-none"/>
        </w:rPr>
        <w:t xml:space="preserve"> </w:t>
      </w:r>
      <w:r w:rsidR="00716E86" w:rsidRPr="00DC58B9">
        <w:rPr>
          <w:rFonts w:ascii="Arial" w:hAnsi="Arial" w:cs="Arial"/>
          <w:sz w:val="24"/>
          <w:szCs w:val="24"/>
          <w:u w:val="single"/>
          <w:lang w:eastAsia="x-none"/>
        </w:rPr>
        <w:t>schedules for each source.  Therefore, any new detections above the DLR are expected to occur during routine sampling schedules.</w:t>
      </w:r>
      <w:r w:rsidR="00716E86">
        <w:rPr>
          <w:rFonts w:ascii="Arial" w:hAnsi="Arial" w:cs="Arial"/>
          <w:sz w:val="24"/>
          <w:szCs w:val="24"/>
          <w:lang w:eastAsia="x-none"/>
        </w:rPr>
        <w:t xml:space="preserve">  </w:t>
      </w:r>
      <w:r w:rsidRPr="009F386E">
        <w:rPr>
          <w:rFonts w:ascii="Arial" w:hAnsi="Arial" w:cs="Arial"/>
          <w:sz w:val="24"/>
          <w:szCs w:val="24"/>
          <w:lang w:eastAsia="x-none"/>
        </w:rPr>
        <w:t xml:space="preserve">Existing regulations currently require PWS to </w:t>
      </w:r>
      <w:r w:rsidRPr="009F386E">
        <w:rPr>
          <w:rFonts w:ascii="Arial" w:hAnsi="Arial" w:cs="Arial"/>
          <w:sz w:val="24"/>
          <w:szCs w:val="24"/>
          <w:lang w:val="x-none" w:eastAsia="x-none"/>
        </w:rPr>
        <w:t xml:space="preserve">monitor quarterly any source in which </w:t>
      </w:r>
      <w:r w:rsidRPr="009F386E">
        <w:rPr>
          <w:rFonts w:ascii="Arial" w:hAnsi="Arial" w:cs="Arial"/>
          <w:sz w:val="24"/>
          <w:szCs w:val="24"/>
          <w:lang w:eastAsia="x-none"/>
        </w:rPr>
        <w:t>certain</w:t>
      </w:r>
      <w:r w:rsidRPr="009F386E">
        <w:rPr>
          <w:rFonts w:ascii="Arial" w:hAnsi="Arial" w:cs="Arial"/>
          <w:sz w:val="24"/>
          <w:szCs w:val="24"/>
          <w:lang w:val="x-none" w:eastAsia="x-none"/>
        </w:rPr>
        <w:t xml:space="preserve"> chemical</w:t>
      </w:r>
      <w:r w:rsidRPr="009F386E">
        <w:rPr>
          <w:rFonts w:ascii="Arial" w:hAnsi="Arial" w:cs="Arial"/>
          <w:sz w:val="24"/>
          <w:szCs w:val="24"/>
          <w:lang w:eastAsia="x-none"/>
        </w:rPr>
        <w:t>s, including perchlorate,</w:t>
      </w:r>
      <w:r w:rsidRPr="009F386E">
        <w:rPr>
          <w:rFonts w:ascii="Arial" w:hAnsi="Arial" w:cs="Arial"/>
          <w:sz w:val="24"/>
          <w:szCs w:val="24"/>
          <w:lang w:val="x-none" w:eastAsia="x-none"/>
        </w:rPr>
        <w:t xml:space="preserve"> ha</w:t>
      </w:r>
      <w:r w:rsidRPr="009F386E">
        <w:rPr>
          <w:rFonts w:ascii="Arial" w:hAnsi="Arial" w:cs="Arial"/>
          <w:sz w:val="24"/>
          <w:szCs w:val="24"/>
          <w:lang w:eastAsia="x-none"/>
        </w:rPr>
        <w:t>ve</w:t>
      </w:r>
      <w:r w:rsidRPr="009F386E">
        <w:rPr>
          <w:rFonts w:ascii="Arial" w:hAnsi="Arial" w:cs="Arial"/>
          <w:sz w:val="24"/>
          <w:szCs w:val="24"/>
          <w:lang w:val="x-none" w:eastAsia="x-none"/>
        </w:rPr>
        <w:t xml:space="preserve"> been detected</w:t>
      </w:r>
      <w:r w:rsidRPr="009F386E">
        <w:rPr>
          <w:rFonts w:ascii="Arial" w:hAnsi="Arial" w:cs="Arial"/>
          <w:sz w:val="24"/>
          <w:szCs w:val="24"/>
          <w:lang w:eastAsia="x-none"/>
        </w:rPr>
        <w:t xml:space="preserve"> at or above the corresponding DLR.</w:t>
      </w:r>
      <w:r w:rsidR="00716E86">
        <w:rPr>
          <w:rFonts w:ascii="Arial" w:hAnsi="Arial" w:cs="Arial"/>
          <w:sz w:val="24"/>
          <w:szCs w:val="24"/>
          <w:lang w:eastAsia="x-none"/>
        </w:rPr>
        <w:t xml:space="preserve">  </w:t>
      </w:r>
      <w:r w:rsidR="00716E86" w:rsidRPr="00DC58B9">
        <w:rPr>
          <w:rFonts w:ascii="Arial" w:hAnsi="Arial" w:cs="Arial"/>
          <w:bCs/>
          <w:sz w:val="24"/>
          <w:szCs w:val="24"/>
          <w:u w:val="single"/>
          <w:lang w:eastAsia="x-none"/>
        </w:rPr>
        <w:t xml:space="preserve">Based on </w:t>
      </w:r>
      <w:r w:rsidR="00162185">
        <w:rPr>
          <w:rFonts w:ascii="Arial" w:hAnsi="Arial" w:cs="Arial"/>
          <w:bCs/>
          <w:sz w:val="24"/>
          <w:szCs w:val="24"/>
          <w:u w:val="single"/>
          <w:lang w:eastAsia="x-none"/>
        </w:rPr>
        <w:t>existing</w:t>
      </w:r>
      <w:r w:rsidR="00162185" w:rsidRPr="00DC58B9">
        <w:rPr>
          <w:rFonts w:ascii="Arial" w:hAnsi="Arial" w:cs="Arial"/>
          <w:bCs/>
          <w:sz w:val="24"/>
          <w:szCs w:val="24"/>
          <w:u w:val="single"/>
          <w:lang w:eastAsia="x-none"/>
        </w:rPr>
        <w:t xml:space="preserve"> </w:t>
      </w:r>
      <w:r w:rsidR="00716E86" w:rsidRPr="00DC58B9">
        <w:rPr>
          <w:rFonts w:ascii="Arial" w:hAnsi="Arial" w:cs="Arial"/>
          <w:bCs/>
          <w:sz w:val="24"/>
          <w:szCs w:val="24"/>
          <w:u w:val="single"/>
          <w:lang w:eastAsia="x-none"/>
        </w:rPr>
        <w:t xml:space="preserve">routine sampling schedules, surface water sources are monitored every year and ground water sources are monitored every three years.  Therefore, the full implementation of any new perchlorate DLR would occur in the span of a </w:t>
      </w:r>
      <w:r w:rsidR="00716E86" w:rsidRPr="00716E86">
        <w:rPr>
          <w:rFonts w:ascii="Arial" w:hAnsi="Arial" w:cs="Arial"/>
          <w:bCs/>
          <w:sz w:val="24"/>
          <w:szCs w:val="24"/>
          <w:u w:val="single"/>
          <w:lang w:eastAsia="x-none"/>
        </w:rPr>
        <w:t>three-year</w:t>
      </w:r>
      <w:r w:rsidR="00716E86" w:rsidRPr="00DC58B9">
        <w:rPr>
          <w:rFonts w:ascii="Arial" w:hAnsi="Arial" w:cs="Arial"/>
          <w:bCs/>
          <w:sz w:val="24"/>
          <w:szCs w:val="24"/>
          <w:u w:val="single"/>
          <w:lang w:eastAsia="x-none"/>
        </w:rPr>
        <w:t xml:space="preserve"> period.</w:t>
      </w:r>
      <w:r w:rsidR="00716E86">
        <w:rPr>
          <w:rFonts w:ascii="Arial" w:hAnsi="Arial" w:cs="Arial"/>
          <w:bCs/>
          <w:sz w:val="24"/>
          <w:szCs w:val="24"/>
          <w:lang w:eastAsia="x-none"/>
        </w:rPr>
        <w:t xml:space="preserve">  </w:t>
      </w:r>
      <w:r w:rsidRPr="009F386E">
        <w:rPr>
          <w:rFonts w:ascii="Arial" w:hAnsi="Arial" w:cs="Arial"/>
          <w:bCs/>
          <w:sz w:val="24"/>
          <w:szCs w:val="24"/>
          <w:lang w:eastAsia="x-none"/>
        </w:rPr>
        <w:t>The frequency of drinking water sampling and analysis for perchlorate is expected to increase because more PWS are expected to have detections when the DLR is lowered.  Increased sampling would create additional costs for the PWS.  PWS, however, a</w:t>
      </w:r>
      <w:r>
        <w:rPr>
          <w:rFonts w:ascii="Arial" w:hAnsi="Arial" w:cs="Arial"/>
          <w:bCs/>
          <w:sz w:val="24"/>
          <w:szCs w:val="24"/>
          <w:lang w:eastAsia="x-none"/>
        </w:rPr>
        <w:t>re</w:t>
      </w:r>
      <w:r w:rsidRPr="009F386E">
        <w:rPr>
          <w:rFonts w:ascii="Arial" w:hAnsi="Arial" w:cs="Arial"/>
          <w:bCs/>
          <w:sz w:val="24"/>
          <w:szCs w:val="24"/>
          <w:lang w:eastAsia="x-none"/>
        </w:rPr>
        <w:t xml:space="preserve"> excluded from the definition of a “small business,” and, therefore, the proposed regulations would not have a direct effect on any businesses or individuals (Gov. Code §11342.610(b)(8))</w:t>
      </w:r>
      <w:r>
        <w:rPr>
          <w:rFonts w:ascii="Arial" w:hAnsi="Arial" w:cs="Arial"/>
          <w:bCs/>
          <w:sz w:val="24"/>
          <w:szCs w:val="24"/>
          <w:lang w:eastAsia="x-none"/>
        </w:rPr>
        <w:t>.</w:t>
      </w:r>
      <w:r w:rsidRPr="009F386E">
        <w:rPr>
          <w:rFonts w:ascii="Arial" w:hAnsi="Arial" w:cs="Arial"/>
          <w:bCs/>
          <w:sz w:val="24"/>
          <w:szCs w:val="24"/>
          <w:lang w:eastAsia="x-none"/>
        </w:rPr>
        <w:t xml:space="preserve">  However, of the 7,194 drinking water sources estimated to be impacted as a result of this regulation, the State Water Board estimates that ownership of 3,257 sources belongs to private systems, some of which may also be businesses, such as a mobile home park, restaurant or a processing plant.</w:t>
      </w:r>
      <w:r w:rsidRPr="009F386E">
        <w:rPr>
          <w:rStyle w:val="FootnoteReference"/>
          <w:rFonts w:ascii="Arial" w:hAnsi="Arial" w:cs="Arial"/>
          <w:bCs/>
          <w:sz w:val="24"/>
          <w:szCs w:val="24"/>
          <w:lang w:eastAsia="x-none"/>
        </w:rPr>
        <w:footnoteReference w:id="1"/>
      </w:r>
      <w:r w:rsidRPr="009F386E">
        <w:rPr>
          <w:rFonts w:ascii="Arial" w:hAnsi="Arial" w:cs="Arial"/>
          <w:bCs/>
          <w:sz w:val="24"/>
          <w:szCs w:val="24"/>
          <w:lang w:eastAsia="x-none"/>
        </w:rPr>
        <w:t xml:space="preserve">  </w:t>
      </w:r>
    </w:p>
    <w:p w14:paraId="6D123E15" w14:textId="772FAF9E" w:rsidR="00F32BBA" w:rsidRPr="009F386E" w:rsidRDefault="00F32BBA" w:rsidP="00F32BBA">
      <w:pPr>
        <w:rPr>
          <w:rFonts w:ascii="Arial" w:hAnsi="Arial" w:cs="Arial"/>
          <w:bCs/>
          <w:sz w:val="24"/>
          <w:szCs w:val="24"/>
          <w:lang w:eastAsia="x-none"/>
        </w:rPr>
      </w:pPr>
      <w:r w:rsidRPr="009F386E">
        <w:rPr>
          <w:rFonts w:ascii="Arial" w:hAnsi="Arial" w:cs="Arial"/>
          <w:bCs/>
          <w:sz w:val="24"/>
          <w:szCs w:val="24"/>
          <w:lang w:eastAsia="x-none"/>
        </w:rPr>
        <w:lastRenderedPageBreak/>
        <w:t xml:space="preserve">Regardless of whether the PWS are considered businesses or not, it is anticipated that there would be indirect effects on businesses and individuals </w:t>
      </w:r>
      <w:r>
        <w:rPr>
          <w:rFonts w:ascii="Arial" w:hAnsi="Arial" w:cs="Arial"/>
          <w:bCs/>
          <w:sz w:val="24"/>
          <w:szCs w:val="24"/>
          <w:lang w:eastAsia="x-none"/>
        </w:rPr>
        <w:t xml:space="preserve">served by PWS </w:t>
      </w:r>
      <w:r w:rsidRPr="009F386E">
        <w:rPr>
          <w:rFonts w:ascii="Arial" w:hAnsi="Arial" w:cs="Arial"/>
          <w:bCs/>
          <w:sz w:val="24"/>
          <w:szCs w:val="24"/>
          <w:lang w:eastAsia="x-none"/>
        </w:rPr>
        <w:t xml:space="preserve">from the regulations. </w:t>
      </w:r>
      <w:r w:rsidR="00610CB0" w:rsidRPr="00610CB0">
        <w:rPr>
          <w:rFonts w:ascii="Arial" w:hAnsi="Arial" w:cs="Arial"/>
          <w:bCs/>
          <w:sz w:val="24"/>
          <w:szCs w:val="24"/>
          <w:u w:val="single"/>
          <w:lang w:eastAsia="x-none"/>
        </w:rPr>
        <w:t xml:space="preserve"> If businesses providing laboratory analytical services for required monitoring opt to seek accreditation to comply with Phase II, there would likely be substantial costs related to new equipment procurement and laboratory staff training.  </w:t>
      </w:r>
      <w:r w:rsidRPr="008D2829">
        <w:rPr>
          <w:rFonts w:ascii="Arial" w:hAnsi="Arial" w:cs="Arial"/>
          <w:bCs/>
          <w:sz w:val="24"/>
          <w:szCs w:val="24"/>
          <w:lang w:eastAsia="x-none"/>
        </w:rPr>
        <w:t>Businesses providing laboratory analytical services for required monitoring could experience increased demand.</w:t>
      </w:r>
      <w:r w:rsidRPr="009F386E">
        <w:rPr>
          <w:rFonts w:ascii="Arial" w:hAnsi="Arial" w:cs="Arial"/>
          <w:bCs/>
          <w:sz w:val="24"/>
          <w:szCs w:val="24"/>
          <w:lang w:eastAsia="x-none"/>
        </w:rPr>
        <w:t xml:space="preserve">  </w:t>
      </w:r>
      <w:r w:rsidR="008C1B9A" w:rsidRPr="008C1B9A">
        <w:rPr>
          <w:rFonts w:ascii="Arial" w:hAnsi="Arial" w:cs="Arial"/>
          <w:bCs/>
          <w:sz w:val="24"/>
          <w:szCs w:val="24"/>
          <w:u w:val="single"/>
          <w:lang w:eastAsia="x-none"/>
        </w:rPr>
        <w:t>During Phase I and Phase II of the proposed regulation, increased</w:t>
      </w:r>
      <w:r w:rsidR="008C1B9A">
        <w:rPr>
          <w:rFonts w:ascii="Arial" w:hAnsi="Arial" w:cs="Arial"/>
          <w:bCs/>
          <w:sz w:val="24"/>
          <w:szCs w:val="24"/>
          <w:lang w:eastAsia="x-none"/>
        </w:rPr>
        <w:t xml:space="preserve"> </w:t>
      </w:r>
      <w:r w:rsidRPr="008C1B9A">
        <w:rPr>
          <w:rFonts w:ascii="Arial" w:hAnsi="Arial" w:cs="Arial"/>
          <w:bCs/>
          <w:strike/>
          <w:sz w:val="24"/>
          <w:szCs w:val="24"/>
          <w:lang w:eastAsia="x-none"/>
        </w:rPr>
        <w:t>Increased</w:t>
      </w:r>
      <w:r w:rsidRPr="009F386E">
        <w:rPr>
          <w:rFonts w:ascii="Arial" w:hAnsi="Arial" w:cs="Arial"/>
          <w:bCs/>
          <w:sz w:val="24"/>
          <w:szCs w:val="24"/>
          <w:lang w:eastAsia="x-none"/>
        </w:rPr>
        <w:t xml:space="preserve"> costs experienced by the PWS for increased sampling needs </w:t>
      </w:r>
      <w:r w:rsidR="00610CB0" w:rsidRPr="00610CB0">
        <w:rPr>
          <w:rFonts w:ascii="Arial" w:hAnsi="Arial" w:cs="Arial"/>
          <w:bCs/>
          <w:sz w:val="24"/>
          <w:szCs w:val="24"/>
          <w:u w:val="single"/>
          <w:lang w:eastAsia="x-none"/>
        </w:rPr>
        <w:t xml:space="preserve">and from laboratory services </w:t>
      </w:r>
      <w:r w:rsidRPr="00610CB0">
        <w:rPr>
          <w:rFonts w:ascii="Arial" w:hAnsi="Arial" w:cs="Arial"/>
          <w:bCs/>
          <w:sz w:val="24"/>
          <w:szCs w:val="24"/>
          <w:lang w:eastAsia="x-none"/>
        </w:rPr>
        <w:t xml:space="preserve">would </w:t>
      </w:r>
      <w:r w:rsidRPr="009F386E">
        <w:rPr>
          <w:rFonts w:ascii="Arial" w:hAnsi="Arial" w:cs="Arial"/>
          <w:bCs/>
          <w:sz w:val="24"/>
          <w:szCs w:val="24"/>
          <w:lang w:eastAsia="x-none"/>
        </w:rPr>
        <w:t xml:space="preserve">be passed on to the individuals and businesses that the PWS serves.  The types of businesses expected to be indirectly impacted consist of every type of business that requires potable drinking water for their customers, employees, or processes/operations.  Based on the cost estimating methodology (CEM) </w:t>
      </w:r>
      <w:r>
        <w:rPr>
          <w:rFonts w:ascii="Arial" w:hAnsi="Arial" w:cs="Arial"/>
          <w:bCs/>
          <w:sz w:val="24"/>
          <w:szCs w:val="24"/>
          <w:lang w:eastAsia="x-none"/>
        </w:rPr>
        <w:t xml:space="preserve">described </w:t>
      </w:r>
      <w:r w:rsidRPr="009F386E">
        <w:rPr>
          <w:rFonts w:ascii="Arial" w:hAnsi="Arial" w:cs="Arial"/>
          <w:bCs/>
          <w:sz w:val="24"/>
          <w:szCs w:val="24"/>
          <w:lang w:eastAsia="x-none"/>
        </w:rPr>
        <w:t xml:space="preserve">below, the State Water Board anticipates that </w:t>
      </w:r>
      <w:r w:rsidRPr="00DC58B9">
        <w:rPr>
          <w:rFonts w:ascii="Arial" w:hAnsi="Arial" w:cs="Arial"/>
          <w:bCs/>
          <w:strike/>
          <w:sz w:val="24"/>
          <w:szCs w:val="24"/>
          <w:lang w:eastAsia="x-none"/>
        </w:rPr>
        <w:t>the</w:t>
      </w:r>
      <w:r w:rsidRPr="009F386E">
        <w:rPr>
          <w:rFonts w:ascii="Arial" w:hAnsi="Arial" w:cs="Arial"/>
          <w:bCs/>
          <w:sz w:val="24"/>
          <w:szCs w:val="24"/>
          <w:lang w:eastAsia="x-none"/>
        </w:rPr>
        <w:t xml:space="preserve"> </w:t>
      </w:r>
      <w:r w:rsidR="00716E86" w:rsidRPr="00DC58B9">
        <w:rPr>
          <w:rFonts w:ascii="Arial" w:hAnsi="Arial" w:cs="Arial"/>
          <w:bCs/>
          <w:sz w:val="24"/>
          <w:szCs w:val="24"/>
          <w:u w:val="single"/>
          <w:lang w:eastAsia="x-none"/>
        </w:rPr>
        <w:t>Phase I of the</w:t>
      </w:r>
      <w:r w:rsidR="00716E86">
        <w:rPr>
          <w:rFonts w:ascii="Arial" w:hAnsi="Arial" w:cs="Arial"/>
          <w:bCs/>
          <w:sz w:val="24"/>
          <w:szCs w:val="24"/>
          <w:lang w:eastAsia="x-none"/>
        </w:rPr>
        <w:t xml:space="preserve"> </w:t>
      </w:r>
      <w:r w:rsidRPr="009F386E">
        <w:rPr>
          <w:rFonts w:ascii="Arial" w:hAnsi="Arial" w:cs="Arial"/>
          <w:bCs/>
          <w:sz w:val="24"/>
          <w:szCs w:val="24"/>
          <w:lang w:eastAsia="x-none"/>
        </w:rPr>
        <w:t xml:space="preserve">proposed regulation will incur an additional $1,611,456 sampling costs for the PWS, resulting in </w:t>
      </w:r>
      <w:r>
        <w:rPr>
          <w:rFonts w:ascii="Arial" w:hAnsi="Arial" w:cs="Arial"/>
          <w:bCs/>
          <w:sz w:val="24"/>
          <w:szCs w:val="24"/>
          <w:lang w:eastAsia="x-none"/>
        </w:rPr>
        <w:t xml:space="preserve">an </w:t>
      </w:r>
      <w:r w:rsidRPr="009F386E">
        <w:rPr>
          <w:rFonts w:ascii="Arial" w:hAnsi="Arial" w:cs="Arial"/>
          <w:bCs/>
          <w:sz w:val="24"/>
          <w:szCs w:val="24"/>
          <w:lang w:eastAsia="x-none"/>
        </w:rPr>
        <w:t>approximate addition</w:t>
      </w:r>
      <w:r>
        <w:rPr>
          <w:rFonts w:ascii="Arial" w:hAnsi="Arial" w:cs="Arial"/>
          <w:bCs/>
          <w:sz w:val="24"/>
          <w:szCs w:val="24"/>
          <w:lang w:eastAsia="x-none"/>
        </w:rPr>
        <w:t>al</w:t>
      </w:r>
      <w:r w:rsidRPr="009F386E">
        <w:rPr>
          <w:rFonts w:ascii="Arial" w:hAnsi="Arial" w:cs="Arial"/>
          <w:bCs/>
          <w:sz w:val="24"/>
          <w:szCs w:val="24"/>
          <w:lang w:eastAsia="x-none"/>
        </w:rPr>
        <w:t xml:space="preserve"> $224 per year for </w:t>
      </w:r>
      <w:r>
        <w:rPr>
          <w:rFonts w:ascii="Arial" w:hAnsi="Arial" w:cs="Arial"/>
          <w:bCs/>
          <w:sz w:val="24"/>
          <w:szCs w:val="24"/>
          <w:lang w:eastAsia="x-none"/>
        </w:rPr>
        <w:t xml:space="preserve">each affected </w:t>
      </w:r>
      <w:r w:rsidRPr="009F386E">
        <w:rPr>
          <w:rFonts w:ascii="Arial" w:hAnsi="Arial" w:cs="Arial"/>
          <w:bCs/>
          <w:sz w:val="24"/>
          <w:szCs w:val="24"/>
          <w:lang w:eastAsia="x-none"/>
        </w:rPr>
        <w:t xml:space="preserve">water </w:t>
      </w:r>
      <w:r w:rsidRPr="00DC58B9">
        <w:rPr>
          <w:rFonts w:ascii="Arial" w:hAnsi="Arial" w:cs="Arial"/>
          <w:bCs/>
          <w:strike/>
          <w:sz w:val="24"/>
          <w:szCs w:val="24"/>
          <w:lang w:eastAsia="x-none"/>
        </w:rPr>
        <w:t>system</w:t>
      </w:r>
      <w:r w:rsidR="00716E86">
        <w:rPr>
          <w:rFonts w:ascii="Arial" w:hAnsi="Arial" w:cs="Arial"/>
          <w:bCs/>
          <w:sz w:val="24"/>
          <w:szCs w:val="24"/>
          <w:lang w:eastAsia="x-none"/>
        </w:rPr>
        <w:t xml:space="preserve"> </w:t>
      </w:r>
      <w:r w:rsidR="00716E86">
        <w:rPr>
          <w:rFonts w:ascii="Arial" w:hAnsi="Arial" w:cs="Arial"/>
          <w:bCs/>
          <w:sz w:val="24"/>
          <w:szCs w:val="24"/>
          <w:u w:val="single"/>
          <w:lang w:eastAsia="x-none"/>
        </w:rPr>
        <w:t>source</w:t>
      </w:r>
      <w:r w:rsidRPr="009F386E">
        <w:rPr>
          <w:rFonts w:ascii="Arial" w:hAnsi="Arial" w:cs="Arial"/>
          <w:bCs/>
          <w:sz w:val="24"/>
          <w:szCs w:val="24"/>
          <w:lang w:eastAsia="x-none"/>
        </w:rPr>
        <w:t xml:space="preserve">, and </w:t>
      </w:r>
      <w:r w:rsidR="00B522ED">
        <w:rPr>
          <w:rFonts w:ascii="Arial" w:hAnsi="Arial" w:cs="Arial"/>
          <w:bCs/>
          <w:sz w:val="24"/>
          <w:szCs w:val="24"/>
          <w:lang w:eastAsia="x-none"/>
        </w:rPr>
        <w:br/>
      </w:r>
      <w:r w:rsidRPr="009F386E">
        <w:rPr>
          <w:rFonts w:ascii="Arial" w:hAnsi="Arial" w:cs="Arial"/>
          <w:bCs/>
          <w:sz w:val="24"/>
          <w:szCs w:val="24"/>
          <w:lang w:eastAsia="x-none"/>
        </w:rPr>
        <w:t xml:space="preserve">$9 per year for individuals/businesses served by the </w:t>
      </w:r>
      <w:r>
        <w:rPr>
          <w:rFonts w:ascii="Arial" w:hAnsi="Arial" w:cs="Arial"/>
          <w:bCs/>
          <w:sz w:val="24"/>
          <w:szCs w:val="24"/>
          <w:lang w:eastAsia="x-none"/>
        </w:rPr>
        <w:t xml:space="preserve">affected </w:t>
      </w:r>
      <w:r w:rsidRPr="009F386E">
        <w:rPr>
          <w:rFonts w:ascii="Arial" w:hAnsi="Arial" w:cs="Arial"/>
          <w:bCs/>
          <w:sz w:val="24"/>
          <w:szCs w:val="24"/>
          <w:lang w:eastAsia="x-none"/>
        </w:rPr>
        <w:t>water systems.</w:t>
      </w:r>
      <w:r w:rsidR="00716E86">
        <w:rPr>
          <w:rFonts w:ascii="Arial" w:hAnsi="Arial" w:cs="Arial"/>
          <w:bCs/>
          <w:sz w:val="24"/>
          <w:szCs w:val="24"/>
          <w:lang w:eastAsia="x-none"/>
        </w:rPr>
        <w:t xml:space="preserve">  </w:t>
      </w:r>
      <w:r w:rsidR="00716E86" w:rsidRPr="00DC58B9">
        <w:rPr>
          <w:rFonts w:ascii="Arial" w:hAnsi="Arial" w:cs="Arial"/>
          <w:bCs/>
          <w:sz w:val="24"/>
          <w:szCs w:val="24"/>
          <w:u w:val="single"/>
          <w:lang w:eastAsia="x-none"/>
        </w:rPr>
        <w:t xml:space="preserve">In Phase II, these costs are estimated to quadruple to </w:t>
      </w:r>
      <w:r w:rsidR="00716E86" w:rsidRPr="00DC58B9">
        <w:rPr>
          <w:rFonts w:ascii="Arial" w:hAnsi="Arial" w:cs="Arial"/>
          <w:sz w:val="24"/>
          <w:szCs w:val="24"/>
          <w:u w:val="single"/>
        </w:rPr>
        <w:t xml:space="preserve">$6,444,824 from additional sampling costs for PWS, </w:t>
      </w:r>
      <w:r w:rsidR="00716E86" w:rsidRPr="00DC58B9">
        <w:rPr>
          <w:rFonts w:ascii="Arial" w:hAnsi="Arial" w:cs="Arial"/>
          <w:bCs/>
          <w:sz w:val="24"/>
          <w:szCs w:val="24"/>
          <w:u w:val="single"/>
          <w:lang w:eastAsia="x-none"/>
        </w:rPr>
        <w:t>resulting in an approximate additional $896 per year for each affected water source, and $36 per year for individuals/businesses served by the affected water systems.</w:t>
      </w:r>
    </w:p>
    <w:p w14:paraId="6FE48B9C" w14:textId="77777777" w:rsidR="00F32BBA" w:rsidRPr="009F386E" w:rsidRDefault="00F32BBA" w:rsidP="00F32BBA">
      <w:pPr>
        <w:rPr>
          <w:rFonts w:ascii="Arial" w:hAnsi="Arial" w:cs="Arial"/>
          <w:sz w:val="24"/>
          <w:szCs w:val="24"/>
        </w:rPr>
      </w:pPr>
      <w:r w:rsidRPr="009F386E">
        <w:rPr>
          <w:rFonts w:ascii="Arial" w:hAnsi="Arial" w:cs="Arial"/>
          <w:bCs/>
          <w:sz w:val="24"/>
          <w:szCs w:val="24"/>
          <w:lang w:eastAsia="x-none"/>
        </w:rPr>
        <w:t xml:space="preserve">Therefore, the proposed regulation is expected to have a modest, unquantifiable potential for business expansion.  </w:t>
      </w:r>
      <w:r w:rsidRPr="009F386E">
        <w:rPr>
          <w:rFonts w:ascii="Arial" w:hAnsi="Arial" w:cs="Arial"/>
          <w:sz w:val="24"/>
          <w:szCs w:val="24"/>
          <w:lang w:eastAsia="x-none"/>
        </w:rPr>
        <w:t xml:space="preserve">Such impacts:  </w:t>
      </w:r>
    </w:p>
    <w:p w14:paraId="2DCCD3BD" w14:textId="77777777" w:rsidR="00F32BBA" w:rsidRPr="00DA5EE2" w:rsidRDefault="00F32BBA" w:rsidP="00F32BBA">
      <w:pPr>
        <w:pStyle w:val="ListParagraph"/>
        <w:numPr>
          <w:ilvl w:val="0"/>
          <w:numId w:val="28"/>
        </w:numPr>
        <w:ind w:left="810"/>
        <w:rPr>
          <w:rFonts w:ascii="Arial" w:eastAsiaTheme="minorHAnsi" w:hAnsi="Arial" w:cs="Arial"/>
          <w:bCs/>
          <w:sz w:val="24"/>
          <w:szCs w:val="24"/>
        </w:rPr>
      </w:pPr>
      <w:r w:rsidRPr="00DA5EE2">
        <w:rPr>
          <w:rFonts w:ascii="Arial" w:eastAsiaTheme="minorHAnsi" w:hAnsi="Arial" w:cs="Arial"/>
          <w:bCs/>
          <w:sz w:val="24"/>
          <w:szCs w:val="24"/>
        </w:rPr>
        <w:t xml:space="preserve">Are not expected to create or eliminate jobs within the state.  It is expected that current laboratory staffing would absorb the increased workload.  </w:t>
      </w:r>
      <w:r w:rsidRPr="00DA5EE2">
        <w:rPr>
          <w:rFonts w:ascii="Arial" w:eastAsiaTheme="minorHAnsi" w:hAnsi="Arial" w:cs="Arial"/>
          <w:bCs/>
          <w:sz w:val="24"/>
          <w:szCs w:val="24"/>
        </w:rPr>
        <w:br/>
        <w:t xml:space="preserve">[Gov. Code 116346.3(b)(1)(A)]  </w:t>
      </w:r>
    </w:p>
    <w:p w14:paraId="25E3BB13" w14:textId="77777777" w:rsidR="00F32BBA" w:rsidRPr="00DA5EE2" w:rsidRDefault="00F32BBA" w:rsidP="00F32BBA">
      <w:pPr>
        <w:pStyle w:val="ListParagraph"/>
        <w:numPr>
          <w:ilvl w:val="0"/>
          <w:numId w:val="28"/>
        </w:numPr>
        <w:ind w:left="810"/>
        <w:rPr>
          <w:rFonts w:ascii="Arial" w:eastAsiaTheme="minorHAnsi" w:hAnsi="Arial" w:cs="Arial"/>
          <w:bCs/>
          <w:sz w:val="24"/>
          <w:szCs w:val="24"/>
        </w:rPr>
      </w:pPr>
      <w:r w:rsidRPr="00DA5EE2">
        <w:rPr>
          <w:rFonts w:ascii="Arial" w:eastAsiaTheme="minorHAnsi" w:hAnsi="Arial" w:cs="Arial"/>
          <w:bCs/>
          <w:sz w:val="24"/>
          <w:szCs w:val="24"/>
        </w:rPr>
        <w:t xml:space="preserve">Are not expected to create new businesses or eliminate existing businesses within the state.  As noted above, it is expected that current laboratory staff would be able to absorb the increased workload.  Some new businesses could be created </w:t>
      </w:r>
      <w:r w:rsidRPr="00DA5EE2">
        <w:rPr>
          <w:rFonts w:ascii="Arial" w:eastAsiaTheme="minorHAnsi" w:hAnsi="Arial" w:cs="Arial"/>
          <w:sz w:val="24"/>
          <w:szCs w:val="24"/>
        </w:rPr>
        <w:t xml:space="preserve">through the development of new analytical methods and treatment technologies to detect and address perchlorate.  </w:t>
      </w:r>
      <w:r w:rsidRPr="00DA5EE2">
        <w:rPr>
          <w:rFonts w:ascii="Arial" w:eastAsiaTheme="minorHAnsi" w:hAnsi="Arial" w:cs="Arial"/>
          <w:sz w:val="24"/>
          <w:szCs w:val="24"/>
        </w:rPr>
        <w:br/>
        <w:t>[Gov. Code 116346.3(b)(1)(B)]</w:t>
      </w:r>
    </w:p>
    <w:p w14:paraId="2C8C9155" w14:textId="4F75447F" w:rsidR="00F32BBA" w:rsidRPr="00DA5EE2" w:rsidRDefault="00F32BBA" w:rsidP="00F32BBA">
      <w:pPr>
        <w:pStyle w:val="ListParagraph"/>
        <w:numPr>
          <w:ilvl w:val="0"/>
          <w:numId w:val="28"/>
        </w:numPr>
        <w:ind w:left="810"/>
        <w:rPr>
          <w:rFonts w:ascii="Arial" w:eastAsiaTheme="minorHAnsi" w:hAnsi="Arial" w:cs="Arial"/>
          <w:bCs/>
          <w:sz w:val="24"/>
          <w:szCs w:val="24"/>
        </w:rPr>
      </w:pPr>
      <w:r w:rsidRPr="00DA5EE2">
        <w:rPr>
          <w:rFonts w:ascii="Arial" w:eastAsiaTheme="minorHAnsi" w:hAnsi="Arial" w:cs="Arial"/>
          <w:bCs/>
          <w:sz w:val="24"/>
          <w:szCs w:val="24"/>
        </w:rPr>
        <w:t xml:space="preserve">Would result in a minimum expansion of the laboratory business within the state.  As noted above, the regulation is anticipated to result in </w:t>
      </w:r>
      <w:r w:rsidRPr="00DA5EE2">
        <w:rPr>
          <w:rFonts w:ascii="Arial" w:eastAsiaTheme="minorHAnsi" w:hAnsi="Arial" w:cs="Arial"/>
          <w:bCs/>
          <w:strike/>
          <w:sz w:val="24"/>
          <w:szCs w:val="24"/>
        </w:rPr>
        <w:t>about an</w:t>
      </w:r>
      <w:r w:rsidRPr="00DA5EE2">
        <w:rPr>
          <w:rFonts w:ascii="Arial" w:eastAsiaTheme="minorHAnsi" w:hAnsi="Arial" w:cs="Arial"/>
          <w:bCs/>
          <w:sz w:val="24"/>
          <w:szCs w:val="24"/>
        </w:rPr>
        <w:t xml:space="preserve"> </w:t>
      </w:r>
      <w:proofErr w:type="gramStart"/>
      <w:r w:rsidRPr="00DA5EE2">
        <w:rPr>
          <w:rFonts w:ascii="Arial" w:eastAsiaTheme="minorHAnsi" w:hAnsi="Arial" w:cs="Arial"/>
          <w:bCs/>
          <w:sz w:val="24"/>
          <w:szCs w:val="24"/>
        </w:rPr>
        <w:t xml:space="preserve">additional </w:t>
      </w:r>
      <w:r w:rsidR="008D2829" w:rsidRPr="00DA5EE2">
        <w:rPr>
          <w:rFonts w:ascii="Arial" w:eastAsiaTheme="minorHAnsi" w:hAnsi="Arial" w:cs="Arial"/>
          <w:bCs/>
          <w:sz w:val="24"/>
          <w:szCs w:val="24"/>
          <w:u w:val="single"/>
        </w:rPr>
        <w:t>analyses</w:t>
      </w:r>
      <w:proofErr w:type="gramEnd"/>
      <w:r w:rsidRPr="00DA5EE2">
        <w:rPr>
          <w:rFonts w:ascii="Arial" w:eastAsiaTheme="minorHAnsi" w:hAnsi="Arial" w:cs="Arial"/>
          <w:bCs/>
          <w:strike/>
          <w:sz w:val="24"/>
          <w:szCs w:val="24"/>
        </w:rPr>
        <w:t>$1.6 million in analysis</w:t>
      </w:r>
      <w:r w:rsidRPr="00DA5EE2">
        <w:rPr>
          <w:rFonts w:ascii="Arial" w:eastAsiaTheme="minorHAnsi" w:hAnsi="Arial" w:cs="Arial"/>
          <w:bCs/>
          <w:sz w:val="24"/>
          <w:szCs w:val="24"/>
        </w:rPr>
        <w:t xml:space="preserve"> </w:t>
      </w:r>
      <w:r w:rsidRPr="00DA5EE2">
        <w:rPr>
          <w:rFonts w:ascii="Arial" w:eastAsiaTheme="minorHAnsi" w:hAnsi="Arial" w:cs="Arial"/>
          <w:bCs/>
          <w:strike/>
          <w:sz w:val="24"/>
          <w:szCs w:val="24"/>
        </w:rPr>
        <w:t>costs</w:t>
      </w:r>
      <w:r w:rsidRPr="00DA5EE2">
        <w:rPr>
          <w:rFonts w:ascii="Arial" w:eastAsiaTheme="minorHAnsi" w:hAnsi="Arial" w:cs="Arial"/>
          <w:bCs/>
          <w:sz w:val="24"/>
          <w:szCs w:val="24"/>
        </w:rPr>
        <w:t xml:space="preserve"> for PWS, which would be expected to be performed by existing laboratories within the state.  </w:t>
      </w:r>
      <w:r w:rsidRPr="00DA5EE2">
        <w:rPr>
          <w:rFonts w:ascii="Arial" w:eastAsiaTheme="minorHAnsi" w:hAnsi="Arial" w:cs="Arial"/>
          <w:bCs/>
          <w:sz w:val="24"/>
          <w:szCs w:val="24"/>
        </w:rPr>
        <w:br/>
        <w:t>[Gov. Code 116346.3(b)(1)(C)]</w:t>
      </w:r>
    </w:p>
    <w:p w14:paraId="13DC59BF" w14:textId="34882B10" w:rsidR="00716E86" w:rsidRPr="00DC58B9" w:rsidRDefault="00716E86" w:rsidP="00DC58B9">
      <w:pPr>
        <w:rPr>
          <w:rFonts w:ascii="Arial" w:hAnsi="Arial" w:cs="Arial"/>
          <w:sz w:val="24"/>
          <w:szCs w:val="24"/>
        </w:rPr>
      </w:pPr>
      <w:r w:rsidRPr="00DC58B9">
        <w:rPr>
          <w:rFonts w:ascii="Arial" w:hAnsi="Arial" w:cs="Arial"/>
          <w:sz w:val="24"/>
          <w:szCs w:val="24"/>
        </w:rPr>
        <w:t>(No change for the remainder of section)</w:t>
      </w:r>
    </w:p>
    <w:p w14:paraId="789A37E7" w14:textId="2D0CCA5F" w:rsidR="00F32BBA" w:rsidRPr="009F386E" w:rsidRDefault="00F32BBA" w:rsidP="00F32BBA">
      <w:pPr>
        <w:keepNext/>
        <w:spacing w:after="120"/>
        <w:rPr>
          <w:rFonts w:ascii="Arial" w:hAnsi="Arial" w:cs="Arial"/>
          <w:b/>
          <w:bCs/>
          <w:iCs/>
          <w:sz w:val="24"/>
          <w:szCs w:val="24"/>
        </w:rPr>
      </w:pPr>
      <w:r w:rsidRPr="009F386E">
        <w:rPr>
          <w:rFonts w:ascii="Arial" w:hAnsi="Arial" w:cs="Arial"/>
          <w:b/>
          <w:bCs/>
          <w:iCs/>
          <w:sz w:val="24"/>
          <w:szCs w:val="24"/>
        </w:rPr>
        <w:t>Cost Estimating Methodology</w:t>
      </w:r>
      <w:r>
        <w:rPr>
          <w:rFonts w:ascii="Arial" w:hAnsi="Arial" w:cs="Arial"/>
          <w:b/>
          <w:bCs/>
          <w:iCs/>
          <w:sz w:val="24"/>
          <w:szCs w:val="24"/>
        </w:rPr>
        <w:t xml:space="preserve"> (CEM)</w:t>
      </w:r>
    </w:p>
    <w:p w14:paraId="4F5F8F01" w14:textId="77777777" w:rsidR="00F32BBA" w:rsidRPr="009F386E" w:rsidRDefault="00F32BBA" w:rsidP="00F32BBA">
      <w:pPr>
        <w:keepNext/>
        <w:rPr>
          <w:rFonts w:ascii="Arial" w:hAnsi="Arial" w:cs="Arial"/>
          <w:sz w:val="24"/>
          <w:szCs w:val="24"/>
          <w:lang w:val="x-none" w:eastAsia="x-none"/>
        </w:rPr>
      </w:pPr>
      <w:r w:rsidRPr="009F386E">
        <w:rPr>
          <w:rFonts w:ascii="Arial" w:hAnsi="Arial" w:cs="Arial"/>
          <w:sz w:val="24"/>
          <w:szCs w:val="24"/>
          <w:lang w:eastAsia="x-none"/>
        </w:rPr>
        <w:t>Existing California</w:t>
      </w:r>
      <w:r w:rsidRPr="009F386E">
        <w:rPr>
          <w:rFonts w:ascii="Arial" w:hAnsi="Arial" w:cs="Arial"/>
          <w:sz w:val="24"/>
          <w:szCs w:val="24"/>
          <w:lang w:val="x-none" w:eastAsia="x-none"/>
        </w:rPr>
        <w:t xml:space="preserve"> regulation requires community water systems (CWS) and nontransient-noncommunity water systems (NTNC) to sample their drinking water </w:t>
      </w:r>
      <w:r w:rsidRPr="009F386E">
        <w:rPr>
          <w:rFonts w:ascii="Arial" w:hAnsi="Arial" w:cs="Arial"/>
          <w:sz w:val="24"/>
          <w:szCs w:val="24"/>
          <w:lang w:val="x-none" w:eastAsia="x-none"/>
        </w:rPr>
        <w:lastRenderedPageBreak/>
        <w:t xml:space="preserve">sources and have the samples analyzed for inorganic </w:t>
      </w:r>
      <w:r>
        <w:rPr>
          <w:rFonts w:ascii="Arial" w:hAnsi="Arial" w:cs="Arial"/>
          <w:sz w:val="24"/>
          <w:szCs w:val="24"/>
          <w:lang w:eastAsia="x-none"/>
        </w:rPr>
        <w:t>contaminants</w:t>
      </w:r>
      <w:r w:rsidRPr="009F386E">
        <w:rPr>
          <w:rFonts w:ascii="Arial" w:hAnsi="Arial" w:cs="Arial"/>
          <w:sz w:val="24"/>
          <w:szCs w:val="24"/>
          <w:lang w:eastAsia="x-none"/>
        </w:rPr>
        <w:t>, such as perchlorate,</w:t>
      </w:r>
      <w:r w:rsidRPr="009F386E">
        <w:rPr>
          <w:rFonts w:ascii="Arial" w:hAnsi="Arial" w:cs="Arial"/>
          <w:sz w:val="24"/>
          <w:szCs w:val="24"/>
          <w:lang w:val="x-none" w:eastAsia="x-none"/>
        </w:rPr>
        <w:t xml:space="preserve"> to determine compliance with drinking water standards, including MCLs and DLRs.</w:t>
      </w:r>
    </w:p>
    <w:p w14:paraId="1FFDFD65" w14:textId="0E8450DD" w:rsidR="00F32BBA" w:rsidRPr="000D7718" w:rsidRDefault="00F32BBA" w:rsidP="00F32BBA">
      <w:pPr>
        <w:rPr>
          <w:rFonts w:ascii="Arial" w:hAnsi="Arial" w:cs="Arial"/>
          <w:sz w:val="24"/>
          <w:szCs w:val="24"/>
          <w:u w:val="single"/>
          <w:lang w:eastAsia="x-none"/>
        </w:rPr>
      </w:pPr>
      <w:r w:rsidRPr="009F386E">
        <w:rPr>
          <w:rFonts w:ascii="Arial" w:hAnsi="Arial" w:cs="Arial"/>
          <w:sz w:val="24"/>
          <w:szCs w:val="24"/>
          <w:lang w:eastAsia="x-none"/>
        </w:rPr>
        <w:t>The two primary variables affecting costs incurred by water systems under the proposed regulation are cost per analysis and the frequency of analyses.  Based on the laboratory survey described later in this section, the proposed regulation is not expected to increase the cost per analysis</w:t>
      </w:r>
      <w:r w:rsidR="00DA7CE2">
        <w:rPr>
          <w:rFonts w:ascii="Arial" w:hAnsi="Arial" w:cs="Arial"/>
          <w:sz w:val="24"/>
          <w:szCs w:val="24"/>
          <w:lang w:eastAsia="x-none"/>
        </w:rPr>
        <w:t xml:space="preserve"> </w:t>
      </w:r>
      <w:r w:rsidR="00DA7CE2" w:rsidRPr="00DC58B9">
        <w:rPr>
          <w:rFonts w:ascii="Arial" w:hAnsi="Arial" w:cs="Arial"/>
          <w:sz w:val="24"/>
          <w:szCs w:val="24"/>
          <w:u w:val="single"/>
          <w:lang w:eastAsia="x-none"/>
        </w:rPr>
        <w:t xml:space="preserve">during </w:t>
      </w:r>
      <w:r w:rsidR="000D7718">
        <w:rPr>
          <w:rFonts w:ascii="Arial" w:hAnsi="Arial" w:cs="Arial"/>
          <w:sz w:val="24"/>
          <w:szCs w:val="24"/>
          <w:u w:val="single"/>
          <w:lang w:eastAsia="x-none"/>
        </w:rPr>
        <w:t>Phase I</w:t>
      </w:r>
      <w:r w:rsidR="00DA7CE2" w:rsidRPr="00DC58B9">
        <w:rPr>
          <w:rFonts w:ascii="Arial" w:hAnsi="Arial" w:cs="Arial"/>
          <w:sz w:val="24"/>
          <w:szCs w:val="24"/>
          <w:u w:val="single"/>
          <w:lang w:eastAsia="x-none"/>
        </w:rPr>
        <w:t xml:space="preserve"> of the proposed </w:t>
      </w:r>
      <w:r w:rsidR="00DA7CE2" w:rsidRPr="00DA7CE2">
        <w:rPr>
          <w:rFonts w:ascii="Arial" w:hAnsi="Arial" w:cs="Arial"/>
          <w:sz w:val="24"/>
          <w:szCs w:val="24"/>
          <w:u w:val="single"/>
          <w:lang w:eastAsia="x-none"/>
        </w:rPr>
        <w:t>regulation.</w:t>
      </w:r>
      <w:r w:rsidRPr="009F386E">
        <w:rPr>
          <w:rFonts w:ascii="Arial" w:hAnsi="Arial" w:cs="Arial"/>
          <w:sz w:val="24"/>
          <w:szCs w:val="24"/>
          <w:lang w:eastAsia="x-none"/>
        </w:rPr>
        <w:t xml:space="preserve">  </w:t>
      </w:r>
      <w:r w:rsidR="000D7718" w:rsidRPr="000D7718">
        <w:rPr>
          <w:rFonts w:ascii="Arial" w:hAnsi="Arial" w:cs="Arial"/>
          <w:sz w:val="24"/>
          <w:szCs w:val="24"/>
          <w:u w:val="single"/>
          <w:lang w:eastAsia="x-none"/>
        </w:rPr>
        <w:t xml:space="preserve">During Phase II, there is an expected increase in cost per analysis. </w:t>
      </w:r>
      <w:r w:rsidR="00B522ED">
        <w:rPr>
          <w:rFonts w:ascii="Arial" w:hAnsi="Arial" w:cs="Arial"/>
          <w:sz w:val="24"/>
          <w:szCs w:val="24"/>
          <w:u w:val="single"/>
          <w:lang w:eastAsia="x-none"/>
        </w:rPr>
        <w:t xml:space="preserve"> </w:t>
      </w:r>
      <w:r w:rsidRPr="009F386E">
        <w:rPr>
          <w:rFonts w:ascii="Arial" w:hAnsi="Arial" w:cs="Arial"/>
          <w:sz w:val="24"/>
          <w:szCs w:val="24"/>
          <w:lang w:eastAsia="x-none"/>
        </w:rPr>
        <w:t xml:space="preserve">Therefore, </w:t>
      </w:r>
      <w:r w:rsidR="00DA7CE2" w:rsidRPr="00DC58B9">
        <w:rPr>
          <w:rFonts w:ascii="Arial" w:hAnsi="Arial" w:cs="Arial"/>
          <w:sz w:val="24"/>
          <w:szCs w:val="24"/>
          <w:u w:val="single"/>
          <w:lang w:eastAsia="x-none"/>
        </w:rPr>
        <w:t>for the first three years of the implementation of the regulation</w:t>
      </w:r>
      <w:r w:rsidR="00BB20DD">
        <w:rPr>
          <w:rFonts w:ascii="Arial" w:hAnsi="Arial" w:cs="Arial"/>
          <w:sz w:val="24"/>
          <w:szCs w:val="24"/>
          <w:u w:val="single"/>
          <w:lang w:eastAsia="x-none"/>
        </w:rPr>
        <w:t>,</w:t>
      </w:r>
      <w:r w:rsidR="00DA7CE2">
        <w:rPr>
          <w:rFonts w:ascii="Arial" w:hAnsi="Arial" w:cs="Arial"/>
          <w:sz w:val="24"/>
          <w:szCs w:val="24"/>
          <w:lang w:eastAsia="x-none"/>
        </w:rPr>
        <w:t xml:space="preserve"> </w:t>
      </w:r>
      <w:r>
        <w:rPr>
          <w:rFonts w:ascii="Arial" w:hAnsi="Arial" w:cs="Arial"/>
          <w:sz w:val="24"/>
          <w:szCs w:val="24"/>
          <w:lang w:eastAsia="x-none"/>
        </w:rPr>
        <w:t>any</w:t>
      </w:r>
      <w:r w:rsidRPr="009F386E">
        <w:rPr>
          <w:rFonts w:ascii="Arial" w:hAnsi="Arial" w:cs="Arial"/>
          <w:sz w:val="24"/>
          <w:szCs w:val="24"/>
          <w:lang w:eastAsia="x-none"/>
        </w:rPr>
        <w:t xml:space="preserve"> anticipated increased costs </w:t>
      </w:r>
      <w:r>
        <w:rPr>
          <w:rFonts w:ascii="Arial" w:hAnsi="Arial" w:cs="Arial"/>
          <w:sz w:val="24"/>
          <w:szCs w:val="24"/>
          <w:lang w:eastAsia="x-none"/>
        </w:rPr>
        <w:t>would</w:t>
      </w:r>
      <w:r w:rsidRPr="009F386E">
        <w:rPr>
          <w:rFonts w:ascii="Arial" w:hAnsi="Arial" w:cs="Arial"/>
          <w:sz w:val="24"/>
          <w:szCs w:val="24"/>
          <w:lang w:eastAsia="x-none"/>
        </w:rPr>
        <w:t xml:space="preserve"> result from </w:t>
      </w:r>
      <w:r w:rsidR="00DA7CE2" w:rsidRPr="00DC58B9">
        <w:rPr>
          <w:rFonts w:ascii="Arial" w:hAnsi="Arial" w:cs="Arial"/>
          <w:sz w:val="24"/>
          <w:szCs w:val="24"/>
          <w:u w:val="single"/>
          <w:lang w:eastAsia="x-none"/>
        </w:rPr>
        <w:t>the change from routine monitoring to</w:t>
      </w:r>
      <w:r w:rsidR="00DA7CE2">
        <w:rPr>
          <w:rFonts w:ascii="Arial" w:hAnsi="Arial" w:cs="Arial"/>
          <w:sz w:val="24"/>
          <w:szCs w:val="24"/>
          <w:lang w:eastAsia="x-none"/>
        </w:rPr>
        <w:t xml:space="preserve"> </w:t>
      </w:r>
      <w:r w:rsidRPr="009F386E">
        <w:rPr>
          <w:rFonts w:ascii="Arial" w:hAnsi="Arial" w:cs="Arial"/>
          <w:sz w:val="24"/>
          <w:szCs w:val="24"/>
          <w:lang w:eastAsia="x-none"/>
        </w:rPr>
        <w:t>increased monitoring frequencies</w:t>
      </w:r>
      <w:r w:rsidR="000D7718">
        <w:rPr>
          <w:rFonts w:ascii="Arial" w:hAnsi="Arial" w:cs="Arial"/>
          <w:sz w:val="24"/>
          <w:szCs w:val="24"/>
          <w:lang w:eastAsia="x-none"/>
        </w:rPr>
        <w:t xml:space="preserve">, </w:t>
      </w:r>
      <w:r w:rsidR="000D7718" w:rsidRPr="000D7718">
        <w:rPr>
          <w:rFonts w:ascii="Arial" w:hAnsi="Arial" w:cs="Arial"/>
          <w:sz w:val="24"/>
          <w:szCs w:val="24"/>
          <w:u w:val="single"/>
          <w:lang w:eastAsia="x-none"/>
        </w:rPr>
        <w:t>while in Phase II, the incurred cost would result from the cost per analysis as well as the change in monitoring frequencies.</w:t>
      </w:r>
    </w:p>
    <w:p w14:paraId="6DEED1F9" w14:textId="77777777" w:rsidR="00F32BBA" w:rsidRPr="009F386E" w:rsidRDefault="00F32BBA" w:rsidP="00F32BBA">
      <w:pPr>
        <w:spacing w:after="120"/>
        <w:rPr>
          <w:rFonts w:ascii="Arial" w:hAnsi="Arial" w:cs="Arial"/>
          <w:sz w:val="24"/>
          <w:szCs w:val="24"/>
          <w:u w:val="single"/>
        </w:rPr>
      </w:pPr>
      <w:r w:rsidRPr="009F386E">
        <w:rPr>
          <w:rFonts w:ascii="Arial" w:hAnsi="Arial" w:cs="Arial"/>
          <w:sz w:val="24"/>
          <w:szCs w:val="24"/>
          <w:u w:val="single"/>
        </w:rPr>
        <w:t xml:space="preserve">Frequency of Required Monitoring </w:t>
      </w:r>
    </w:p>
    <w:p w14:paraId="7DFA25D4" w14:textId="77777777" w:rsidR="00F32BBA" w:rsidRPr="009F386E" w:rsidRDefault="00F32BBA" w:rsidP="00F32BBA">
      <w:pPr>
        <w:rPr>
          <w:rFonts w:ascii="Arial" w:hAnsi="Arial" w:cs="Arial"/>
          <w:sz w:val="24"/>
          <w:szCs w:val="24"/>
        </w:rPr>
      </w:pPr>
      <w:r w:rsidRPr="009F386E">
        <w:rPr>
          <w:rFonts w:ascii="Arial" w:hAnsi="Arial" w:cs="Arial"/>
          <w:sz w:val="24"/>
          <w:szCs w:val="24"/>
        </w:rPr>
        <w:t xml:space="preserve">The frequency of source monitoring for perchlorate is prescribed by existing perchlorate regulations in </w:t>
      </w:r>
      <w:r>
        <w:rPr>
          <w:rFonts w:ascii="Arial" w:hAnsi="Arial" w:cs="Arial"/>
          <w:sz w:val="24"/>
          <w:szCs w:val="24"/>
        </w:rPr>
        <w:t xml:space="preserve">22 </w:t>
      </w:r>
      <w:r w:rsidRPr="009F386E">
        <w:rPr>
          <w:rFonts w:ascii="Arial" w:hAnsi="Arial" w:cs="Arial"/>
          <w:sz w:val="24"/>
          <w:szCs w:val="24"/>
        </w:rPr>
        <w:t xml:space="preserve">CCR 64432.3.  The source monitoring frequencies that are affected by the proposed regulation are as follows: </w:t>
      </w:r>
    </w:p>
    <w:p w14:paraId="008A3745" w14:textId="77777777" w:rsidR="00F32BBA" w:rsidRPr="00DA5EE2" w:rsidRDefault="00F32BBA" w:rsidP="00F32BBA">
      <w:pPr>
        <w:pStyle w:val="ListParagraph"/>
        <w:numPr>
          <w:ilvl w:val="0"/>
          <w:numId w:val="17"/>
        </w:numPr>
        <w:spacing w:before="120" w:after="120" w:line="240" w:lineRule="auto"/>
        <w:contextualSpacing w:val="0"/>
        <w:rPr>
          <w:rFonts w:ascii="Arial" w:eastAsiaTheme="minorHAnsi" w:hAnsi="Arial" w:cs="Arial"/>
          <w:sz w:val="24"/>
          <w:szCs w:val="24"/>
        </w:rPr>
      </w:pPr>
      <w:r w:rsidRPr="00DA5EE2">
        <w:rPr>
          <w:rFonts w:ascii="Arial" w:eastAsiaTheme="minorHAnsi" w:hAnsi="Arial" w:cs="Arial"/>
          <w:i/>
          <w:iCs/>
          <w:sz w:val="24"/>
          <w:szCs w:val="24"/>
          <w:u w:val="single"/>
        </w:rPr>
        <w:t>Routine monitoring</w:t>
      </w:r>
      <w:r w:rsidRPr="00DA5EE2">
        <w:rPr>
          <w:rFonts w:ascii="Arial" w:eastAsiaTheme="minorHAnsi" w:hAnsi="Arial" w:cs="Arial"/>
          <w:sz w:val="24"/>
          <w:szCs w:val="24"/>
        </w:rPr>
        <w:t xml:space="preserve"> for sources with levels of perchlorate below the DLR (</w:t>
      </w:r>
      <w:r w:rsidRPr="00DA5EE2">
        <w:rPr>
          <w:rFonts w:ascii="Arial" w:eastAsiaTheme="minorHAnsi" w:hAnsi="Arial" w:cs="Arial"/>
          <w:i/>
          <w:iCs/>
          <w:sz w:val="24"/>
          <w:szCs w:val="24"/>
        </w:rPr>
        <w:t>i.e</w:t>
      </w:r>
      <w:r w:rsidRPr="00DA5EE2">
        <w:rPr>
          <w:rFonts w:ascii="Arial" w:eastAsiaTheme="minorHAnsi" w:hAnsi="Arial" w:cs="Arial"/>
          <w:sz w:val="24"/>
          <w:szCs w:val="24"/>
        </w:rPr>
        <w:t xml:space="preserve">., undetected) – 22 CCR 64432.3(c).  This monitoring consists of: </w:t>
      </w:r>
    </w:p>
    <w:p w14:paraId="51771247" w14:textId="77777777" w:rsidR="00F32BBA" w:rsidRPr="00DA5EE2" w:rsidRDefault="00F32BBA" w:rsidP="00F32BBA">
      <w:pPr>
        <w:pStyle w:val="ListParagraph"/>
        <w:numPr>
          <w:ilvl w:val="1"/>
          <w:numId w:val="22"/>
        </w:numPr>
        <w:spacing w:before="120" w:after="120" w:line="240" w:lineRule="auto"/>
        <w:ind w:left="1260" w:hanging="450"/>
        <w:contextualSpacing w:val="0"/>
        <w:rPr>
          <w:rFonts w:ascii="Arial" w:eastAsiaTheme="minorHAnsi" w:hAnsi="Arial" w:cs="Arial"/>
          <w:sz w:val="24"/>
          <w:szCs w:val="24"/>
        </w:rPr>
      </w:pPr>
      <w:r w:rsidRPr="00DA5EE2">
        <w:rPr>
          <w:rFonts w:ascii="Arial" w:eastAsiaTheme="minorHAnsi" w:hAnsi="Arial" w:cs="Arial"/>
          <w:sz w:val="24"/>
          <w:szCs w:val="24"/>
        </w:rPr>
        <w:t>For a system using groundwater, once every three years.</w:t>
      </w:r>
    </w:p>
    <w:p w14:paraId="6005212F" w14:textId="77777777" w:rsidR="00F32BBA" w:rsidRPr="00DA5EE2" w:rsidRDefault="00F32BBA" w:rsidP="00F32BBA">
      <w:pPr>
        <w:pStyle w:val="ListParagraph"/>
        <w:numPr>
          <w:ilvl w:val="1"/>
          <w:numId w:val="22"/>
        </w:numPr>
        <w:spacing w:before="120" w:after="120" w:line="240" w:lineRule="auto"/>
        <w:ind w:left="1260" w:hanging="450"/>
        <w:contextualSpacing w:val="0"/>
        <w:rPr>
          <w:rFonts w:ascii="Arial" w:eastAsiaTheme="minorHAnsi" w:hAnsi="Arial" w:cs="Arial"/>
          <w:sz w:val="24"/>
          <w:szCs w:val="24"/>
        </w:rPr>
      </w:pPr>
      <w:r w:rsidRPr="00DA5EE2">
        <w:rPr>
          <w:rFonts w:ascii="Arial" w:eastAsiaTheme="minorHAnsi" w:hAnsi="Arial" w:cs="Arial"/>
          <w:sz w:val="24"/>
          <w:szCs w:val="24"/>
        </w:rPr>
        <w:t>For a system using approved surface water, annually.</w:t>
      </w:r>
    </w:p>
    <w:p w14:paraId="3FD6E2E3" w14:textId="77777777" w:rsidR="00F32BBA" w:rsidRPr="00DA5EE2" w:rsidRDefault="00F32BBA" w:rsidP="00F32BBA">
      <w:pPr>
        <w:pStyle w:val="ListParagraph"/>
        <w:numPr>
          <w:ilvl w:val="1"/>
          <w:numId w:val="22"/>
        </w:numPr>
        <w:spacing w:before="120" w:after="120" w:line="240" w:lineRule="auto"/>
        <w:ind w:left="1260" w:hanging="450"/>
        <w:contextualSpacing w:val="0"/>
        <w:rPr>
          <w:rFonts w:ascii="Arial" w:eastAsiaTheme="minorHAnsi" w:hAnsi="Arial" w:cs="Arial"/>
          <w:sz w:val="24"/>
          <w:szCs w:val="24"/>
        </w:rPr>
      </w:pPr>
      <w:r w:rsidRPr="00DA5EE2">
        <w:rPr>
          <w:rFonts w:ascii="Arial" w:eastAsiaTheme="minorHAnsi" w:hAnsi="Arial" w:cs="Arial"/>
          <w:sz w:val="24"/>
          <w:szCs w:val="24"/>
        </w:rPr>
        <w:t>If monitoring at distribution entry points that have combined surface and groundwater sources, annually.</w:t>
      </w:r>
    </w:p>
    <w:p w14:paraId="31CAFE00" w14:textId="77777777" w:rsidR="00F32BBA" w:rsidRPr="00DA5EE2" w:rsidRDefault="00F32BBA" w:rsidP="00F32BBA">
      <w:pPr>
        <w:pStyle w:val="ListParagraph"/>
        <w:numPr>
          <w:ilvl w:val="1"/>
          <w:numId w:val="18"/>
        </w:numPr>
        <w:spacing w:line="240" w:lineRule="auto"/>
        <w:ind w:left="720"/>
        <w:rPr>
          <w:rFonts w:ascii="Arial" w:eastAsiaTheme="minorHAnsi" w:hAnsi="Arial" w:cs="Arial"/>
          <w:sz w:val="24"/>
          <w:szCs w:val="24"/>
        </w:rPr>
      </w:pPr>
      <w:r w:rsidRPr="00DA5EE2">
        <w:rPr>
          <w:rFonts w:ascii="Arial" w:eastAsiaTheme="minorHAnsi" w:hAnsi="Arial" w:cs="Arial"/>
          <w:i/>
          <w:iCs/>
          <w:sz w:val="24"/>
          <w:szCs w:val="24"/>
          <w:u w:val="single"/>
        </w:rPr>
        <w:t>Increased monitoring</w:t>
      </w:r>
      <w:r w:rsidRPr="00DA5EE2">
        <w:rPr>
          <w:rFonts w:ascii="Arial" w:eastAsiaTheme="minorHAnsi" w:hAnsi="Arial" w:cs="Arial"/>
          <w:sz w:val="24"/>
          <w:szCs w:val="24"/>
        </w:rPr>
        <w:t xml:space="preserve"> for sources which have had one or more detection above the DLR – 22 CCR 64432.3(e).  Monitoring is required once per quarter (</w:t>
      </w:r>
      <w:r w:rsidRPr="00DA5EE2">
        <w:rPr>
          <w:rFonts w:ascii="Arial" w:eastAsiaTheme="minorHAnsi" w:hAnsi="Arial" w:cs="Arial"/>
          <w:i/>
          <w:iCs/>
          <w:sz w:val="24"/>
          <w:szCs w:val="24"/>
        </w:rPr>
        <w:t>i.e</w:t>
      </w:r>
      <w:r w:rsidRPr="00DA5EE2">
        <w:rPr>
          <w:rFonts w:ascii="Arial" w:eastAsiaTheme="minorHAnsi" w:hAnsi="Arial" w:cs="Arial"/>
          <w:sz w:val="24"/>
          <w:szCs w:val="24"/>
        </w:rPr>
        <w:t>., four samples each year) of any source in which perchlorate has been detected above the DLR.  This monitoring continues as long as perchlorate levels persist above the DLR.</w:t>
      </w:r>
    </w:p>
    <w:p w14:paraId="537F102E" w14:textId="67B77F45" w:rsidR="00F32BBA" w:rsidRPr="009F386E" w:rsidRDefault="00F32BBA" w:rsidP="00F32BBA">
      <w:pPr>
        <w:spacing w:before="240" w:after="120"/>
        <w:rPr>
          <w:rFonts w:ascii="Arial" w:hAnsi="Arial" w:cs="Arial"/>
          <w:sz w:val="24"/>
          <w:szCs w:val="24"/>
        </w:rPr>
      </w:pPr>
      <w:r w:rsidRPr="009F386E">
        <w:rPr>
          <w:rFonts w:ascii="Arial" w:hAnsi="Arial" w:cs="Arial"/>
          <w:sz w:val="24"/>
          <w:szCs w:val="24"/>
        </w:rPr>
        <w:t xml:space="preserve">The proposed regulation </w:t>
      </w:r>
      <w:r>
        <w:rPr>
          <w:rFonts w:ascii="Arial" w:hAnsi="Arial" w:cs="Arial"/>
          <w:sz w:val="24"/>
          <w:szCs w:val="24"/>
        </w:rPr>
        <w:t xml:space="preserve">is expected to increase the number of sources required to </w:t>
      </w:r>
      <w:r w:rsidRPr="009F386E">
        <w:rPr>
          <w:rFonts w:ascii="Arial" w:hAnsi="Arial" w:cs="Arial"/>
          <w:sz w:val="24"/>
          <w:szCs w:val="24"/>
        </w:rPr>
        <w:t>conduct quarterly monitoring because more sources would be likely to have detections of perchlorate above the DLR.  Specifically, the frequency of monitoring and the costs would increase for sources with detections of perchlorate at levels between the proposed DLR</w:t>
      </w:r>
      <w:r w:rsidR="00BB20DD">
        <w:rPr>
          <w:rFonts w:ascii="Arial" w:hAnsi="Arial" w:cs="Arial"/>
          <w:sz w:val="24"/>
          <w:szCs w:val="24"/>
          <w:u w:val="single"/>
        </w:rPr>
        <w:t>s</w:t>
      </w:r>
      <w:r w:rsidRPr="009F386E">
        <w:rPr>
          <w:rFonts w:ascii="Arial" w:hAnsi="Arial" w:cs="Arial"/>
          <w:sz w:val="24"/>
          <w:szCs w:val="24"/>
        </w:rPr>
        <w:t xml:space="preserve"> </w:t>
      </w:r>
      <w:r w:rsidRPr="00DC58B9">
        <w:rPr>
          <w:rFonts w:ascii="Arial" w:hAnsi="Arial" w:cs="Arial"/>
          <w:strike/>
          <w:sz w:val="24"/>
          <w:szCs w:val="24"/>
        </w:rPr>
        <w:t>of 0.002 mg/L</w:t>
      </w:r>
      <w:r w:rsidRPr="009F386E">
        <w:rPr>
          <w:rFonts w:ascii="Arial" w:hAnsi="Arial" w:cs="Arial"/>
          <w:sz w:val="24"/>
          <w:szCs w:val="24"/>
        </w:rPr>
        <w:t xml:space="preserve"> and the current DLR of 0.004 mg/L.</w:t>
      </w:r>
    </w:p>
    <w:p w14:paraId="4C9C87CE" w14:textId="77777777" w:rsidR="00F32BBA" w:rsidRPr="009F386E" w:rsidRDefault="00F32BBA" w:rsidP="00F32BBA">
      <w:pPr>
        <w:spacing w:before="120" w:after="0"/>
        <w:rPr>
          <w:rFonts w:ascii="Arial" w:hAnsi="Arial" w:cs="Arial"/>
          <w:sz w:val="24"/>
          <w:szCs w:val="24"/>
        </w:rPr>
      </w:pPr>
      <w:r w:rsidRPr="009F386E">
        <w:rPr>
          <w:rFonts w:ascii="Arial" w:hAnsi="Arial" w:cs="Arial"/>
          <w:sz w:val="24"/>
          <w:szCs w:val="24"/>
        </w:rPr>
        <w:t>The cost estimate was developed using the available source water quality monitoring data to estimate how many additional sources may require increased monitoring.  The State Water Board used the source water quality monitoring data from the Water Quality Information</w:t>
      </w:r>
      <w:r>
        <w:rPr>
          <w:rFonts w:ascii="Arial" w:hAnsi="Arial" w:cs="Arial"/>
          <w:sz w:val="24"/>
          <w:szCs w:val="24"/>
        </w:rPr>
        <w:t xml:space="preserve"> replacement</w:t>
      </w:r>
      <w:r w:rsidRPr="009F386E">
        <w:rPr>
          <w:rFonts w:ascii="Arial" w:hAnsi="Arial" w:cs="Arial"/>
          <w:sz w:val="24"/>
          <w:szCs w:val="24"/>
        </w:rPr>
        <w:t xml:space="preserve"> (WQIr) database for the time period of January 1, 2012, through April 27, 2018.  The methodology included the following steps:</w:t>
      </w:r>
    </w:p>
    <w:p w14:paraId="2C12D489" w14:textId="77777777" w:rsidR="00F32BBA" w:rsidRPr="00DA5EE2" w:rsidRDefault="00F32BBA" w:rsidP="00F32BBA">
      <w:pPr>
        <w:pStyle w:val="ListParagraph"/>
        <w:numPr>
          <w:ilvl w:val="0"/>
          <w:numId w:val="20"/>
        </w:numPr>
        <w:spacing w:before="120" w:after="0" w:line="240" w:lineRule="auto"/>
        <w:ind w:left="446" w:hanging="446"/>
        <w:contextualSpacing w:val="0"/>
        <w:rPr>
          <w:rFonts w:ascii="Arial" w:eastAsiaTheme="minorHAnsi" w:hAnsi="Arial" w:cs="Arial"/>
          <w:sz w:val="24"/>
          <w:szCs w:val="24"/>
        </w:rPr>
      </w:pPr>
      <w:r w:rsidRPr="00DA5EE2">
        <w:rPr>
          <w:rFonts w:ascii="Arial" w:eastAsiaTheme="minorHAnsi" w:hAnsi="Arial" w:cs="Arial"/>
          <w:sz w:val="24"/>
          <w:szCs w:val="24"/>
        </w:rPr>
        <w:lastRenderedPageBreak/>
        <w:t>Identified all active drinking water sources with perchlorate levels above the current DLR of 0.004 mg/L.  There were 487 sources identified.  These sources are listed in the Appendix.</w:t>
      </w:r>
    </w:p>
    <w:p w14:paraId="6970586B" w14:textId="77777777" w:rsidR="00F32BBA" w:rsidRPr="00DA5EE2" w:rsidRDefault="00F32BBA" w:rsidP="00F32BBA">
      <w:pPr>
        <w:pStyle w:val="ListParagraph"/>
        <w:numPr>
          <w:ilvl w:val="0"/>
          <w:numId w:val="20"/>
        </w:numPr>
        <w:spacing w:before="120" w:after="120" w:line="240" w:lineRule="auto"/>
        <w:ind w:left="446" w:hanging="446"/>
        <w:contextualSpacing w:val="0"/>
        <w:rPr>
          <w:rFonts w:ascii="Arial" w:eastAsiaTheme="minorHAnsi" w:hAnsi="Arial" w:cs="Arial"/>
          <w:sz w:val="24"/>
          <w:szCs w:val="24"/>
          <w:lang w:eastAsia="x-none"/>
        </w:rPr>
      </w:pPr>
      <w:r w:rsidRPr="00DA5EE2">
        <w:rPr>
          <w:rFonts w:ascii="Arial" w:eastAsiaTheme="minorHAnsi" w:hAnsi="Arial" w:cs="Arial"/>
          <w:sz w:val="24"/>
          <w:szCs w:val="24"/>
        </w:rPr>
        <w:t>Perchlorate below the current DLR would likely be limited to those areas where perchlorate was detected from January 1, 2012 to April 27, 2018.  The State Water Board identified the counties in which these sources are located and assumes that perchlorate contamination of water sources will not increase in the future.  This limits the estimation to the 27 counties that have had one or more sources with perchlorate levels detected above the current DLR of 0.004 mg/L.  These counties are listed in Table 1.</w:t>
      </w:r>
    </w:p>
    <w:p w14:paraId="15FCFA1C" w14:textId="77777777" w:rsidR="00F32BBA" w:rsidRPr="00DA5EE2" w:rsidRDefault="00F32BBA" w:rsidP="00F32BBA">
      <w:pPr>
        <w:pStyle w:val="ListParagraph"/>
        <w:spacing w:before="120" w:after="120" w:line="240" w:lineRule="auto"/>
        <w:ind w:left="446"/>
        <w:contextualSpacing w:val="0"/>
        <w:rPr>
          <w:rFonts w:ascii="Arial" w:eastAsiaTheme="minorHAnsi" w:hAnsi="Arial" w:cs="Arial"/>
          <w:sz w:val="24"/>
          <w:szCs w:val="24"/>
          <w:lang w:eastAsia="x-none"/>
        </w:rPr>
      </w:pPr>
    </w:p>
    <w:p w14:paraId="2513B39A" w14:textId="24C08D50" w:rsidR="00F32BBA" w:rsidRPr="009F386E" w:rsidRDefault="00F32BBA" w:rsidP="00F32BBA">
      <w:pPr>
        <w:pStyle w:val="Caption"/>
        <w:keepNext/>
        <w:spacing w:after="120"/>
        <w:rPr>
          <w:rFonts w:ascii="Arial" w:hAnsi="Arial" w:cs="Arial"/>
          <w:color w:val="auto"/>
          <w:sz w:val="24"/>
          <w:szCs w:val="24"/>
        </w:rPr>
      </w:pPr>
      <w:r w:rsidRPr="009F386E">
        <w:rPr>
          <w:rFonts w:ascii="Arial" w:hAnsi="Arial" w:cs="Arial"/>
          <w:color w:val="auto"/>
          <w:sz w:val="24"/>
          <w:szCs w:val="24"/>
        </w:rPr>
        <w:t xml:space="preserve">Table </w:t>
      </w:r>
      <w:r w:rsidRPr="009F386E">
        <w:rPr>
          <w:rFonts w:ascii="Arial" w:hAnsi="Arial" w:cs="Arial"/>
          <w:color w:val="auto"/>
          <w:sz w:val="24"/>
          <w:szCs w:val="24"/>
        </w:rPr>
        <w:fldChar w:fldCharType="begin"/>
      </w:r>
      <w:r w:rsidRPr="009F386E">
        <w:rPr>
          <w:rFonts w:ascii="Arial" w:hAnsi="Arial" w:cs="Arial"/>
          <w:color w:val="auto"/>
          <w:sz w:val="24"/>
          <w:szCs w:val="24"/>
        </w:rPr>
        <w:instrText xml:space="preserve"> SEQ Table \* ARABIC </w:instrText>
      </w:r>
      <w:r w:rsidRPr="009F386E">
        <w:rPr>
          <w:rFonts w:ascii="Arial" w:hAnsi="Arial" w:cs="Arial"/>
          <w:color w:val="auto"/>
          <w:sz w:val="24"/>
          <w:szCs w:val="24"/>
        </w:rPr>
        <w:fldChar w:fldCharType="separate"/>
      </w:r>
      <w:r w:rsidR="00F64B18">
        <w:rPr>
          <w:rFonts w:ascii="Arial" w:hAnsi="Arial" w:cs="Arial"/>
          <w:noProof/>
          <w:color w:val="auto"/>
          <w:sz w:val="24"/>
          <w:szCs w:val="24"/>
        </w:rPr>
        <w:t>1</w:t>
      </w:r>
      <w:r w:rsidRPr="009F386E">
        <w:rPr>
          <w:rFonts w:ascii="Arial" w:hAnsi="Arial" w:cs="Arial"/>
          <w:color w:val="auto"/>
          <w:sz w:val="24"/>
          <w:szCs w:val="24"/>
        </w:rPr>
        <w:fldChar w:fldCharType="end"/>
      </w:r>
      <w:r w:rsidRPr="009F386E">
        <w:rPr>
          <w:rFonts w:ascii="Arial" w:hAnsi="Arial" w:cs="Arial"/>
          <w:color w:val="auto"/>
          <w:sz w:val="24"/>
          <w:szCs w:val="24"/>
        </w:rPr>
        <w:t xml:space="preserve"> – All Counties with Perchlorate Detections from January 1, 2012, through </w:t>
      </w:r>
      <w:r>
        <w:rPr>
          <w:rFonts w:ascii="Arial" w:hAnsi="Arial" w:cs="Arial"/>
          <w:color w:val="auto"/>
          <w:sz w:val="24"/>
          <w:szCs w:val="24"/>
        </w:rPr>
        <w:br/>
      </w:r>
      <w:r w:rsidRPr="009F386E">
        <w:rPr>
          <w:rFonts w:ascii="Arial" w:hAnsi="Arial" w:cs="Arial"/>
          <w:color w:val="auto"/>
          <w:sz w:val="24"/>
          <w:szCs w:val="24"/>
        </w:rPr>
        <w:t>April 27, 2018</w:t>
      </w:r>
    </w:p>
    <w:tbl>
      <w:tblPr>
        <w:tblStyle w:val="TableGrid"/>
        <w:tblW w:w="9468" w:type="dxa"/>
        <w:tblLook w:val="04A0" w:firstRow="1" w:lastRow="0" w:firstColumn="1" w:lastColumn="0" w:noHBand="0" w:noVBand="1"/>
      </w:tblPr>
      <w:tblGrid>
        <w:gridCol w:w="4140"/>
        <w:gridCol w:w="5328"/>
      </w:tblGrid>
      <w:tr w:rsidR="00F32BBA" w:rsidRPr="009F386E" w14:paraId="6AC296F7" w14:textId="77777777" w:rsidTr="004662B9">
        <w:trPr>
          <w:trHeight w:val="300"/>
        </w:trPr>
        <w:tc>
          <w:tcPr>
            <w:tcW w:w="4140" w:type="dxa"/>
            <w:noWrap/>
            <w:hideMark/>
          </w:tcPr>
          <w:p w14:paraId="7FDDF3F5"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Contra Costa</w:t>
            </w:r>
          </w:p>
        </w:tc>
        <w:tc>
          <w:tcPr>
            <w:tcW w:w="5328" w:type="dxa"/>
          </w:tcPr>
          <w:p w14:paraId="00E4F61E"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San Bernardino</w:t>
            </w:r>
          </w:p>
        </w:tc>
      </w:tr>
      <w:tr w:rsidR="00F32BBA" w:rsidRPr="009F386E" w14:paraId="0FD86B89" w14:textId="77777777" w:rsidTr="004662B9">
        <w:trPr>
          <w:trHeight w:val="300"/>
        </w:trPr>
        <w:tc>
          <w:tcPr>
            <w:tcW w:w="4140" w:type="dxa"/>
            <w:noWrap/>
            <w:hideMark/>
          </w:tcPr>
          <w:p w14:paraId="4626792B"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Fresno</w:t>
            </w:r>
          </w:p>
        </w:tc>
        <w:tc>
          <w:tcPr>
            <w:tcW w:w="5328" w:type="dxa"/>
          </w:tcPr>
          <w:p w14:paraId="4D033A17"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San Diego</w:t>
            </w:r>
          </w:p>
        </w:tc>
      </w:tr>
      <w:tr w:rsidR="00F32BBA" w:rsidRPr="009F386E" w14:paraId="7543E6BE" w14:textId="77777777" w:rsidTr="004662B9">
        <w:trPr>
          <w:trHeight w:val="300"/>
        </w:trPr>
        <w:tc>
          <w:tcPr>
            <w:tcW w:w="4140" w:type="dxa"/>
            <w:noWrap/>
            <w:hideMark/>
          </w:tcPr>
          <w:p w14:paraId="7CA21ED0"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Kern</w:t>
            </w:r>
          </w:p>
        </w:tc>
        <w:tc>
          <w:tcPr>
            <w:tcW w:w="5328" w:type="dxa"/>
          </w:tcPr>
          <w:p w14:paraId="72850CAB"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San Luis Obispo</w:t>
            </w:r>
          </w:p>
        </w:tc>
      </w:tr>
      <w:tr w:rsidR="00F32BBA" w:rsidRPr="009F386E" w14:paraId="527A1096" w14:textId="77777777" w:rsidTr="004662B9">
        <w:trPr>
          <w:trHeight w:val="300"/>
        </w:trPr>
        <w:tc>
          <w:tcPr>
            <w:tcW w:w="4140" w:type="dxa"/>
            <w:noWrap/>
            <w:hideMark/>
          </w:tcPr>
          <w:p w14:paraId="48F7F325"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Kings</w:t>
            </w:r>
          </w:p>
        </w:tc>
        <w:tc>
          <w:tcPr>
            <w:tcW w:w="5328" w:type="dxa"/>
          </w:tcPr>
          <w:p w14:paraId="6B37B079"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San Mateo</w:t>
            </w:r>
          </w:p>
        </w:tc>
      </w:tr>
      <w:tr w:rsidR="00F32BBA" w:rsidRPr="009F386E" w14:paraId="4BD4DDEC" w14:textId="77777777" w:rsidTr="004662B9">
        <w:trPr>
          <w:trHeight w:val="300"/>
        </w:trPr>
        <w:tc>
          <w:tcPr>
            <w:tcW w:w="4140" w:type="dxa"/>
            <w:noWrap/>
            <w:hideMark/>
          </w:tcPr>
          <w:p w14:paraId="2FDB236F"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Lassen</w:t>
            </w:r>
          </w:p>
        </w:tc>
        <w:tc>
          <w:tcPr>
            <w:tcW w:w="5328" w:type="dxa"/>
          </w:tcPr>
          <w:p w14:paraId="04EB241B"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Santa Barbara</w:t>
            </w:r>
          </w:p>
        </w:tc>
      </w:tr>
      <w:tr w:rsidR="00F32BBA" w:rsidRPr="009F386E" w14:paraId="7BE5E0D1" w14:textId="77777777" w:rsidTr="004662B9">
        <w:trPr>
          <w:trHeight w:val="300"/>
        </w:trPr>
        <w:tc>
          <w:tcPr>
            <w:tcW w:w="4140" w:type="dxa"/>
            <w:noWrap/>
            <w:hideMark/>
          </w:tcPr>
          <w:p w14:paraId="405296D4"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Los Angeles</w:t>
            </w:r>
          </w:p>
        </w:tc>
        <w:tc>
          <w:tcPr>
            <w:tcW w:w="5328" w:type="dxa"/>
          </w:tcPr>
          <w:p w14:paraId="3B7112AA"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Santa Clara</w:t>
            </w:r>
          </w:p>
        </w:tc>
      </w:tr>
      <w:tr w:rsidR="00F32BBA" w:rsidRPr="009F386E" w14:paraId="35B9702E" w14:textId="77777777" w:rsidTr="004662B9">
        <w:trPr>
          <w:trHeight w:val="300"/>
        </w:trPr>
        <w:tc>
          <w:tcPr>
            <w:tcW w:w="4140" w:type="dxa"/>
            <w:noWrap/>
            <w:hideMark/>
          </w:tcPr>
          <w:p w14:paraId="3CEEA2B2"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Madera</w:t>
            </w:r>
          </w:p>
        </w:tc>
        <w:tc>
          <w:tcPr>
            <w:tcW w:w="5328" w:type="dxa"/>
          </w:tcPr>
          <w:p w14:paraId="29E44861"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Shasta</w:t>
            </w:r>
          </w:p>
        </w:tc>
      </w:tr>
      <w:tr w:rsidR="00F32BBA" w:rsidRPr="009F386E" w14:paraId="48EC1A33" w14:textId="77777777" w:rsidTr="004662B9">
        <w:trPr>
          <w:trHeight w:val="300"/>
        </w:trPr>
        <w:tc>
          <w:tcPr>
            <w:tcW w:w="4140" w:type="dxa"/>
            <w:noWrap/>
            <w:hideMark/>
          </w:tcPr>
          <w:p w14:paraId="26115E5E"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Monterey</w:t>
            </w:r>
          </w:p>
        </w:tc>
        <w:tc>
          <w:tcPr>
            <w:tcW w:w="5328" w:type="dxa"/>
          </w:tcPr>
          <w:p w14:paraId="035E04D5"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Siskiyou</w:t>
            </w:r>
          </w:p>
        </w:tc>
      </w:tr>
      <w:tr w:rsidR="00F32BBA" w:rsidRPr="009F386E" w14:paraId="433C65C0" w14:textId="77777777" w:rsidTr="004662B9">
        <w:trPr>
          <w:trHeight w:val="300"/>
        </w:trPr>
        <w:tc>
          <w:tcPr>
            <w:tcW w:w="4140" w:type="dxa"/>
            <w:noWrap/>
            <w:hideMark/>
          </w:tcPr>
          <w:p w14:paraId="24B5E08F"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Napa</w:t>
            </w:r>
          </w:p>
        </w:tc>
        <w:tc>
          <w:tcPr>
            <w:tcW w:w="5328" w:type="dxa"/>
          </w:tcPr>
          <w:p w14:paraId="7074931B"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Solano</w:t>
            </w:r>
          </w:p>
        </w:tc>
      </w:tr>
      <w:tr w:rsidR="00F32BBA" w:rsidRPr="009F386E" w14:paraId="647832B3" w14:textId="77777777" w:rsidTr="004662B9">
        <w:trPr>
          <w:trHeight w:val="300"/>
        </w:trPr>
        <w:tc>
          <w:tcPr>
            <w:tcW w:w="4140" w:type="dxa"/>
            <w:noWrap/>
            <w:hideMark/>
          </w:tcPr>
          <w:p w14:paraId="7F1842CC"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Orange</w:t>
            </w:r>
          </w:p>
        </w:tc>
        <w:tc>
          <w:tcPr>
            <w:tcW w:w="5328" w:type="dxa"/>
          </w:tcPr>
          <w:p w14:paraId="60C79A52"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Stanislaus</w:t>
            </w:r>
          </w:p>
        </w:tc>
      </w:tr>
      <w:tr w:rsidR="00F32BBA" w:rsidRPr="009F386E" w14:paraId="7CC7FE7D" w14:textId="77777777" w:rsidTr="004662B9">
        <w:trPr>
          <w:trHeight w:val="300"/>
        </w:trPr>
        <w:tc>
          <w:tcPr>
            <w:tcW w:w="4140" w:type="dxa"/>
            <w:noWrap/>
            <w:hideMark/>
          </w:tcPr>
          <w:p w14:paraId="723DE0FB"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Placer</w:t>
            </w:r>
          </w:p>
        </w:tc>
        <w:tc>
          <w:tcPr>
            <w:tcW w:w="5328" w:type="dxa"/>
          </w:tcPr>
          <w:p w14:paraId="4AECE2DC"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Sutter</w:t>
            </w:r>
          </w:p>
        </w:tc>
      </w:tr>
      <w:tr w:rsidR="00F32BBA" w:rsidRPr="009F386E" w14:paraId="2484811A" w14:textId="77777777" w:rsidTr="004662B9">
        <w:trPr>
          <w:trHeight w:val="300"/>
        </w:trPr>
        <w:tc>
          <w:tcPr>
            <w:tcW w:w="4140" w:type="dxa"/>
            <w:noWrap/>
            <w:hideMark/>
          </w:tcPr>
          <w:p w14:paraId="1F7B092F"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Riverside</w:t>
            </w:r>
          </w:p>
        </w:tc>
        <w:tc>
          <w:tcPr>
            <w:tcW w:w="5328" w:type="dxa"/>
          </w:tcPr>
          <w:p w14:paraId="4E1C08A5"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Tulare</w:t>
            </w:r>
          </w:p>
        </w:tc>
      </w:tr>
      <w:tr w:rsidR="00F32BBA" w:rsidRPr="009F386E" w14:paraId="5D7A24E7" w14:textId="77777777" w:rsidTr="004662B9">
        <w:trPr>
          <w:trHeight w:val="300"/>
        </w:trPr>
        <w:tc>
          <w:tcPr>
            <w:tcW w:w="4140" w:type="dxa"/>
            <w:noWrap/>
            <w:hideMark/>
          </w:tcPr>
          <w:p w14:paraId="0A599026"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Sacramento</w:t>
            </w:r>
          </w:p>
        </w:tc>
        <w:tc>
          <w:tcPr>
            <w:tcW w:w="5328" w:type="dxa"/>
          </w:tcPr>
          <w:p w14:paraId="28FBC325"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Ventura</w:t>
            </w:r>
          </w:p>
        </w:tc>
      </w:tr>
      <w:tr w:rsidR="00F32BBA" w:rsidRPr="009F386E" w14:paraId="32FEE9BF" w14:textId="77777777" w:rsidTr="004662B9">
        <w:trPr>
          <w:trHeight w:val="300"/>
        </w:trPr>
        <w:tc>
          <w:tcPr>
            <w:tcW w:w="4140" w:type="dxa"/>
            <w:noWrap/>
            <w:hideMark/>
          </w:tcPr>
          <w:p w14:paraId="31E6902E"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r w:rsidRPr="009F386E">
              <w:rPr>
                <w:rFonts w:ascii="Arial" w:hAnsi="Arial" w:cs="Arial"/>
                <w:color w:val="000000"/>
                <w:sz w:val="24"/>
                <w:szCs w:val="24"/>
              </w:rPr>
              <w:t>San Benito</w:t>
            </w:r>
          </w:p>
        </w:tc>
        <w:tc>
          <w:tcPr>
            <w:tcW w:w="5328" w:type="dxa"/>
          </w:tcPr>
          <w:p w14:paraId="7535FB84" w14:textId="77777777" w:rsidR="00F32BBA" w:rsidRPr="009F386E" w:rsidRDefault="00F32BBA" w:rsidP="004662B9">
            <w:pPr>
              <w:shd w:val="clear" w:color="auto" w:fill="FFFFFF" w:themeFill="background1"/>
              <w:spacing w:after="0"/>
              <w:jc w:val="center"/>
              <w:rPr>
                <w:rFonts w:ascii="Arial" w:hAnsi="Arial" w:cs="Arial"/>
                <w:color w:val="000000"/>
                <w:sz w:val="24"/>
                <w:szCs w:val="24"/>
              </w:rPr>
            </w:pPr>
          </w:p>
        </w:tc>
      </w:tr>
    </w:tbl>
    <w:p w14:paraId="785A0259" w14:textId="77777777" w:rsidR="00F32BBA" w:rsidRPr="00DA5EE2" w:rsidRDefault="00F32BBA" w:rsidP="00F32BBA">
      <w:pPr>
        <w:pStyle w:val="ListParagraph"/>
        <w:spacing w:before="120" w:after="120" w:line="240" w:lineRule="auto"/>
        <w:ind w:left="446"/>
        <w:contextualSpacing w:val="0"/>
        <w:rPr>
          <w:rFonts w:ascii="Arial" w:eastAsiaTheme="minorHAnsi" w:hAnsi="Arial" w:cs="Arial"/>
          <w:sz w:val="24"/>
          <w:szCs w:val="24"/>
          <w:lang w:eastAsia="x-none"/>
        </w:rPr>
      </w:pPr>
    </w:p>
    <w:p w14:paraId="301918DA" w14:textId="6859536D" w:rsidR="00F32BBA" w:rsidRPr="00DA5EE2" w:rsidRDefault="00F32BBA">
      <w:pPr>
        <w:pStyle w:val="ListParagraph"/>
        <w:numPr>
          <w:ilvl w:val="0"/>
          <w:numId w:val="20"/>
        </w:numPr>
        <w:spacing w:before="120" w:after="120" w:line="240" w:lineRule="auto"/>
        <w:ind w:left="446" w:hanging="446"/>
        <w:contextualSpacing w:val="0"/>
        <w:rPr>
          <w:rFonts w:ascii="Arial" w:eastAsiaTheme="minorHAnsi" w:hAnsi="Arial" w:cs="Arial"/>
          <w:sz w:val="24"/>
          <w:szCs w:val="24"/>
          <w:u w:val="single"/>
          <w:lang w:eastAsia="x-none"/>
        </w:rPr>
      </w:pPr>
      <w:r w:rsidRPr="00DA5EE2">
        <w:rPr>
          <w:rFonts w:ascii="Arial" w:eastAsiaTheme="minorHAnsi" w:hAnsi="Arial" w:cs="Arial"/>
          <w:sz w:val="24"/>
          <w:szCs w:val="24"/>
        </w:rPr>
        <w:t>Identified all sources in each of the 27 counties not already subject to increased monitoring.  These sources are currently on a routine sampling schedule but are assumed to be subject to quarterly monitoring under the proposed DLR.</w:t>
      </w:r>
      <w:r w:rsidR="00DA7CE2" w:rsidRPr="00DA5EE2">
        <w:rPr>
          <w:rFonts w:ascii="Arial" w:eastAsiaTheme="minorHAnsi" w:hAnsi="Arial" w:cs="Arial"/>
          <w:sz w:val="24"/>
          <w:szCs w:val="24"/>
        </w:rPr>
        <w:t xml:space="preserve">  </w:t>
      </w:r>
      <w:r w:rsidR="00DA7CE2" w:rsidRPr="00DA5EE2">
        <w:rPr>
          <w:rFonts w:ascii="Arial" w:eastAsiaTheme="minorHAnsi" w:hAnsi="Arial" w:cs="Arial"/>
          <w:sz w:val="24"/>
          <w:szCs w:val="24"/>
          <w:u w:val="single"/>
        </w:rPr>
        <w:t>Routine sampling is once a year for surface water sources and once every three years for ground water sources.  Surface water and ground water sources represent 7% and 93% of the identified sources, respectively.</w:t>
      </w:r>
    </w:p>
    <w:p w14:paraId="4DDB3B3C" w14:textId="1FBDF316" w:rsidR="00F32BBA" w:rsidRPr="00DA5EE2" w:rsidRDefault="00F32BBA" w:rsidP="00F32BBA">
      <w:pPr>
        <w:pStyle w:val="ListParagraph"/>
        <w:numPr>
          <w:ilvl w:val="0"/>
          <w:numId w:val="20"/>
        </w:numPr>
        <w:spacing w:before="240" w:line="240" w:lineRule="auto"/>
        <w:ind w:left="446" w:hanging="446"/>
        <w:contextualSpacing w:val="0"/>
        <w:rPr>
          <w:rFonts w:ascii="Arial" w:eastAsiaTheme="minorHAnsi" w:hAnsi="Arial" w:cs="Arial"/>
          <w:sz w:val="24"/>
          <w:szCs w:val="24"/>
        </w:rPr>
      </w:pPr>
      <w:r w:rsidRPr="00DA5EE2">
        <w:rPr>
          <w:rFonts w:ascii="Arial" w:eastAsiaTheme="minorHAnsi" w:hAnsi="Arial" w:cs="Arial"/>
          <w:sz w:val="24"/>
          <w:szCs w:val="24"/>
        </w:rPr>
        <w:t xml:space="preserve">The State Water Board conservatively estimated the number of additional sources that may require increased monitoring for perchlorate.  The estimate is based on the geographic location of drinking water sources.  The estimate makes conservative assumptions of future source detections of perchlorate with the proposed DLR </w:t>
      </w:r>
      <w:r w:rsidR="000D7718" w:rsidRPr="00DA5EE2">
        <w:rPr>
          <w:rFonts w:ascii="Arial" w:eastAsiaTheme="minorHAnsi" w:hAnsi="Arial" w:cs="Arial"/>
          <w:sz w:val="24"/>
          <w:szCs w:val="24"/>
          <w:u w:val="single"/>
        </w:rPr>
        <w:t>revisions</w:t>
      </w:r>
      <w:r w:rsidR="000D7718" w:rsidRPr="00DA5EE2">
        <w:rPr>
          <w:rFonts w:ascii="Arial" w:eastAsiaTheme="minorHAnsi" w:hAnsi="Arial" w:cs="Arial"/>
          <w:sz w:val="24"/>
          <w:szCs w:val="24"/>
        </w:rPr>
        <w:t xml:space="preserve">. </w:t>
      </w:r>
      <w:r w:rsidRPr="00DA5EE2">
        <w:rPr>
          <w:rFonts w:ascii="Arial" w:eastAsiaTheme="minorHAnsi" w:hAnsi="Arial" w:cs="Arial"/>
          <w:strike/>
          <w:sz w:val="24"/>
          <w:szCs w:val="24"/>
        </w:rPr>
        <w:t>of 0.002 mg/L</w:t>
      </w:r>
      <w:r w:rsidR="000D7718" w:rsidRPr="00DA5EE2">
        <w:rPr>
          <w:rFonts w:ascii="Arial" w:eastAsiaTheme="minorHAnsi" w:hAnsi="Arial" w:cs="Arial"/>
          <w:sz w:val="24"/>
          <w:szCs w:val="24"/>
        </w:rPr>
        <w:t>.</w:t>
      </w:r>
      <w:r w:rsidR="00DA7CE2" w:rsidRPr="00DA5EE2">
        <w:rPr>
          <w:rFonts w:ascii="Arial" w:eastAsiaTheme="minorHAnsi" w:hAnsi="Arial" w:cs="Arial"/>
          <w:sz w:val="24"/>
          <w:szCs w:val="24"/>
        </w:rPr>
        <w:t xml:space="preserve"> </w:t>
      </w:r>
      <w:r w:rsidRPr="00DA5EE2">
        <w:rPr>
          <w:rFonts w:ascii="Arial" w:eastAsiaTheme="minorHAnsi" w:hAnsi="Arial" w:cs="Arial"/>
          <w:sz w:val="24"/>
          <w:szCs w:val="24"/>
        </w:rPr>
        <w:t xml:space="preserve"> </w:t>
      </w:r>
      <w:r w:rsidRPr="00DA5EE2">
        <w:rPr>
          <w:rFonts w:ascii="Arial" w:eastAsiaTheme="minorHAnsi" w:hAnsi="Arial" w:cs="Arial"/>
          <w:color w:val="000000"/>
          <w:sz w:val="24"/>
          <w:szCs w:val="24"/>
        </w:rPr>
        <w:t xml:space="preserve">This approach is conservative in that it </w:t>
      </w:r>
      <w:r w:rsidRPr="00DA5EE2">
        <w:rPr>
          <w:rFonts w:ascii="Arial" w:eastAsiaTheme="minorHAnsi" w:hAnsi="Arial" w:cs="Arial"/>
          <w:color w:val="000000"/>
          <w:sz w:val="24"/>
          <w:szCs w:val="24"/>
        </w:rPr>
        <w:lastRenderedPageBreak/>
        <w:t>posits a representative, worst-case scenario in which all drinking water sources within the impacted counties would have detections under the proposed regulation.</w:t>
      </w:r>
    </w:p>
    <w:p w14:paraId="6E7C570B" w14:textId="13A44235" w:rsidR="00F32BBA" w:rsidRPr="009F386E" w:rsidRDefault="00F32BBA" w:rsidP="00F32BBA">
      <w:pPr>
        <w:rPr>
          <w:rFonts w:ascii="Arial" w:hAnsi="Arial" w:cs="Arial"/>
          <w:sz w:val="24"/>
          <w:szCs w:val="24"/>
        </w:rPr>
      </w:pPr>
      <w:r w:rsidRPr="009F386E">
        <w:rPr>
          <w:rFonts w:ascii="Arial" w:hAnsi="Arial" w:cs="Arial"/>
          <w:sz w:val="24"/>
          <w:szCs w:val="24"/>
        </w:rPr>
        <w:t>The data set cannot be assumed to be a complete identification of sources with perchlorate contamination above the proposed DLR</w:t>
      </w:r>
      <w:r w:rsidR="00C84D01">
        <w:rPr>
          <w:rFonts w:ascii="Arial" w:hAnsi="Arial" w:cs="Arial"/>
          <w:sz w:val="24"/>
          <w:szCs w:val="24"/>
        </w:rPr>
        <w:t>s</w:t>
      </w:r>
      <w:r w:rsidRPr="009F386E">
        <w:rPr>
          <w:rFonts w:ascii="Arial" w:hAnsi="Arial" w:cs="Arial"/>
          <w:sz w:val="24"/>
          <w:szCs w:val="24"/>
        </w:rPr>
        <w:t xml:space="preserve"> of 0.002 mg/L</w:t>
      </w:r>
      <w:r w:rsidR="00C84D01">
        <w:rPr>
          <w:rFonts w:ascii="Arial" w:hAnsi="Arial" w:cs="Arial"/>
          <w:sz w:val="24"/>
          <w:szCs w:val="24"/>
        </w:rPr>
        <w:t xml:space="preserve"> or 0.001mg/L</w:t>
      </w:r>
      <w:r w:rsidRPr="009F386E">
        <w:rPr>
          <w:rFonts w:ascii="Arial" w:hAnsi="Arial" w:cs="Arial"/>
          <w:sz w:val="24"/>
          <w:szCs w:val="24"/>
        </w:rPr>
        <w:t xml:space="preserve"> for the following reasons:</w:t>
      </w:r>
    </w:p>
    <w:p w14:paraId="33243091" w14:textId="34EDAC5A" w:rsidR="00F32BBA" w:rsidRPr="009F386E" w:rsidRDefault="00F32BBA" w:rsidP="00F32BBA">
      <w:pPr>
        <w:numPr>
          <w:ilvl w:val="1"/>
          <w:numId w:val="8"/>
        </w:numPr>
        <w:spacing w:after="120"/>
        <w:ind w:left="720"/>
        <w:rPr>
          <w:rFonts w:ascii="Arial" w:hAnsi="Arial" w:cs="Arial"/>
          <w:sz w:val="24"/>
          <w:szCs w:val="24"/>
        </w:rPr>
      </w:pPr>
      <w:r w:rsidRPr="009F386E">
        <w:rPr>
          <w:rFonts w:ascii="Arial" w:hAnsi="Arial" w:cs="Arial"/>
          <w:sz w:val="24"/>
          <w:szCs w:val="24"/>
        </w:rPr>
        <w:t xml:space="preserve">It is an overestimation to assume all water sources within an impacted county would be subject to increased </w:t>
      </w:r>
      <w:r w:rsidR="00DA7CE2" w:rsidRPr="009F386E">
        <w:rPr>
          <w:rFonts w:ascii="Arial" w:hAnsi="Arial" w:cs="Arial"/>
          <w:sz w:val="24"/>
          <w:szCs w:val="24"/>
        </w:rPr>
        <w:t>monitoring.</w:t>
      </w:r>
    </w:p>
    <w:p w14:paraId="0E67EFFD" w14:textId="77777777" w:rsidR="00F32BBA" w:rsidRPr="009F386E" w:rsidRDefault="00F32BBA" w:rsidP="00F32BBA">
      <w:pPr>
        <w:numPr>
          <w:ilvl w:val="1"/>
          <w:numId w:val="8"/>
        </w:numPr>
        <w:ind w:left="720"/>
        <w:rPr>
          <w:rFonts w:ascii="Arial" w:hAnsi="Arial" w:cs="Arial"/>
          <w:sz w:val="24"/>
          <w:szCs w:val="24"/>
        </w:rPr>
      </w:pPr>
      <w:r w:rsidRPr="009F386E">
        <w:rPr>
          <w:rFonts w:ascii="Arial" w:hAnsi="Arial" w:cs="Arial"/>
          <w:sz w:val="24"/>
          <w:szCs w:val="24"/>
        </w:rPr>
        <w:t>It is an underestimation to assume all water sources outside of the impacted county would not be subject to increased monitoring</w:t>
      </w:r>
      <w:r w:rsidRPr="009F386E">
        <w:rPr>
          <w:rFonts w:ascii="Arial" w:hAnsi="Arial" w:cs="Arial"/>
          <w:sz w:val="24"/>
          <w:szCs w:val="24"/>
          <w:lang w:val="en"/>
        </w:rPr>
        <w:t>.</w:t>
      </w:r>
    </w:p>
    <w:p w14:paraId="446E710F" w14:textId="552360EB" w:rsidR="00F32BBA" w:rsidRPr="009F386E" w:rsidRDefault="00F32BBA" w:rsidP="00F32BBA">
      <w:pPr>
        <w:rPr>
          <w:rFonts w:ascii="Arial" w:hAnsi="Arial" w:cs="Arial"/>
          <w:sz w:val="24"/>
          <w:szCs w:val="24"/>
        </w:rPr>
      </w:pPr>
      <w:r w:rsidRPr="009F386E">
        <w:rPr>
          <w:rFonts w:ascii="Arial" w:hAnsi="Arial" w:cs="Arial"/>
          <w:color w:val="000000"/>
          <w:sz w:val="24"/>
          <w:szCs w:val="24"/>
        </w:rPr>
        <w:t>The population served by</w:t>
      </w:r>
      <w:r w:rsidRPr="009F386E">
        <w:rPr>
          <w:rFonts w:ascii="Arial" w:hAnsi="Arial" w:cs="Arial"/>
          <w:sz w:val="24"/>
          <w:szCs w:val="24"/>
        </w:rPr>
        <w:t xml:space="preserve"> each system was estimated using information obtained from the State Water Board’s Safe Drinking Water Information System (SDWIS) database.  In addition, all current sampling schedules for all water sources were obtained from SDWIS.</w:t>
      </w:r>
    </w:p>
    <w:p w14:paraId="5BF43679" w14:textId="77777777" w:rsidR="00F32BBA" w:rsidRPr="009F386E" w:rsidRDefault="00F32BBA" w:rsidP="00F32BBA">
      <w:pPr>
        <w:pStyle w:val="BodyText"/>
        <w:tabs>
          <w:tab w:val="clear" w:pos="720"/>
        </w:tabs>
        <w:rPr>
          <w:sz w:val="24"/>
          <w:szCs w:val="24"/>
        </w:rPr>
      </w:pPr>
      <w:r w:rsidRPr="009F386E">
        <w:rPr>
          <w:color w:val="000000"/>
          <w:sz w:val="24"/>
          <w:szCs w:val="24"/>
        </w:rPr>
        <w:t>Table 2 shows that based on the counties that currently have perchlorate detections, there are 7,194 active and stand-by drinking</w:t>
      </w:r>
      <w:r w:rsidRPr="009F386E">
        <w:rPr>
          <w:sz w:val="24"/>
          <w:szCs w:val="24"/>
        </w:rPr>
        <w:t xml:space="preserve"> water sources in use by 2,346 CWS and NTNC water systems that may have to conduct additional testing</w:t>
      </w:r>
      <w:r w:rsidRPr="004A5AD3">
        <w:rPr>
          <w:sz w:val="24"/>
          <w:szCs w:val="24"/>
        </w:rPr>
        <w:t xml:space="preserve">.  Table </w:t>
      </w:r>
      <w:r w:rsidRPr="009F386E">
        <w:rPr>
          <w:sz w:val="24"/>
          <w:szCs w:val="24"/>
        </w:rPr>
        <w:t>2 does not include sources with known perchlorate detections because they are already subject to increased monitoring frequencies and are expected to be unaffected by the proposed regulation.  When the lower DLR is adopted, sources with any detectable concentration of perchlorate would require increased monitoring.  The estimated number</w:t>
      </w:r>
      <w:r>
        <w:rPr>
          <w:sz w:val="24"/>
          <w:szCs w:val="24"/>
        </w:rPr>
        <w:t>s</w:t>
      </w:r>
      <w:r w:rsidRPr="009F386E">
        <w:rPr>
          <w:sz w:val="24"/>
          <w:szCs w:val="24"/>
        </w:rPr>
        <w:t xml:space="preserve"> of affected sources and systems, by county, are shown in Table 2.</w:t>
      </w:r>
    </w:p>
    <w:p w14:paraId="42DA9A9F" w14:textId="6BEDDDC3" w:rsidR="00F32BBA" w:rsidRPr="009F386E" w:rsidRDefault="00F32BBA" w:rsidP="00F32BBA">
      <w:pPr>
        <w:pStyle w:val="Caption"/>
        <w:keepNext/>
        <w:keepLines/>
        <w:spacing w:after="120"/>
        <w:rPr>
          <w:rFonts w:ascii="Arial" w:hAnsi="Arial" w:cs="Arial"/>
          <w:color w:val="auto"/>
          <w:sz w:val="24"/>
          <w:szCs w:val="24"/>
        </w:rPr>
      </w:pPr>
      <w:r w:rsidRPr="009F386E">
        <w:rPr>
          <w:rFonts w:ascii="Arial" w:hAnsi="Arial" w:cs="Arial"/>
          <w:color w:val="auto"/>
          <w:sz w:val="24"/>
          <w:szCs w:val="24"/>
        </w:rPr>
        <w:t xml:space="preserve">Table </w:t>
      </w:r>
      <w:r w:rsidRPr="009F386E">
        <w:rPr>
          <w:rFonts w:ascii="Arial" w:hAnsi="Arial" w:cs="Arial"/>
          <w:color w:val="auto"/>
          <w:sz w:val="24"/>
          <w:szCs w:val="24"/>
        </w:rPr>
        <w:fldChar w:fldCharType="begin"/>
      </w:r>
      <w:r w:rsidRPr="009F386E">
        <w:rPr>
          <w:rFonts w:ascii="Arial" w:hAnsi="Arial" w:cs="Arial"/>
          <w:color w:val="auto"/>
          <w:sz w:val="24"/>
          <w:szCs w:val="24"/>
        </w:rPr>
        <w:instrText xml:space="preserve"> SEQ Table \* ARABIC </w:instrText>
      </w:r>
      <w:r w:rsidRPr="009F386E">
        <w:rPr>
          <w:rFonts w:ascii="Arial" w:hAnsi="Arial" w:cs="Arial"/>
          <w:color w:val="auto"/>
          <w:sz w:val="24"/>
          <w:szCs w:val="24"/>
        </w:rPr>
        <w:fldChar w:fldCharType="separate"/>
      </w:r>
      <w:r w:rsidR="00F64B18">
        <w:rPr>
          <w:rFonts w:ascii="Arial" w:hAnsi="Arial" w:cs="Arial"/>
          <w:noProof/>
          <w:color w:val="auto"/>
          <w:sz w:val="24"/>
          <w:szCs w:val="24"/>
        </w:rPr>
        <w:t>2</w:t>
      </w:r>
      <w:r w:rsidRPr="009F386E">
        <w:rPr>
          <w:rFonts w:ascii="Arial" w:hAnsi="Arial" w:cs="Arial"/>
          <w:color w:val="auto"/>
          <w:sz w:val="24"/>
          <w:szCs w:val="24"/>
        </w:rPr>
        <w:fldChar w:fldCharType="end"/>
      </w:r>
      <w:r w:rsidRPr="009F386E">
        <w:rPr>
          <w:rFonts w:ascii="Arial" w:hAnsi="Arial" w:cs="Arial"/>
          <w:color w:val="auto"/>
          <w:sz w:val="24"/>
          <w:szCs w:val="24"/>
        </w:rPr>
        <w:t xml:space="preserve"> - Estimated Affected Sources and Systems per County</w:t>
      </w:r>
      <w:r w:rsidRPr="009F386E">
        <w:rPr>
          <w:rFonts w:ascii="Arial" w:hAnsi="Arial" w:cs="Arial"/>
          <w:color w:val="auto"/>
          <w:sz w:val="24"/>
          <w:szCs w:val="24"/>
          <w:vertAlign w:val="superscript"/>
        </w:rPr>
        <w:footnoteReference w:id="2"/>
      </w:r>
    </w:p>
    <w:tbl>
      <w:tblPr>
        <w:tblStyle w:val="TableGrid"/>
        <w:tblW w:w="0" w:type="auto"/>
        <w:tblLook w:val="04A0" w:firstRow="1" w:lastRow="0" w:firstColumn="1" w:lastColumn="0" w:noHBand="0" w:noVBand="1"/>
      </w:tblPr>
      <w:tblGrid>
        <w:gridCol w:w="2854"/>
        <w:gridCol w:w="3261"/>
        <w:gridCol w:w="3176"/>
      </w:tblGrid>
      <w:tr w:rsidR="00F32BBA" w:rsidRPr="009F386E" w14:paraId="3116334E" w14:textId="77777777" w:rsidTr="004662B9">
        <w:trPr>
          <w:trHeight w:hRule="exact" w:val="741"/>
          <w:tblHeader/>
        </w:trPr>
        <w:tc>
          <w:tcPr>
            <w:tcW w:w="2854" w:type="dxa"/>
            <w:noWrap/>
            <w:hideMark/>
          </w:tcPr>
          <w:p w14:paraId="576A975C" w14:textId="77777777" w:rsidR="00F32BBA" w:rsidRPr="009F386E" w:rsidRDefault="00F32BBA" w:rsidP="004662B9">
            <w:pPr>
              <w:keepNext/>
              <w:keepLines/>
              <w:spacing w:before="60" w:after="60"/>
              <w:jc w:val="center"/>
              <w:rPr>
                <w:rFonts w:ascii="Arial" w:hAnsi="Arial" w:cs="Arial"/>
                <w:sz w:val="24"/>
                <w:szCs w:val="24"/>
              </w:rPr>
            </w:pPr>
            <w:r w:rsidRPr="009F386E">
              <w:rPr>
                <w:rFonts w:ascii="Arial" w:hAnsi="Arial" w:cs="Arial"/>
                <w:sz w:val="24"/>
                <w:szCs w:val="24"/>
              </w:rPr>
              <w:t>County</w:t>
            </w:r>
          </w:p>
        </w:tc>
        <w:tc>
          <w:tcPr>
            <w:tcW w:w="3261" w:type="dxa"/>
            <w:noWrap/>
            <w:hideMark/>
          </w:tcPr>
          <w:p w14:paraId="2F3D76D8" w14:textId="77777777" w:rsidR="00F32BBA" w:rsidRPr="009F386E" w:rsidRDefault="00F32BBA" w:rsidP="004662B9">
            <w:pPr>
              <w:keepNext/>
              <w:keepLines/>
              <w:spacing w:before="60" w:after="60"/>
              <w:jc w:val="center"/>
              <w:rPr>
                <w:rFonts w:ascii="Arial" w:hAnsi="Arial" w:cs="Arial"/>
                <w:sz w:val="24"/>
                <w:szCs w:val="24"/>
              </w:rPr>
            </w:pPr>
            <w:r w:rsidRPr="009F386E">
              <w:rPr>
                <w:rFonts w:ascii="Arial" w:hAnsi="Arial" w:cs="Arial"/>
                <w:sz w:val="24"/>
                <w:szCs w:val="24"/>
              </w:rPr>
              <w:t>Estimated Number of Affected Sources</w:t>
            </w:r>
          </w:p>
        </w:tc>
        <w:tc>
          <w:tcPr>
            <w:tcW w:w="3176" w:type="dxa"/>
            <w:noWrap/>
            <w:hideMark/>
          </w:tcPr>
          <w:p w14:paraId="64050ED0" w14:textId="77777777" w:rsidR="00F32BBA" w:rsidRPr="009F386E" w:rsidRDefault="00F32BBA" w:rsidP="004662B9">
            <w:pPr>
              <w:keepNext/>
              <w:keepLines/>
              <w:spacing w:before="60" w:after="60"/>
              <w:jc w:val="center"/>
              <w:rPr>
                <w:rFonts w:ascii="Arial" w:hAnsi="Arial" w:cs="Arial"/>
                <w:sz w:val="24"/>
                <w:szCs w:val="24"/>
              </w:rPr>
            </w:pPr>
            <w:r w:rsidRPr="009F386E">
              <w:rPr>
                <w:rFonts w:ascii="Arial" w:hAnsi="Arial" w:cs="Arial"/>
                <w:sz w:val="24"/>
                <w:szCs w:val="24"/>
              </w:rPr>
              <w:t>Estimated Number of Affected Systems</w:t>
            </w:r>
          </w:p>
        </w:tc>
      </w:tr>
      <w:tr w:rsidR="00F32BBA" w:rsidRPr="009F386E" w14:paraId="23337D80" w14:textId="77777777" w:rsidTr="004662B9">
        <w:trPr>
          <w:trHeight w:hRule="exact" w:val="356"/>
        </w:trPr>
        <w:tc>
          <w:tcPr>
            <w:tcW w:w="2854" w:type="dxa"/>
            <w:hideMark/>
          </w:tcPr>
          <w:p w14:paraId="3BBB06D6" w14:textId="77777777" w:rsidR="00F32BBA" w:rsidRPr="009F386E" w:rsidRDefault="00F32BBA" w:rsidP="004662B9">
            <w:pPr>
              <w:keepNext/>
              <w:keepLines/>
              <w:rPr>
                <w:rFonts w:ascii="Arial" w:hAnsi="Arial" w:cs="Arial"/>
                <w:sz w:val="24"/>
                <w:szCs w:val="24"/>
              </w:rPr>
            </w:pPr>
            <w:r w:rsidRPr="009F386E">
              <w:rPr>
                <w:rFonts w:ascii="Arial" w:hAnsi="Arial" w:cs="Arial"/>
                <w:sz w:val="24"/>
                <w:szCs w:val="24"/>
              </w:rPr>
              <w:t>Contra Costa</w:t>
            </w:r>
          </w:p>
        </w:tc>
        <w:tc>
          <w:tcPr>
            <w:tcW w:w="3261" w:type="dxa"/>
            <w:noWrap/>
            <w:tcMar>
              <w:left w:w="173" w:type="dxa"/>
              <w:right w:w="1296" w:type="dxa"/>
            </w:tcMar>
            <w:vAlign w:val="bottom"/>
            <w:hideMark/>
          </w:tcPr>
          <w:p w14:paraId="11020EDF" w14:textId="77777777" w:rsidR="00F32BBA" w:rsidRPr="009F386E" w:rsidRDefault="00F32BBA" w:rsidP="004662B9">
            <w:pPr>
              <w:keepNext/>
              <w:keepLines/>
              <w:ind w:left="811"/>
              <w:jc w:val="right"/>
              <w:rPr>
                <w:rFonts w:ascii="Arial" w:hAnsi="Arial" w:cs="Arial"/>
                <w:sz w:val="24"/>
                <w:szCs w:val="24"/>
              </w:rPr>
            </w:pPr>
            <w:r w:rsidRPr="009F386E">
              <w:rPr>
                <w:rFonts w:ascii="Arial" w:hAnsi="Arial" w:cs="Arial"/>
                <w:color w:val="000000"/>
                <w:sz w:val="24"/>
                <w:szCs w:val="24"/>
              </w:rPr>
              <w:t>17</w:t>
            </w:r>
          </w:p>
        </w:tc>
        <w:tc>
          <w:tcPr>
            <w:tcW w:w="3176" w:type="dxa"/>
            <w:noWrap/>
            <w:tcMar>
              <w:left w:w="173" w:type="dxa"/>
              <w:right w:w="1296" w:type="dxa"/>
            </w:tcMar>
            <w:vAlign w:val="bottom"/>
            <w:hideMark/>
          </w:tcPr>
          <w:p w14:paraId="17012D4C" w14:textId="77777777" w:rsidR="00F32BBA" w:rsidRPr="009F386E" w:rsidRDefault="00F32BBA" w:rsidP="004662B9">
            <w:pPr>
              <w:keepNext/>
              <w:keepLines/>
              <w:ind w:left="811"/>
              <w:jc w:val="right"/>
              <w:rPr>
                <w:rFonts w:ascii="Arial" w:hAnsi="Arial" w:cs="Arial"/>
                <w:sz w:val="24"/>
                <w:szCs w:val="24"/>
              </w:rPr>
            </w:pPr>
            <w:r w:rsidRPr="009F386E">
              <w:rPr>
                <w:rFonts w:ascii="Arial" w:hAnsi="Arial" w:cs="Arial"/>
                <w:color w:val="000000"/>
                <w:sz w:val="24"/>
                <w:szCs w:val="24"/>
              </w:rPr>
              <w:t>6</w:t>
            </w:r>
          </w:p>
        </w:tc>
      </w:tr>
      <w:tr w:rsidR="00F32BBA" w:rsidRPr="009F386E" w14:paraId="4FA241B5" w14:textId="77777777" w:rsidTr="004662B9">
        <w:trPr>
          <w:trHeight w:hRule="exact" w:val="356"/>
        </w:trPr>
        <w:tc>
          <w:tcPr>
            <w:tcW w:w="2854" w:type="dxa"/>
            <w:hideMark/>
          </w:tcPr>
          <w:p w14:paraId="09625685" w14:textId="77777777" w:rsidR="00F32BBA" w:rsidRPr="009F386E" w:rsidRDefault="00F32BBA" w:rsidP="004662B9">
            <w:pPr>
              <w:rPr>
                <w:rFonts w:ascii="Arial" w:hAnsi="Arial" w:cs="Arial"/>
                <w:sz w:val="24"/>
                <w:szCs w:val="24"/>
              </w:rPr>
            </w:pPr>
            <w:r w:rsidRPr="009F386E">
              <w:rPr>
                <w:rFonts w:ascii="Arial" w:hAnsi="Arial" w:cs="Arial"/>
                <w:sz w:val="24"/>
                <w:szCs w:val="24"/>
              </w:rPr>
              <w:t>Fresno</w:t>
            </w:r>
          </w:p>
        </w:tc>
        <w:tc>
          <w:tcPr>
            <w:tcW w:w="3261" w:type="dxa"/>
            <w:noWrap/>
            <w:tcMar>
              <w:left w:w="173" w:type="dxa"/>
              <w:right w:w="1296" w:type="dxa"/>
            </w:tcMar>
            <w:vAlign w:val="bottom"/>
            <w:hideMark/>
          </w:tcPr>
          <w:p w14:paraId="1C9DD694"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615</w:t>
            </w:r>
          </w:p>
        </w:tc>
        <w:tc>
          <w:tcPr>
            <w:tcW w:w="3176" w:type="dxa"/>
            <w:noWrap/>
            <w:tcMar>
              <w:left w:w="173" w:type="dxa"/>
              <w:right w:w="1296" w:type="dxa"/>
            </w:tcMar>
            <w:vAlign w:val="bottom"/>
            <w:hideMark/>
          </w:tcPr>
          <w:p w14:paraId="6E3DB053"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195</w:t>
            </w:r>
          </w:p>
        </w:tc>
      </w:tr>
      <w:tr w:rsidR="00F32BBA" w:rsidRPr="009F386E" w14:paraId="292A207B" w14:textId="77777777" w:rsidTr="004662B9">
        <w:trPr>
          <w:trHeight w:hRule="exact" w:val="356"/>
        </w:trPr>
        <w:tc>
          <w:tcPr>
            <w:tcW w:w="2854" w:type="dxa"/>
            <w:hideMark/>
          </w:tcPr>
          <w:p w14:paraId="1EBFA9C7" w14:textId="77777777" w:rsidR="00F32BBA" w:rsidRPr="009F386E" w:rsidRDefault="00F32BBA" w:rsidP="004662B9">
            <w:pPr>
              <w:rPr>
                <w:rFonts w:ascii="Arial" w:hAnsi="Arial" w:cs="Arial"/>
                <w:sz w:val="24"/>
                <w:szCs w:val="24"/>
              </w:rPr>
            </w:pPr>
            <w:r w:rsidRPr="009F386E">
              <w:rPr>
                <w:rFonts w:ascii="Arial" w:hAnsi="Arial" w:cs="Arial"/>
                <w:sz w:val="24"/>
                <w:szCs w:val="24"/>
              </w:rPr>
              <w:t>Kern</w:t>
            </w:r>
          </w:p>
        </w:tc>
        <w:tc>
          <w:tcPr>
            <w:tcW w:w="3261" w:type="dxa"/>
            <w:noWrap/>
            <w:tcMar>
              <w:left w:w="173" w:type="dxa"/>
              <w:right w:w="1296" w:type="dxa"/>
            </w:tcMar>
            <w:vAlign w:val="bottom"/>
            <w:hideMark/>
          </w:tcPr>
          <w:p w14:paraId="39E0F5C9"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637</w:t>
            </w:r>
          </w:p>
        </w:tc>
        <w:tc>
          <w:tcPr>
            <w:tcW w:w="3176" w:type="dxa"/>
            <w:noWrap/>
            <w:tcMar>
              <w:left w:w="173" w:type="dxa"/>
              <w:right w:w="1296" w:type="dxa"/>
            </w:tcMar>
            <w:vAlign w:val="bottom"/>
            <w:hideMark/>
          </w:tcPr>
          <w:p w14:paraId="0641E63B"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242</w:t>
            </w:r>
          </w:p>
        </w:tc>
      </w:tr>
      <w:tr w:rsidR="00F32BBA" w:rsidRPr="009F386E" w14:paraId="32CD5C31" w14:textId="77777777" w:rsidTr="004662B9">
        <w:trPr>
          <w:trHeight w:hRule="exact" w:val="356"/>
        </w:trPr>
        <w:tc>
          <w:tcPr>
            <w:tcW w:w="2854" w:type="dxa"/>
            <w:hideMark/>
          </w:tcPr>
          <w:p w14:paraId="502CC741" w14:textId="77777777" w:rsidR="00F32BBA" w:rsidRPr="009F386E" w:rsidRDefault="00F32BBA" w:rsidP="004662B9">
            <w:pPr>
              <w:rPr>
                <w:rFonts w:ascii="Arial" w:hAnsi="Arial" w:cs="Arial"/>
                <w:sz w:val="24"/>
                <w:szCs w:val="24"/>
              </w:rPr>
            </w:pPr>
            <w:r w:rsidRPr="009F386E">
              <w:rPr>
                <w:rFonts w:ascii="Arial" w:hAnsi="Arial" w:cs="Arial"/>
                <w:sz w:val="24"/>
                <w:szCs w:val="24"/>
              </w:rPr>
              <w:t>Kings</w:t>
            </w:r>
          </w:p>
        </w:tc>
        <w:tc>
          <w:tcPr>
            <w:tcW w:w="3261" w:type="dxa"/>
            <w:noWrap/>
            <w:tcMar>
              <w:left w:w="173" w:type="dxa"/>
              <w:right w:w="1296" w:type="dxa"/>
            </w:tcMar>
            <w:vAlign w:val="bottom"/>
            <w:hideMark/>
          </w:tcPr>
          <w:p w14:paraId="60E4E7C5"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68</w:t>
            </w:r>
          </w:p>
        </w:tc>
        <w:tc>
          <w:tcPr>
            <w:tcW w:w="3176" w:type="dxa"/>
            <w:noWrap/>
            <w:tcMar>
              <w:left w:w="173" w:type="dxa"/>
              <w:right w:w="1296" w:type="dxa"/>
            </w:tcMar>
            <w:vAlign w:val="bottom"/>
            <w:hideMark/>
          </w:tcPr>
          <w:p w14:paraId="489C64A1"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26</w:t>
            </w:r>
          </w:p>
        </w:tc>
      </w:tr>
      <w:tr w:rsidR="00F32BBA" w:rsidRPr="009F386E" w14:paraId="5330B08A" w14:textId="77777777" w:rsidTr="004662B9">
        <w:trPr>
          <w:trHeight w:hRule="exact" w:val="356"/>
        </w:trPr>
        <w:tc>
          <w:tcPr>
            <w:tcW w:w="2854" w:type="dxa"/>
            <w:hideMark/>
          </w:tcPr>
          <w:p w14:paraId="0B568644" w14:textId="77777777" w:rsidR="00F32BBA" w:rsidRPr="009F386E" w:rsidRDefault="00F32BBA" w:rsidP="004662B9">
            <w:pPr>
              <w:rPr>
                <w:rFonts w:ascii="Arial" w:hAnsi="Arial" w:cs="Arial"/>
                <w:sz w:val="24"/>
                <w:szCs w:val="24"/>
              </w:rPr>
            </w:pPr>
            <w:r w:rsidRPr="009F386E">
              <w:rPr>
                <w:rFonts w:ascii="Arial" w:hAnsi="Arial" w:cs="Arial"/>
                <w:sz w:val="24"/>
                <w:szCs w:val="24"/>
              </w:rPr>
              <w:t>Lassen</w:t>
            </w:r>
          </w:p>
        </w:tc>
        <w:tc>
          <w:tcPr>
            <w:tcW w:w="3261" w:type="dxa"/>
            <w:noWrap/>
            <w:tcMar>
              <w:left w:w="173" w:type="dxa"/>
              <w:right w:w="1296" w:type="dxa"/>
            </w:tcMar>
            <w:vAlign w:val="bottom"/>
            <w:hideMark/>
          </w:tcPr>
          <w:p w14:paraId="1169969A"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42</w:t>
            </w:r>
          </w:p>
        </w:tc>
        <w:tc>
          <w:tcPr>
            <w:tcW w:w="3176" w:type="dxa"/>
            <w:noWrap/>
            <w:tcMar>
              <w:left w:w="173" w:type="dxa"/>
              <w:right w:w="1296" w:type="dxa"/>
            </w:tcMar>
            <w:vAlign w:val="bottom"/>
            <w:hideMark/>
          </w:tcPr>
          <w:p w14:paraId="1AC358C1"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24</w:t>
            </w:r>
          </w:p>
        </w:tc>
      </w:tr>
      <w:tr w:rsidR="00F32BBA" w:rsidRPr="009F386E" w14:paraId="1D95F7DA" w14:textId="77777777" w:rsidTr="004662B9">
        <w:trPr>
          <w:trHeight w:hRule="exact" w:val="356"/>
        </w:trPr>
        <w:tc>
          <w:tcPr>
            <w:tcW w:w="2854" w:type="dxa"/>
            <w:hideMark/>
          </w:tcPr>
          <w:p w14:paraId="0DF18277" w14:textId="77777777" w:rsidR="00F32BBA" w:rsidRPr="009F386E" w:rsidRDefault="00F32BBA" w:rsidP="004662B9">
            <w:pPr>
              <w:rPr>
                <w:rFonts w:ascii="Arial" w:hAnsi="Arial" w:cs="Arial"/>
                <w:sz w:val="24"/>
                <w:szCs w:val="24"/>
              </w:rPr>
            </w:pPr>
            <w:r w:rsidRPr="009F386E">
              <w:rPr>
                <w:rFonts w:ascii="Arial" w:hAnsi="Arial" w:cs="Arial"/>
                <w:sz w:val="24"/>
                <w:szCs w:val="24"/>
              </w:rPr>
              <w:t>Los Angeles</w:t>
            </w:r>
          </w:p>
        </w:tc>
        <w:tc>
          <w:tcPr>
            <w:tcW w:w="3261" w:type="dxa"/>
            <w:noWrap/>
            <w:tcMar>
              <w:left w:w="173" w:type="dxa"/>
              <w:right w:w="1296" w:type="dxa"/>
            </w:tcMar>
            <w:vAlign w:val="bottom"/>
            <w:hideMark/>
          </w:tcPr>
          <w:p w14:paraId="0526CB07"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839</w:t>
            </w:r>
          </w:p>
        </w:tc>
        <w:tc>
          <w:tcPr>
            <w:tcW w:w="3176" w:type="dxa"/>
            <w:noWrap/>
            <w:tcMar>
              <w:left w:w="173" w:type="dxa"/>
              <w:right w:w="1296" w:type="dxa"/>
            </w:tcMar>
            <w:vAlign w:val="bottom"/>
            <w:hideMark/>
          </w:tcPr>
          <w:p w14:paraId="3C477D12"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186</w:t>
            </w:r>
          </w:p>
        </w:tc>
      </w:tr>
      <w:tr w:rsidR="00F32BBA" w:rsidRPr="009F386E" w14:paraId="6CD76D23" w14:textId="77777777" w:rsidTr="004662B9">
        <w:trPr>
          <w:trHeight w:hRule="exact" w:val="356"/>
        </w:trPr>
        <w:tc>
          <w:tcPr>
            <w:tcW w:w="2854" w:type="dxa"/>
            <w:hideMark/>
          </w:tcPr>
          <w:p w14:paraId="1D5237A5" w14:textId="77777777" w:rsidR="00F32BBA" w:rsidRPr="009F386E" w:rsidRDefault="00F32BBA" w:rsidP="004662B9">
            <w:pPr>
              <w:rPr>
                <w:rFonts w:ascii="Arial" w:hAnsi="Arial" w:cs="Arial"/>
                <w:sz w:val="24"/>
                <w:szCs w:val="24"/>
              </w:rPr>
            </w:pPr>
            <w:r w:rsidRPr="009F386E">
              <w:rPr>
                <w:rFonts w:ascii="Arial" w:hAnsi="Arial" w:cs="Arial"/>
                <w:sz w:val="24"/>
                <w:szCs w:val="24"/>
              </w:rPr>
              <w:t>Madera</w:t>
            </w:r>
          </w:p>
        </w:tc>
        <w:tc>
          <w:tcPr>
            <w:tcW w:w="3261" w:type="dxa"/>
            <w:noWrap/>
            <w:tcMar>
              <w:left w:w="173" w:type="dxa"/>
              <w:right w:w="1296" w:type="dxa"/>
            </w:tcMar>
            <w:vAlign w:val="bottom"/>
            <w:hideMark/>
          </w:tcPr>
          <w:p w14:paraId="762D796C"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246</w:t>
            </w:r>
          </w:p>
        </w:tc>
        <w:tc>
          <w:tcPr>
            <w:tcW w:w="3176" w:type="dxa"/>
            <w:noWrap/>
            <w:tcMar>
              <w:left w:w="173" w:type="dxa"/>
              <w:right w:w="1296" w:type="dxa"/>
            </w:tcMar>
            <w:vAlign w:val="bottom"/>
            <w:hideMark/>
          </w:tcPr>
          <w:p w14:paraId="49982530"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109</w:t>
            </w:r>
          </w:p>
        </w:tc>
      </w:tr>
      <w:tr w:rsidR="00F32BBA" w:rsidRPr="009F386E" w14:paraId="48B76546" w14:textId="77777777" w:rsidTr="004662B9">
        <w:trPr>
          <w:trHeight w:hRule="exact" w:val="356"/>
        </w:trPr>
        <w:tc>
          <w:tcPr>
            <w:tcW w:w="2854" w:type="dxa"/>
            <w:hideMark/>
          </w:tcPr>
          <w:p w14:paraId="1F82DB97" w14:textId="77777777" w:rsidR="00F32BBA" w:rsidRPr="009F386E" w:rsidRDefault="00F32BBA" w:rsidP="004662B9">
            <w:pPr>
              <w:rPr>
                <w:rFonts w:ascii="Arial" w:hAnsi="Arial" w:cs="Arial"/>
                <w:sz w:val="24"/>
                <w:szCs w:val="24"/>
              </w:rPr>
            </w:pPr>
            <w:r w:rsidRPr="009F386E">
              <w:rPr>
                <w:rFonts w:ascii="Arial" w:hAnsi="Arial" w:cs="Arial"/>
                <w:sz w:val="24"/>
                <w:szCs w:val="24"/>
              </w:rPr>
              <w:t>Monterey</w:t>
            </w:r>
          </w:p>
        </w:tc>
        <w:tc>
          <w:tcPr>
            <w:tcW w:w="3261" w:type="dxa"/>
            <w:noWrap/>
            <w:tcMar>
              <w:left w:w="173" w:type="dxa"/>
              <w:right w:w="1296" w:type="dxa"/>
            </w:tcMar>
            <w:vAlign w:val="bottom"/>
            <w:hideMark/>
          </w:tcPr>
          <w:p w14:paraId="7A2EFDB4"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493</w:t>
            </w:r>
          </w:p>
        </w:tc>
        <w:tc>
          <w:tcPr>
            <w:tcW w:w="3176" w:type="dxa"/>
            <w:noWrap/>
            <w:tcMar>
              <w:left w:w="173" w:type="dxa"/>
              <w:right w:w="1296" w:type="dxa"/>
            </w:tcMar>
            <w:vAlign w:val="bottom"/>
            <w:hideMark/>
          </w:tcPr>
          <w:p w14:paraId="77C7D806"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252</w:t>
            </w:r>
          </w:p>
        </w:tc>
      </w:tr>
      <w:tr w:rsidR="00F32BBA" w:rsidRPr="009F386E" w14:paraId="575B80DB" w14:textId="77777777" w:rsidTr="004662B9">
        <w:trPr>
          <w:trHeight w:hRule="exact" w:val="356"/>
        </w:trPr>
        <w:tc>
          <w:tcPr>
            <w:tcW w:w="2854" w:type="dxa"/>
            <w:hideMark/>
          </w:tcPr>
          <w:p w14:paraId="3EB51B73" w14:textId="77777777" w:rsidR="00F32BBA" w:rsidRPr="009F386E" w:rsidRDefault="00F32BBA" w:rsidP="004662B9">
            <w:pPr>
              <w:rPr>
                <w:rFonts w:ascii="Arial" w:hAnsi="Arial" w:cs="Arial"/>
                <w:sz w:val="24"/>
                <w:szCs w:val="24"/>
              </w:rPr>
            </w:pPr>
            <w:r w:rsidRPr="009F386E">
              <w:rPr>
                <w:rFonts w:ascii="Arial" w:hAnsi="Arial" w:cs="Arial"/>
                <w:sz w:val="24"/>
                <w:szCs w:val="24"/>
              </w:rPr>
              <w:lastRenderedPageBreak/>
              <w:t>Napa</w:t>
            </w:r>
          </w:p>
        </w:tc>
        <w:tc>
          <w:tcPr>
            <w:tcW w:w="3261" w:type="dxa"/>
            <w:noWrap/>
            <w:tcMar>
              <w:left w:w="173" w:type="dxa"/>
              <w:right w:w="1296" w:type="dxa"/>
            </w:tcMar>
            <w:vAlign w:val="bottom"/>
            <w:hideMark/>
          </w:tcPr>
          <w:p w14:paraId="44EAEFA1"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143</w:t>
            </w:r>
          </w:p>
        </w:tc>
        <w:tc>
          <w:tcPr>
            <w:tcW w:w="3176" w:type="dxa"/>
            <w:noWrap/>
            <w:tcMar>
              <w:left w:w="173" w:type="dxa"/>
              <w:right w:w="1296" w:type="dxa"/>
            </w:tcMar>
            <w:vAlign w:val="bottom"/>
            <w:hideMark/>
          </w:tcPr>
          <w:p w14:paraId="03F7E010"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90</w:t>
            </w:r>
          </w:p>
        </w:tc>
      </w:tr>
      <w:tr w:rsidR="00F32BBA" w:rsidRPr="009F386E" w14:paraId="1B89D220" w14:textId="77777777" w:rsidTr="004662B9">
        <w:trPr>
          <w:trHeight w:hRule="exact" w:val="356"/>
        </w:trPr>
        <w:tc>
          <w:tcPr>
            <w:tcW w:w="2854" w:type="dxa"/>
            <w:hideMark/>
          </w:tcPr>
          <w:p w14:paraId="6C6B307E" w14:textId="77777777" w:rsidR="00F32BBA" w:rsidRPr="009F386E" w:rsidRDefault="00F32BBA" w:rsidP="004662B9">
            <w:pPr>
              <w:rPr>
                <w:rFonts w:ascii="Arial" w:hAnsi="Arial" w:cs="Arial"/>
                <w:sz w:val="24"/>
                <w:szCs w:val="24"/>
              </w:rPr>
            </w:pPr>
            <w:r w:rsidRPr="009F386E">
              <w:rPr>
                <w:rFonts w:ascii="Arial" w:hAnsi="Arial" w:cs="Arial"/>
                <w:sz w:val="24"/>
                <w:szCs w:val="24"/>
              </w:rPr>
              <w:t>Orange</w:t>
            </w:r>
          </w:p>
        </w:tc>
        <w:tc>
          <w:tcPr>
            <w:tcW w:w="3261" w:type="dxa"/>
            <w:noWrap/>
            <w:tcMar>
              <w:left w:w="173" w:type="dxa"/>
              <w:right w:w="1296" w:type="dxa"/>
            </w:tcMar>
            <w:vAlign w:val="bottom"/>
            <w:hideMark/>
          </w:tcPr>
          <w:p w14:paraId="673030EE"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214</w:t>
            </w:r>
          </w:p>
        </w:tc>
        <w:tc>
          <w:tcPr>
            <w:tcW w:w="3176" w:type="dxa"/>
            <w:noWrap/>
            <w:tcMar>
              <w:left w:w="173" w:type="dxa"/>
              <w:right w:w="1296" w:type="dxa"/>
            </w:tcMar>
            <w:vAlign w:val="bottom"/>
            <w:hideMark/>
          </w:tcPr>
          <w:p w14:paraId="3ED20EAD"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35</w:t>
            </w:r>
          </w:p>
        </w:tc>
      </w:tr>
      <w:tr w:rsidR="00F32BBA" w:rsidRPr="009F386E" w14:paraId="5B15AB5B" w14:textId="77777777" w:rsidTr="004662B9">
        <w:trPr>
          <w:trHeight w:hRule="exact" w:val="356"/>
        </w:trPr>
        <w:tc>
          <w:tcPr>
            <w:tcW w:w="2854" w:type="dxa"/>
            <w:hideMark/>
          </w:tcPr>
          <w:p w14:paraId="114ECFD9" w14:textId="77777777" w:rsidR="00F32BBA" w:rsidRPr="009F386E" w:rsidRDefault="00F32BBA" w:rsidP="004662B9">
            <w:pPr>
              <w:rPr>
                <w:rFonts w:ascii="Arial" w:hAnsi="Arial" w:cs="Arial"/>
                <w:sz w:val="24"/>
                <w:szCs w:val="24"/>
              </w:rPr>
            </w:pPr>
            <w:r w:rsidRPr="009F386E">
              <w:rPr>
                <w:rFonts w:ascii="Arial" w:hAnsi="Arial" w:cs="Arial"/>
                <w:sz w:val="24"/>
                <w:szCs w:val="24"/>
              </w:rPr>
              <w:t>Placer</w:t>
            </w:r>
          </w:p>
        </w:tc>
        <w:tc>
          <w:tcPr>
            <w:tcW w:w="3261" w:type="dxa"/>
            <w:noWrap/>
            <w:tcMar>
              <w:left w:w="173" w:type="dxa"/>
              <w:right w:w="1296" w:type="dxa"/>
            </w:tcMar>
            <w:vAlign w:val="bottom"/>
            <w:hideMark/>
          </w:tcPr>
          <w:p w14:paraId="1788707B"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92</w:t>
            </w:r>
          </w:p>
        </w:tc>
        <w:tc>
          <w:tcPr>
            <w:tcW w:w="3176" w:type="dxa"/>
            <w:noWrap/>
            <w:tcMar>
              <w:left w:w="173" w:type="dxa"/>
              <w:right w:w="1296" w:type="dxa"/>
            </w:tcMar>
            <w:vAlign w:val="bottom"/>
            <w:hideMark/>
          </w:tcPr>
          <w:p w14:paraId="684FDE72"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44</w:t>
            </w:r>
          </w:p>
        </w:tc>
      </w:tr>
      <w:tr w:rsidR="00F32BBA" w:rsidRPr="009F386E" w14:paraId="2FF87DB2" w14:textId="77777777" w:rsidTr="004662B9">
        <w:trPr>
          <w:trHeight w:hRule="exact" w:val="356"/>
        </w:trPr>
        <w:tc>
          <w:tcPr>
            <w:tcW w:w="2854" w:type="dxa"/>
            <w:hideMark/>
          </w:tcPr>
          <w:p w14:paraId="695BAA22" w14:textId="77777777" w:rsidR="00F32BBA" w:rsidRPr="009F386E" w:rsidRDefault="00F32BBA" w:rsidP="004662B9">
            <w:pPr>
              <w:rPr>
                <w:rFonts w:ascii="Arial" w:hAnsi="Arial" w:cs="Arial"/>
                <w:sz w:val="24"/>
                <w:szCs w:val="24"/>
              </w:rPr>
            </w:pPr>
            <w:r w:rsidRPr="009F386E">
              <w:rPr>
                <w:rFonts w:ascii="Arial" w:hAnsi="Arial" w:cs="Arial"/>
                <w:sz w:val="24"/>
                <w:szCs w:val="24"/>
              </w:rPr>
              <w:t>Riverside</w:t>
            </w:r>
          </w:p>
        </w:tc>
        <w:tc>
          <w:tcPr>
            <w:tcW w:w="3261" w:type="dxa"/>
            <w:noWrap/>
            <w:tcMar>
              <w:left w:w="173" w:type="dxa"/>
              <w:right w:w="1296" w:type="dxa"/>
            </w:tcMar>
            <w:vAlign w:val="bottom"/>
            <w:hideMark/>
          </w:tcPr>
          <w:p w14:paraId="7C9ABFA7"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586</w:t>
            </w:r>
          </w:p>
        </w:tc>
        <w:tc>
          <w:tcPr>
            <w:tcW w:w="3176" w:type="dxa"/>
            <w:noWrap/>
            <w:tcMar>
              <w:left w:w="173" w:type="dxa"/>
              <w:right w:w="1296" w:type="dxa"/>
            </w:tcMar>
            <w:vAlign w:val="bottom"/>
            <w:hideMark/>
          </w:tcPr>
          <w:p w14:paraId="57B759AF"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114</w:t>
            </w:r>
          </w:p>
        </w:tc>
      </w:tr>
      <w:tr w:rsidR="00F32BBA" w:rsidRPr="009F386E" w14:paraId="48D5FFE7" w14:textId="77777777" w:rsidTr="004662B9">
        <w:trPr>
          <w:trHeight w:hRule="exact" w:val="356"/>
        </w:trPr>
        <w:tc>
          <w:tcPr>
            <w:tcW w:w="2854" w:type="dxa"/>
            <w:hideMark/>
          </w:tcPr>
          <w:p w14:paraId="6AFAD773" w14:textId="77777777" w:rsidR="00F32BBA" w:rsidRPr="009F386E" w:rsidRDefault="00F32BBA" w:rsidP="004662B9">
            <w:pPr>
              <w:rPr>
                <w:rFonts w:ascii="Arial" w:hAnsi="Arial" w:cs="Arial"/>
                <w:sz w:val="24"/>
                <w:szCs w:val="24"/>
              </w:rPr>
            </w:pPr>
            <w:r w:rsidRPr="009F386E">
              <w:rPr>
                <w:rFonts w:ascii="Arial" w:hAnsi="Arial" w:cs="Arial"/>
                <w:sz w:val="24"/>
                <w:szCs w:val="24"/>
              </w:rPr>
              <w:t>Sacramento</w:t>
            </w:r>
          </w:p>
        </w:tc>
        <w:tc>
          <w:tcPr>
            <w:tcW w:w="3261" w:type="dxa"/>
            <w:noWrap/>
            <w:tcMar>
              <w:left w:w="173" w:type="dxa"/>
              <w:right w:w="1296" w:type="dxa"/>
            </w:tcMar>
            <w:vAlign w:val="bottom"/>
            <w:hideMark/>
          </w:tcPr>
          <w:p w14:paraId="3428430D"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386</w:t>
            </w:r>
          </w:p>
        </w:tc>
        <w:tc>
          <w:tcPr>
            <w:tcW w:w="3176" w:type="dxa"/>
            <w:noWrap/>
            <w:tcMar>
              <w:left w:w="173" w:type="dxa"/>
              <w:right w:w="1296" w:type="dxa"/>
            </w:tcMar>
            <w:vAlign w:val="bottom"/>
            <w:hideMark/>
          </w:tcPr>
          <w:p w14:paraId="07A10F56"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80</w:t>
            </w:r>
          </w:p>
        </w:tc>
      </w:tr>
      <w:tr w:rsidR="00F32BBA" w:rsidRPr="009F386E" w14:paraId="23AD10A8" w14:textId="77777777" w:rsidTr="004662B9">
        <w:trPr>
          <w:trHeight w:hRule="exact" w:val="356"/>
        </w:trPr>
        <w:tc>
          <w:tcPr>
            <w:tcW w:w="2854" w:type="dxa"/>
            <w:hideMark/>
          </w:tcPr>
          <w:p w14:paraId="54C71A75" w14:textId="77777777" w:rsidR="00F32BBA" w:rsidRPr="009F386E" w:rsidRDefault="00F32BBA" w:rsidP="004662B9">
            <w:pPr>
              <w:rPr>
                <w:rFonts w:ascii="Arial" w:hAnsi="Arial" w:cs="Arial"/>
                <w:sz w:val="24"/>
                <w:szCs w:val="24"/>
              </w:rPr>
            </w:pPr>
            <w:r w:rsidRPr="009F386E">
              <w:rPr>
                <w:rFonts w:ascii="Arial" w:hAnsi="Arial" w:cs="Arial"/>
                <w:sz w:val="24"/>
                <w:szCs w:val="24"/>
              </w:rPr>
              <w:t>San Benito</w:t>
            </w:r>
          </w:p>
        </w:tc>
        <w:tc>
          <w:tcPr>
            <w:tcW w:w="3261" w:type="dxa"/>
            <w:noWrap/>
            <w:tcMar>
              <w:left w:w="173" w:type="dxa"/>
              <w:right w:w="1296" w:type="dxa"/>
            </w:tcMar>
            <w:vAlign w:val="bottom"/>
            <w:hideMark/>
          </w:tcPr>
          <w:p w14:paraId="754ED6AA"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65</w:t>
            </w:r>
          </w:p>
        </w:tc>
        <w:tc>
          <w:tcPr>
            <w:tcW w:w="3176" w:type="dxa"/>
            <w:noWrap/>
            <w:tcMar>
              <w:left w:w="173" w:type="dxa"/>
              <w:right w:w="1296" w:type="dxa"/>
            </w:tcMar>
            <w:vAlign w:val="bottom"/>
            <w:hideMark/>
          </w:tcPr>
          <w:p w14:paraId="6C8E21A1"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45</w:t>
            </w:r>
          </w:p>
        </w:tc>
      </w:tr>
      <w:tr w:rsidR="00F32BBA" w:rsidRPr="009F386E" w14:paraId="1035B134" w14:textId="77777777" w:rsidTr="004662B9">
        <w:trPr>
          <w:trHeight w:hRule="exact" w:val="356"/>
        </w:trPr>
        <w:tc>
          <w:tcPr>
            <w:tcW w:w="2854" w:type="dxa"/>
            <w:noWrap/>
            <w:hideMark/>
          </w:tcPr>
          <w:p w14:paraId="4164B78D" w14:textId="77777777" w:rsidR="00F32BBA" w:rsidRPr="009F386E" w:rsidRDefault="00F32BBA" w:rsidP="004662B9">
            <w:pPr>
              <w:rPr>
                <w:rFonts w:ascii="Arial" w:hAnsi="Arial" w:cs="Arial"/>
                <w:sz w:val="24"/>
                <w:szCs w:val="24"/>
              </w:rPr>
            </w:pPr>
            <w:r w:rsidRPr="009F386E">
              <w:rPr>
                <w:rFonts w:ascii="Arial" w:hAnsi="Arial" w:cs="Arial"/>
                <w:sz w:val="24"/>
                <w:szCs w:val="24"/>
              </w:rPr>
              <w:t>San Bernardino</w:t>
            </w:r>
          </w:p>
        </w:tc>
        <w:tc>
          <w:tcPr>
            <w:tcW w:w="3261" w:type="dxa"/>
            <w:noWrap/>
            <w:tcMar>
              <w:left w:w="173" w:type="dxa"/>
              <w:right w:w="1296" w:type="dxa"/>
            </w:tcMar>
            <w:vAlign w:val="bottom"/>
            <w:hideMark/>
          </w:tcPr>
          <w:p w14:paraId="4FE270BE"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779</w:t>
            </w:r>
          </w:p>
        </w:tc>
        <w:tc>
          <w:tcPr>
            <w:tcW w:w="3176" w:type="dxa"/>
            <w:noWrap/>
            <w:tcMar>
              <w:left w:w="173" w:type="dxa"/>
              <w:right w:w="1296" w:type="dxa"/>
            </w:tcMar>
            <w:vAlign w:val="bottom"/>
            <w:hideMark/>
          </w:tcPr>
          <w:p w14:paraId="3D0BFEAB"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171</w:t>
            </w:r>
          </w:p>
        </w:tc>
      </w:tr>
      <w:tr w:rsidR="00F32BBA" w:rsidRPr="009F386E" w14:paraId="6C6C44D7" w14:textId="77777777" w:rsidTr="004662B9">
        <w:trPr>
          <w:trHeight w:hRule="exact" w:val="356"/>
        </w:trPr>
        <w:tc>
          <w:tcPr>
            <w:tcW w:w="2854" w:type="dxa"/>
            <w:hideMark/>
          </w:tcPr>
          <w:p w14:paraId="76DBCB83" w14:textId="77777777" w:rsidR="00F32BBA" w:rsidRPr="009F386E" w:rsidRDefault="00F32BBA" w:rsidP="004662B9">
            <w:pPr>
              <w:rPr>
                <w:rFonts w:ascii="Arial" w:hAnsi="Arial" w:cs="Arial"/>
                <w:sz w:val="24"/>
                <w:szCs w:val="24"/>
              </w:rPr>
            </w:pPr>
            <w:r w:rsidRPr="009F386E">
              <w:rPr>
                <w:rFonts w:ascii="Arial" w:hAnsi="Arial" w:cs="Arial"/>
                <w:sz w:val="24"/>
                <w:szCs w:val="24"/>
              </w:rPr>
              <w:t>San Diego</w:t>
            </w:r>
          </w:p>
        </w:tc>
        <w:tc>
          <w:tcPr>
            <w:tcW w:w="3261" w:type="dxa"/>
            <w:noWrap/>
            <w:tcMar>
              <w:left w:w="173" w:type="dxa"/>
              <w:right w:w="1296" w:type="dxa"/>
            </w:tcMar>
            <w:vAlign w:val="bottom"/>
            <w:hideMark/>
          </w:tcPr>
          <w:p w14:paraId="691B668F"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168</w:t>
            </w:r>
          </w:p>
        </w:tc>
        <w:tc>
          <w:tcPr>
            <w:tcW w:w="3176" w:type="dxa"/>
            <w:noWrap/>
            <w:tcMar>
              <w:left w:w="173" w:type="dxa"/>
              <w:right w:w="1296" w:type="dxa"/>
            </w:tcMar>
            <w:vAlign w:val="bottom"/>
            <w:hideMark/>
          </w:tcPr>
          <w:p w14:paraId="5B3A7375"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51</w:t>
            </w:r>
          </w:p>
        </w:tc>
      </w:tr>
      <w:tr w:rsidR="00F32BBA" w:rsidRPr="009F386E" w14:paraId="2F1FA1DB" w14:textId="77777777" w:rsidTr="004662B9">
        <w:trPr>
          <w:trHeight w:hRule="exact" w:val="356"/>
        </w:trPr>
        <w:tc>
          <w:tcPr>
            <w:tcW w:w="2854" w:type="dxa"/>
            <w:hideMark/>
          </w:tcPr>
          <w:p w14:paraId="1099D72E" w14:textId="77777777" w:rsidR="00F32BBA" w:rsidRPr="009F386E" w:rsidRDefault="00F32BBA" w:rsidP="004662B9">
            <w:pPr>
              <w:rPr>
                <w:rFonts w:ascii="Arial" w:hAnsi="Arial" w:cs="Arial"/>
                <w:sz w:val="24"/>
                <w:szCs w:val="24"/>
              </w:rPr>
            </w:pPr>
            <w:r w:rsidRPr="009F386E">
              <w:rPr>
                <w:rFonts w:ascii="Arial" w:hAnsi="Arial" w:cs="Arial"/>
                <w:sz w:val="24"/>
                <w:szCs w:val="24"/>
              </w:rPr>
              <w:t>San Luis Obispo</w:t>
            </w:r>
          </w:p>
        </w:tc>
        <w:tc>
          <w:tcPr>
            <w:tcW w:w="3261" w:type="dxa"/>
            <w:noWrap/>
            <w:tcMar>
              <w:left w:w="173" w:type="dxa"/>
              <w:right w:w="1296" w:type="dxa"/>
            </w:tcMar>
            <w:vAlign w:val="bottom"/>
            <w:hideMark/>
          </w:tcPr>
          <w:p w14:paraId="78E0C8EA"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246</w:t>
            </w:r>
          </w:p>
        </w:tc>
        <w:tc>
          <w:tcPr>
            <w:tcW w:w="3176" w:type="dxa"/>
            <w:noWrap/>
            <w:tcMar>
              <w:left w:w="173" w:type="dxa"/>
              <w:right w:w="1296" w:type="dxa"/>
            </w:tcMar>
            <w:vAlign w:val="bottom"/>
            <w:hideMark/>
          </w:tcPr>
          <w:p w14:paraId="6288A49A"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95</w:t>
            </w:r>
          </w:p>
        </w:tc>
      </w:tr>
      <w:tr w:rsidR="00F32BBA" w:rsidRPr="009F386E" w14:paraId="50D01498" w14:textId="77777777" w:rsidTr="004662B9">
        <w:trPr>
          <w:trHeight w:hRule="exact" w:val="356"/>
        </w:trPr>
        <w:tc>
          <w:tcPr>
            <w:tcW w:w="2854" w:type="dxa"/>
            <w:hideMark/>
          </w:tcPr>
          <w:p w14:paraId="6B911656" w14:textId="77777777" w:rsidR="00F32BBA" w:rsidRPr="009F386E" w:rsidRDefault="00F32BBA" w:rsidP="004662B9">
            <w:pPr>
              <w:rPr>
                <w:rFonts w:ascii="Arial" w:hAnsi="Arial" w:cs="Arial"/>
                <w:sz w:val="24"/>
                <w:szCs w:val="24"/>
              </w:rPr>
            </w:pPr>
            <w:r w:rsidRPr="009F386E">
              <w:rPr>
                <w:rFonts w:ascii="Arial" w:hAnsi="Arial" w:cs="Arial"/>
                <w:sz w:val="24"/>
                <w:szCs w:val="24"/>
              </w:rPr>
              <w:t>San Mateo</w:t>
            </w:r>
          </w:p>
        </w:tc>
        <w:tc>
          <w:tcPr>
            <w:tcW w:w="3261" w:type="dxa"/>
            <w:noWrap/>
            <w:tcMar>
              <w:left w:w="173" w:type="dxa"/>
              <w:right w:w="1296" w:type="dxa"/>
            </w:tcMar>
            <w:vAlign w:val="bottom"/>
            <w:hideMark/>
          </w:tcPr>
          <w:p w14:paraId="3812E1E5"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72</w:t>
            </w:r>
          </w:p>
        </w:tc>
        <w:tc>
          <w:tcPr>
            <w:tcW w:w="3176" w:type="dxa"/>
            <w:noWrap/>
            <w:tcMar>
              <w:left w:w="173" w:type="dxa"/>
              <w:right w:w="1296" w:type="dxa"/>
            </w:tcMar>
            <w:vAlign w:val="bottom"/>
            <w:hideMark/>
          </w:tcPr>
          <w:p w14:paraId="4770E362"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25</w:t>
            </w:r>
          </w:p>
        </w:tc>
      </w:tr>
      <w:tr w:rsidR="00F32BBA" w:rsidRPr="009F386E" w14:paraId="1FF47037" w14:textId="77777777" w:rsidTr="004662B9">
        <w:trPr>
          <w:trHeight w:hRule="exact" w:val="356"/>
        </w:trPr>
        <w:tc>
          <w:tcPr>
            <w:tcW w:w="2854" w:type="dxa"/>
            <w:hideMark/>
          </w:tcPr>
          <w:p w14:paraId="59B2FDEF" w14:textId="77777777" w:rsidR="00F32BBA" w:rsidRPr="009F386E" w:rsidRDefault="00F32BBA" w:rsidP="004662B9">
            <w:pPr>
              <w:rPr>
                <w:rFonts w:ascii="Arial" w:hAnsi="Arial" w:cs="Arial"/>
                <w:sz w:val="24"/>
                <w:szCs w:val="24"/>
              </w:rPr>
            </w:pPr>
            <w:r w:rsidRPr="009F386E">
              <w:rPr>
                <w:rFonts w:ascii="Arial" w:hAnsi="Arial" w:cs="Arial"/>
                <w:sz w:val="24"/>
                <w:szCs w:val="24"/>
              </w:rPr>
              <w:t>Santa Barbara</w:t>
            </w:r>
          </w:p>
        </w:tc>
        <w:tc>
          <w:tcPr>
            <w:tcW w:w="3261" w:type="dxa"/>
            <w:noWrap/>
            <w:tcMar>
              <w:left w:w="173" w:type="dxa"/>
              <w:right w:w="1296" w:type="dxa"/>
            </w:tcMar>
            <w:vAlign w:val="bottom"/>
            <w:hideMark/>
          </w:tcPr>
          <w:p w14:paraId="42C4972F"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166</w:t>
            </w:r>
          </w:p>
        </w:tc>
        <w:tc>
          <w:tcPr>
            <w:tcW w:w="3176" w:type="dxa"/>
            <w:noWrap/>
            <w:tcMar>
              <w:left w:w="173" w:type="dxa"/>
              <w:right w:w="1296" w:type="dxa"/>
            </w:tcMar>
            <w:vAlign w:val="bottom"/>
            <w:hideMark/>
          </w:tcPr>
          <w:p w14:paraId="0AE8CC5B"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53</w:t>
            </w:r>
          </w:p>
        </w:tc>
      </w:tr>
      <w:tr w:rsidR="00F32BBA" w:rsidRPr="009F386E" w14:paraId="31269AD9" w14:textId="77777777" w:rsidTr="004662B9">
        <w:trPr>
          <w:trHeight w:hRule="exact" w:val="356"/>
        </w:trPr>
        <w:tc>
          <w:tcPr>
            <w:tcW w:w="2854" w:type="dxa"/>
            <w:hideMark/>
          </w:tcPr>
          <w:p w14:paraId="7F81A772" w14:textId="77777777" w:rsidR="00F32BBA" w:rsidRPr="009F386E" w:rsidRDefault="00F32BBA" w:rsidP="004662B9">
            <w:pPr>
              <w:rPr>
                <w:rFonts w:ascii="Arial" w:hAnsi="Arial" w:cs="Arial"/>
                <w:sz w:val="24"/>
                <w:szCs w:val="24"/>
              </w:rPr>
            </w:pPr>
            <w:r w:rsidRPr="009F386E">
              <w:rPr>
                <w:rFonts w:ascii="Arial" w:hAnsi="Arial" w:cs="Arial"/>
                <w:sz w:val="24"/>
                <w:szCs w:val="24"/>
              </w:rPr>
              <w:t>Santa Clara</w:t>
            </w:r>
          </w:p>
        </w:tc>
        <w:tc>
          <w:tcPr>
            <w:tcW w:w="3261" w:type="dxa"/>
            <w:noWrap/>
            <w:tcMar>
              <w:left w:w="173" w:type="dxa"/>
              <w:right w:w="1296" w:type="dxa"/>
            </w:tcMar>
            <w:vAlign w:val="bottom"/>
            <w:hideMark/>
          </w:tcPr>
          <w:p w14:paraId="2C01CCD5"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289</w:t>
            </w:r>
          </w:p>
        </w:tc>
        <w:tc>
          <w:tcPr>
            <w:tcW w:w="3176" w:type="dxa"/>
            <w:noWrap/>
            <w:tcMar>
              <w:left w:w="173" w:type="dxa"/>
              <w:right w:w="1296" w:type="dxa"/>
            </w:tcMar>
            <w:vAlign w:val="bottom"/>
            <w:hideMark/>
          </w:tcPr>
          <w:p w14:paraId="5C1BCA23"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77</w:t>
            </w:r>
          </w:p>
        </w:tc>
      </w:tr>
      <w:tr w:rsidR="00F32BBA" w:rsidRPr="009F386E" w14:paraId="4D9816AA" w14:textId="77777777" w:rsidTr="004662B9">
        <w:trPr>
          <w:trHeight w:hRule="exact" w:val="356"/>
        </w:trPr>
        <w:tc>
          <w:tcPr>
            <w:tcW w:w="2854" w:type="dxa"/>
            <w:hideMark/>
          </w:tcPr>
          <w:p w14:paraId="310F5385" w14:textId="77777777" w:rsidR="00F32BBA" w:rsidRPr="009F386E" w:rsidRDefault="00F32BBA" w:rsidP="004662B9">
            <w:pPr>
              <w:rPr>
                <w:rFonts w:ascii="Arial" w:hAnsi="Arial" w:cs="Arial"/>
                <w:sz w:val="24"/>
                <w:szCs w:val="24"/>
              </w:rPr>
            </w:pPr>
            <w:r w:rsidRPr="009F386E">
              <w:rPr>
                <w:rFonts w:ascii="Arial" w:hAnsi="Arial" w:cs="Arial"/>
                <w:sz w:val="24"/>
                <w:szCs w:val="24"/>
              </w:rPr>
              <w:t>Shasta</w:t>
            </w:r>
          </w:p>
        </w:tc>
        <w:tc>
          <w:tcPr>
            <w:tcW w:w="3261" w:type="dxa"/>
            <w:noWrap/>
            <w:tcMar>
              <w:left w:w="173" w:type="dxa"/>
              <w:right w:w="1296" w:type="dxa"/>
            </w:tcMar>
            <w:vAlign w:val="bottom"/>
            <w:hideMark/>
          </w:tcPr>
          <w:p w14:paraId="3403E33E"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156</w:t>
            </w:r>
          </w:p>
        </w:tc>
        <w:tc>
          <w:tcPr>
            <w:tcW w:w="3176" w:type="dxa"/>
            <w:noWrap/>
            <w:tcMar>
              <w:left w:w="173" w:type="dxa"/>
              <w:right w:w="1296" w:type="dxa"/>
            </w:tcMar>
            <w:vAlign w:val="bottom"/>
            <w:hideMark/>
          </w:tcPr>
          <w:p w14:paraId="143197C5"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95</w:t>
            </w:r>
          </w:p>
        </w:tc>
      </w:tr>
      <w:tr w:rsidR="00F32BBA" w:rsidRPr="009F386E" w14:paraId="206A8A98" w14:textId="77777777" w:rsidTr="004662B9">
        <w:trPr>
          <w:trHeight w:hRule="exact" w:val="356"/>
        </w:trPr>
        <w:tc>
          <w:tcPr>
            <w:tcW w:w="2854" w:type="dxa"/>
            <w:hideMark/>
          </w:tcPr>
          <w:p w14:paraId="5EAA5724" w14:textId="77777777" w:rsidR="00F32BBA" w:rsidRPr="009F386E" w:rsidRDefault="00F32BBA" w:rsidP="004662B9">
            <w:pPr>
              <w:rPr>
                <w:rFonts w:ascii="Arial" w:hAnsi="Arial" w:cs="Arial"/>
                <w:sz w:val="24"/>
                <w:szCs w:val="24"/>
              </w:rPr>
            </w:pPr>
            <w:r w:rsidRPr="009F386E">
              <w:rPr>
                <w:rFonts w:ascii="Arial" w:hAnsi="Arial" w:cs="Arial"/>
                <w:sz w:val="24"/>
                <w:szCs w:val="24"/>
              </w:rPr>
              <w:t>Siskiyou</w:t>
            </w:r>
          </w:p>
        </w:tc>
        <w:tc>
          <w:tcPr>
            <w:tcW w:w="3261" w:type="dxa"/>
            <w:noWrap/>
            <w:tcMar>
              <w:left w:w="173" w:type="dxa"/>
              <w:right w:w="1296" w:type="dxa"/>
            </w:tcMar>
            <w:vAlign w:val="bottom"/>
            <w:hideMark/>
          </w:tcPr>
          <w:p w14:paraId="47DDE2AF"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58</w:t>
            </w:r>
          </w:p>
        </w:tc>
        <w:tc>
          <w:tcPr>
            <w:tcW w:w="3176" w:type="dxa"/>
            <w:noWrap/>
            <w:tcMar>
              <w:left w:w="173" w:type="dxa"/>
              <w:right w:w="1296" w:type="dxa"/>
            </w:tcMar>
            <w:vAlign w:val="bottom"/>
            <w:hideMark/>
          </w:tcPr>
          <w:p w14:paraId="264E2EEA"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40</w:t>
            </w:r>
          </w:p>
        </w:tc>
      </w:tr>
      <w:tr w:rsidR="00F32BBA" w:rsidRPr="009F386E" w14:paraId="2D1F1245" w14:textId="77777777" w:rsidTr="004662B9">
        <w:trPr>
          <w:trHeight w:hRule="exact" w:val="356"/>
        </w:trPr>
        <w:tc>
          <w:tcPr>
            <w:tcW w:w="2854" w:type="dxa"/>
            <w:hideMark/>
          </w:tcPr>
          <w:p w14:paraId="3253BCEA" w14:textId="77777777" w:rsidR="00F32BBA" w:rsidRPr="009F386E" w:rsidRDefault="00F32BBA" w:rsidP="004662B9">
            <w:pPr>
              <w:rPr>
                <w:rFonts w:ascii="Arial" w:hAnsi="Arial" w:cs="Arial"/>
                <w:sz w:val="24"/>
                <w:szCs w:val="24"/>
              </w:rPr>
            </w:pPr>
            <w:r w:rsidRPr="009F386E">
              <w:rPr>
                <w:rFonts w:ascii="Arial" w:hAnsi="Arial" w:cs="Arial"/>
                <w:sz w:val="24"/>
                <w:szCs w:val="24"/>
              </w:rPr>
              <w:t>Solano</w:t>
            </w:r>
          </w:p>
        </w:tc>
        <w:tc>
          <w:tcPr>
            <w:tcW w:w="3261" w:type="dxa"/>
            <w:noWrap/>
            <w:tcMar>
              <w:left w:w="173" w:type="dxa"/>
              <w:right w:w="1296" w:type="dxa"/>
            </w:tcMar>
            <w:vAlign w:val="bottom"/>
            <w:hideMark/>
          </w:tcPr>
          <w:p w14:paraId="518332BA"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32</w:t>
            </w:r>
          </w:p>
        </w:tc>
        <w:tc>
          <w:tcPr>
            <w:tcW w:w="3176" w:type="dxa"/>
            <w:noWrap/>
            <w:tcMar>
              <w:left w:w="173" w:type="dxa"/>
              <w:right w:w="1296" w:type="dxa"/>
            </w:tcMar>
            <w:vAlign w:val="bottom"/>
            <w:hideMark/>
          </w:tcPr>
          <w:p w14:paraId="313DDB9E"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24</w:t>
            </w:r>
          </w:p>
        </w:tc>
      </w:tr>
      <w:tr w:rsidR="00F32BBA" w:rsidRPr="009F386E" w14:paraId="377B6AF1" w14:textId="77777777" w:rsidTr="004662B9">
        <w:trPr>
          <w:trHeight w:hRule="exact" w:val="356"/>
        </w:trPr>
        <w:tc>
          <w:tcPr>
            <w:tcW w:w="2854" w:type="dxa"/>
            <w:hideMark/>
          </w:tcPr>
          <w:p w14:paraId="1C0C9AB0" w14:textId="77777777" w:rsidR="00F32BBA" w:rsidRPr="009F386E" w:rsidRDefault="00F32BBA" w:rsidP="004662B9">
            <w:pPr>
              <w:rPr>
                <w:rFonts w:ascii="Arial" w:hAnsi="Arial" w:cs="Arial"/>
                <w:sz w:val="24"/>
                <w:szCs w:val="24"/>
              </w:rPr>
            </w:pPr>
            <w:r w:rsidRPr="009F386E">
              <w:rPr>
                <w:rFonts w:ascii="Arial" w:hAnsi="Arial" w:cs="Arial"/>
                <w:sz w:val="24"/>
                <w:szCs w:val="24"/>
              </w:rPr>
              <w:t>Stanislaus</w:t>
            </w:r>
          </w:p>
        </w:tc>
        <w:tc>
          <w:tcPr>
            <w:tcW w:w="3261" w:type="dxa"/>
            <w:noWrap/>
            <w:tcMar>
              <w:left w:w="173" w:type="dxa"/>
              <w:right w:w="1296" w:type="dxa"/>
            </w:tcMar>
            <w:vAlign w:val="bottom"/>
            <w:hideMark/>
          </w:tcPr>
          <w:p w14:paraId="2A971F91"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174</w:t>
            </w:r>
          </w:p>
        </w:tc>
        <w:tc>
          <w:tcPr>
            <w:tcW w:w="3176" w:type="dxa"/>
            <w:noWrap/>
            <w:tcMar>
              <w:left w:w="173" w:type="dxa"/>
              <w:right w:w="1296" w:type="dxa"/>
            </w:tcMar>
            <w:vAlign w:val="bottom"/>
            <w:hideMark/>
          </w:tcPr>
          <w:p w14:paraId="02A2B80D"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26</w:t>
            </w:r>
          </w:p>
        </w:tc>
      </w:tr>
      <w:tr w:rsidR="00F32BBA" w:rsidRPr="009F386E" w14:paraId="5AC5A1EF" w14:textId="77777777" w:rsidTr="004662B9">
        <w:trPr>
          <w:trHeight w:hRule="exact" w:val="356"/>
        </w:trPr>
        <w:tc>
          <w:tcPr>
            <w:tcW w:w="2854" w:type="dxa"/>
            <w:hideMark/>
          </w:tcPr>
          <w:p w14:paraId="14C27D71" w14:textId="77777777" w:rsidR="00F32BBA" w:rsidRPr="009F386E" w:rsidRDefault="00F32BBA" w:rsidP="004662B9">
            <w:pPr>
              <w:rPr>
                <w:rFonts w:ascii="Arial" w:hAnsi="Arial" w:cs="Arial"/>
                <w:sz w:val="24"/>
                <w:szCs w:val="24"/>
              </w:rPr>
            </w:pPr>
            <w:r w:rsidRPr="009F386E">
              <w:rPr>
                <w:rFonts w:ascii="Arial" w:hAnsi="Arial" w:cs="Arial"/>
                <w:sz w:val="24"/>
                <w:szCs w:val="24"/>
              </w:rPr>
              <w:t>Sutter</w:t>
            </w:r>
          </w:p>
        </w:tc>
        <w:tc>
          <w:tcPr>
            <w:tcW w:w="3261" w:type="dxa"/>
            <w:noWrap/>
            <w:tcMar>
              <w:left w:w="173" w:type="dxa"/>
              <w:right w:w="1296" w:type="dxa"/>
            </w:tcMar>
            <w:vAlign w:val="bottom"/>
            <w:hideMark/>
          </w:tcPr>
          <w:p w14:paraId="04531306"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30</w:t>
            </w:r>
          </w:p>
        </w:tc>
        <w:tc>
          <w:tcPr>
            <w:tcW w:w="3176" w:type="dxa"/>
            <w:noWrap/>
            <w:tcMar>
              <w:left w:w="173" w:type="dxa"/>
              <w:right w:w="1296" w:type="dxa"/>
            </w:tcMar>
            <w:vAlign w:val="bottom"/>
            <w:hideMark/>
          </w:tcPr>
          <w:p w14:paraId="020D7EC9"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25</w:t>
            </w:r>
          </w:p>
        </w:tc>
      </w:tr>
      <w:tr w:rsidR="00F32BBA" w:rsidRPr="009F386E" w14:paraId="7501A40C" w14:textId="77777777" w:rsidTr="004662B9">
        <w:trPr>
          <w:trHeight w:hRule="exact" w:val="356"/>
        </w:trPr>
        <w:tc>
          <w:tcPr>
            <w:tcW w:w="2854" w:type="dxa"/>
            <w:hideMark/>
          </w:tcPr>
          <w:p w14:paraId="6AE24183" w14:textId="77777777" w:rsidR="00F32BBA" w:rsidRPr="009F386E" w:rsidRDefault="00F32BBA" w:rsidP="004662B9">
            <w:pPr>
              <w:rPr>
                <w:rFonts w:ascii="Arial" w:hAnsi="Arial" w:cs="Arial"/>
                <w:sz w:val="24"/>
                <w:szCs w:val="24"/>
              </w:rPr>
            </w:pPr>
            <w:r w:rsidRPr="009F386E">
              <w:rPr>
                <w:rFonts w:ascii="Arial" w:hAnsi="Arial" w:cs="Arial"/>
                <w:sz w:val="24"/>
                <w:szCs w:val="24"/>
              </w:rPr>
              <w:t>Tulare</w:t>
            </w:r>
          </w:p>
        </w:tc>
        <w:tc>
          <w:tcPr>
            <w:tcW w:w="3261" w:type="dxa"/>
            <w:noWrap/>
            <w:tcMar>
              <w:left w:w="173" w:type="dxa"/>
              <w:right w:w="1296" w:type="dxa"/>
            </w:tcMar>
            <w:vAlign w:val="bottom"/>
            <w:hideMark/>
          </w:tcPr>
          <w:p w14:paraId="04F840D2"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419</w:t>
            </w:r>
          </w:p>
        </w:tc>
        <w:tc>
          <w:tcPr>
            <w:tcW w:w="3176" w:type="dxa"/>
            <w:noWrap/>
            <w:tcMar>
              <w:left w:w="173" w:type="dxa"/>
              <w:right w:w="1296" w:type="dxa"/>
            </w:tcMar>
            <w:vAlign w:val="bottom"/>
            <w:hideMark/>
          </w:tcPr>
          <w:p w14:paraId="42DB6013"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158</w:t>
            </w:r>
          </w:p>
        </w:tc>
      </w:tr>
      <w:tr w:rsidR="00F32BBA" w:rsidRPr="009F386E" w14:paraId="38D04DF2" w14:textId="77777777" w:rsidTr="004662B9">
        <w:trPr>
          <w:trHeight w:hRule="exact" w:val="356"/>
        </w:trPr>
        <w:tc>
          <w:tcPr>
            <w:tcW w:w="2854" w:type="dxa"/>
            <w:hideMark/>
          </w:tcPr>
          <w:p w14:paraId="5AFF56D2" w14:textId="77777777" w:rsidR="00F32BBA" w:rsidRPr="009F386E" w:rsidRDefault="00F32BBA" w:rsidP="004662B9">
            <w:pPr>
              <w:rPr>
                <w:rFonts w:ascii="Arial" w:hAnsi="Arial" w:cs="Arial"/>
                <w:sz w:val="24"/>
                <w:szCs w:val="24"/>
              </w:rPr>
            </w:pPr>
            <w:r w:rsidRPr="009F386E">
              <w:rPr>
                <w:rFonts w:ascii="Arial" w:hAnsi="Arial" w:cs="Arial"/>
                <w:sz w:val="24"/>
                <w:szCs w:val="24"/>
              </w:rPr>
              <w:t>Ventura</w:t>
            </w:r>
          </w:p>
        </w:tc>
        <w:tc>
          <w:tcPr>
            <w:tcW w:w="3261" w:type="dxa"/>
            <w:noWrap/>
            <w:tcMar>
              <w:left w:w="173" w:type="dxa"/>
              <w:right w:w="1296" w:type="dxa"/>
            </w:tcMar>
            <w:vAlign w:val="bottom"/>
            <w:hideMark/>
          </w:tcPr>
          <w:p w14:paraId="10B296E0"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162</w:t>
            </w:r>
          </w:p>
        </w:tc>
        <w:tc>
          <w:tcPr>
            <w:tcW w:w="3176" w:type="dxa"/>
            <w:noWrap/>
            <w:tcMar>
              <w:left w:w="173" w:type="dxa"/>
              <w:right w:w="1296" w:type="dxa"/>
            </w:tcMar>
            <w:vAlign w:val="bottom"/>
            <w:hideMark/>
          </w:tcPr>
          <w:p w14:paraId="2E52C806" w14:textId="77777777" w:rsidR="00F32BBA" w:rsidRPr="009F386E" w:rsidRDefault="00F32BBA" w:rsidP="004662B9">
            <w:pPr>
              <w:ind w:left="811"/>
              <w:jc w:val="right"/>
              <w:rPr>
                <w:rFonts w:ascii="Arial" w:hAnsi="Arial" w:cs="Arial"/>
                <w:sz w:val="24"/>
                <w:szCs w:val="24"/>
              </w:rPr>
            </w:pPr>
            <w:r w:rsidRPr="009F386E">
              <w:rPr>
                <w:rFonts w:ascii="Arial" w:hAnsi="Arial" w:cs="Arial"/>
                <w:color w:val="000000"/>
                <w:sz w:val="24"/>
                <w:szCs w:val="24"/>
              </w:rPr>
              <w:t>58</w:t>
            </w:r>
          </w:p>
        </w:tc>
      </w:tr>
      <w:tr w:rsidR="00F32BBA" w:rsidRPr="009F386E" w14:paraId="54CE795E" w14:textId="77777777" w:rsidTr="004662B9">
        <w:trPr>
          <w:trHeight w:hRule="exact" w:val="356"/>
        </w:trPr>
        <w:tc>
          <w:tcPr>
            <w:tcW w:w="2854" w:type="dxa"/>
            <w:noWrap/>
            <w:hideMark/>
          </w:tcPr>
          <w:p w14:paraId="2A4B067F" w14:textId="77777777" w:rsidR="00F32BBA" w:rsidRPr="009F386E" w:rsidRDefault="00F32BBA" w:rsidP="004662B9">
            <w:pPr>
              <w:jc w:val="right"/>
              <w:rPr>
                <w:rFonts w:ascii="Arial" w:hAnsi="Arial" w:cs="Arial"/>
                <w:sz w:val="24"/>
                <w:szCs w:val="24"/>
              </w:rPr>
            </w:pPr>
            <w:r w:rsidRPr="009F386E">
              <w:rPr>
                <w:rFonts w:ascii="Arial" w:hAnsi="Arial" w:cs="Arial"/>
                <w:sz w:val="24"/>
                <w:szCs w:val="24"/>
              </w:rPr>
              <w:t>Totals:</w:t>
            </w:r>
          </w:p>
        </w:tc>
        <w:tc>
          <w:tcPr>
            <w:tcW w:w="3261" w:type="dxa"/>
            <w:noWrap/>
            <w:tcMar>
              <w:left w:w="173" w:type="dxa"/>
              <w:right w:w="1296" w:type="dxa"/>
            </w:tcMar>
            <w:hideMark/>
          </w:tcPr>
          <w:p w14:paraId="1B44F7DA" w14:textId="77777777" w:rsidR="00F32BBA" w:rsidRPr="009F386E" w:rsidRDefault="00F32BBA" w:rsidP="004662B9">
            <w:pPr>
              <w:ind w:left="811"/>
              <w:jc w:val="right"/>
              <w:rPr>
                <w:rFonts w:ascii="Arial" w:hAnsi="Arial" w:cs="Arial"/>
                <w:sz w:val="24"/>
                <w:szCs w:val="24"/>
              </w:rPr>
            </w:pPr>
            <w:r w:rsidRPr="009F386E">
              <w:rPr>
                <w:rFonts w:ascii="Arial" w:hAnsi="Arial" w:cs="Arial"/>
                <w:sz w:val="24"/>
                <w:szCs w:val="24"/>
              </w:rPr>
              <w:t>7,194</w:t>
            </w:r>
          </w:p>
        </w:tc>
        <w:tc>
          <w:tcPr>
            <w:tcW w:w="3176" w:type="dxa"/>
            <w:noWrap/>
            <w:tcMar>
              <w:left w:w="173" w:type="dxa"/>
              <w:right w:w="1296" w:type="dxa"/>
            </w:tcMar>
            <w:hideMark/>
          </w:tcPr>
          <w:p w14:paraId="3FE52523" w14:textId="77777777" w:rsidR="00F32BBA" w:rsidRPr="009F386E" w:rsidRDefault="00F32BBA" w:rsidP="004662B9">
            <w:pPr>
              <w:ind w:left="811"/>
              <w:jc w:val="right"/>
              <w:rPr>
                <w:rFonts w:ascii="Arial" w:hAnsi="Arial" w:cs="Arial"/>
                <w:sz w:val="24"/>
                <w:szCs w:val="24"/>
              </w:rPr>
            </w:pPr>
            <w:r w:rsidRPr="009F386E">
              <w:rPr>
                <w:rFonts w:ascii="Arial" w:hAnsi="Arial" w:cs="Arial"/>
                <w:sz w:val="24"/>
                <w:szCs w:val="24"/>
              </w:rPr>
              <w:t>2,346</w:t>
            </w:r>
          </w:p>
        </w:tc>
      </w:tr>
    </w:tbl>
    <w:p w14:paraId="1012FA32" w14:textId="77777777" w:rsidR="00F32BBA" w:rsidRPr="009F386E" w:rsidRDefault="00F32BBA" w:rsidP="00F32BBA">
      <w:pPr>
        <w:pStyle w:val="BodyText"/>
        <w:tabs>
          <w:tab w:val="clear" w:pos="720"/>
        </w:tabs>
        <w:rPr>
          <w:sz w:val="24"/>
          <w:szCs w:val="24"/>
        </w:rPr>
      </w:pPr>
    </w:p>
    <w:p w14:paraId="43150AFC" w14:textId="77777777" w:rsidR="00F32BBA" w:rsidRPr="009F386E" w:rsidRDefault="00F32BBA" w:rsidP="00F32BBA">
      <w:pPr>
        <w:keepNext/>
        <w:keepLines/>
        <w:spacing w:after="120"/>
        <w:rPr>
          <w:rFonts w:ascii="Arial" w:hAnsi="Arial" w:cs="Arial"/>
          <w:sz w:val="24"/>
          <w:szCs w:val="24"/>
          <w:u w:val="single"/>
        </w:rPr>
      </w:pPr>
      <w:r w:rsidRPr="009F386E">
        <w:rPr>
          <w:rFonts w:ascii="Arial" w:hAnsi="Arial" w:cs="Arial"/>
          <w:sz w:val="24"/>
          <w:szCs w:val="24"/>
          <w:u w:val="single"/>
        </w:rPr>
        <w:t>Laboratory Survey—Perchlorate Analytical Methods, Capabilities, and Costs</w:t>
      </w:r>
    </w:p>
    <w:p w14:paraId="19532F94" w14:textId="77777777" w:rsidR="00F32BBA" w:rsidRPr="009F386E" w:rsidRDefault="00F32BBA" w:rsidP="00F32BBA">
      <w:pPr>
        <w:keepNext/>
        <w:keepLines/>
        <w:rPr>
          <w:rFonts w:ascii="Arial" w:hAnsi="Arial" w:cs="Arial"/>
          <w:sz w:val="24"/>
          <w:szCs w:val="24"/>
          <w:highlight w:val="yellow"/>
        </w:rPr>
      </w:pPr>
      <w:r w:rsidRPr="009F386E">
        <w:rPr>
          <w:rFonts w:ascii="Arial" w:hAnsi="Arial" w:cs="Arial"/>
          <w:sz w:val="24"/>
          <w:szCs w:val="24"/>
        </w:rPr>
        <w:t xml:space="preserve">Several analytical methods exist for analyzing perchlorate in drinking water.  EPA Methods 314.0, 314.1, 331.0, and 332.0 are validated methods </w:t>
      </w:r>
      <w:r>
        <w:rPr>
          <w:rFonts w:ascii="Arial" w:hAnsi="Arial" w:cs="Arial"/>
          <w:sz w:val="24"/>
          <w:szCs w:val="24"/>
        </w:rPr>
        <w:t xml:space="preserve">for which </w:t>
      </w:r>
      <w:r w:rsidRPr="009F386E">
        <w:rPr>
          <w:rFonts w:ascii="Arial" w:hAnsi="Arial" w:cs="Arial"/>
          <w:sz w:val="24"/>
          <w:szCs w:val="24"/>
        </w:rPr>
        <w:t xml:space="preserve">the </w:t>
      </w:r>
      <w:r>
        <w:rPr>
          <w:rFonts w:ascii="Arial" w:hAnsi="Arial" w:cs="Arial"/>
          <w:sz w:val="24"/>
          <w:szCs w:val="24"/>
        </w:rPr>
        <w:t>California’s</w:t>
      </w:r>
      <w:r w:rsidRPr="009F386E">
        <w:rPr>
          <w:rFonts w:ascii="Arial" w:hAnsi="Arial" w:cs="Arial"/>
          <w:sz w:val="24"/>
          <w:szCs w:val="24"/>
        </w:rPr>
        <w:t xml:space="preserve"> Environmental Laboratory Accreditation Program (ELAP) currently provide</w:t>
      </w:r>
      <w:r>
        <w:rPr>
          <w:rFonts w:ascii="Arial" w:hAnsi="Arial" w:cs="Arial"/>
          <w:sz w:val="24"/>
          <w:szCs w:val="24"/>
        </w:rPr>
        <w:t>s</w:t>
      </w:r>
      <w:r w:rsidRPr="009F386E">
        <w:rPr>
          <w:rFonts w:ascii="Arial" w:hAnsi="Arial" w:cs="Arial"/>
          <w:sz w:val="24"/>
          <w:szCs w:val="24"/>
        </w:rPr>
        <w:t xml:space="preserve"> accreditation.</w:t>
      </w:r>
    </w:p>
    <w:p w14:paraId="275505ED" w14:textId="77777777" w:rsidR="00F32BBA" w:rsidRPr="009F386E" w:rsidRDefault="00F32BBA" w:rsidP="00F32BBA">
      <w:pPr>
        <w:rPr>
          <w:rFonts w:ascii="Arial" w:hAnsi="Arial" w:cs="Arial"/>
          <w:sz w:val="24"/>
          <w:szCs w:val="24"/>
        </w:rPr>
      </w:pPr>
      <w:r w:rsidRPr="009F386E">
        <w:rPr>
          <w:rFonts w:ascii="Arial" w:hAnsi="Arial" w:cs="Arial"/>
          <w:sz w:val="24"/>
          <w:szCs w:val="24"/>
        </w:rPr>
        <w:t xml:space="preserve">To obtain sample analysis costs associated with the various methods and detection limits, in September 2017, the State Water Board, in collaboration with the Environmental Laboratory Technical Advisory Committee (ELTAC), prepared and </w:t>
      </w:r>
      <w:r>
        <w:rPr>
          <w:rFonts w:ascii="Arial" w:hAnsi="Arial" w:cs="Arial"/>
          <w:sz w:val="24"/>
          <w:szCs w:val="24"/>
        </w:rPr>
        <w:t>performed</w:t>
      </w:r>
      <w:r w:rsidRPr="009F386E">
        <w:rPr>
          <w:rFonts w:ascii="Arial" w:hAnsi="Arial" w:cs="Arial"/>
          <w:sz w:val="24"/>
          <w:szCs w:val="24"/>
        </w:rPr>
        <w:t xml:space="preserve"> a technical survey to drinking water laboratories accredited to perform perchlorate analyses on drinking water samples.  The survey was designed to assess laboratory analytical capability and cost</w:t>
      </w:r>
      <w:r>
        <w:rPr>
          <w:rFonts w:ascii="Arial" w:hAnsi="Arial" w:cs="Arial"/>
          <w:sz w:val="24"/>
          <w:szCs w:val="24"/>
        </w:rPr>
        <w:t>s of analysis</w:t>
      </w:r>
      <w:r w:rsidRPr="009F386E">
        <w:rPr>
          <w:rFonts w:ascii="Arial" w:hAnsi="Arial" w:cs="Arial"/>
          <w:sz w:val="24"/>
          <w:szCs w:val="24"/>
        </w:rPr>
        <w:t>.  The State Water Board’s Division of Drinking Water (DDW) incorporated the survey findings into this CEM to support its initial determination that the proposed regulations would not have a significant adverse economic impact on businesses.</w:t>
      </w:r>
    </w:p>
    <w:p w14:paraId="03D121AE" w14:textId="77777777" w:rsidR="00F32BBA" w:rsidRPr="009F386E" w:rsidRDefault="00F32BBA" w:rsidP="00F32BBA">
      <w:pPr>
        <w:rPr>
          <w:rFonts w:ascii="Arial" w:hAnsi="Arial" w:cs="Arial"/>
          <w:sz w:val="24"/>
          <w:szCs w:val="24"/>
          <w:lang w:val="x-none" w:eastAsia="x-none"/>
        </w:rPr>
      </w:pPr>
      <w:r w:rsidRPr="009F386E">
        <w:rPr>
          <w:rFonts w:ascii="Arial" w:hAnsi="Arial" w:cs="Arial"/>
          <w:sz w:val="24"/>
          <w:szCs w:val="24"/>
        </w:rPr>
        <w:lastRenderedPageBreak/>
        <w:t xml:space="preserve">At the time of the survey, fifty laboratories were accredited to perform EPA Method 314.0, eleven laboratories were accredited to perform EPA Methods 331.0 and/or 332.0, and two laboratories were accredited to perform EPA Method 314.1.  For the proposed regulation, drinking water laboratories would need to be able to provide to their public water system clients analytical results meeting the regulatory detection limit or DLR.  </w:t>
      </w:r>
      <w:r w:rsidRPr="009F386E">
        <w:rPr>
          <w:rFonts w:ascii="Arial" w:hAnsi="Arial" w:cs="Arial"/>
          <w:sz w:val="24"/>
          <w:szCs w:val="24"/>
          <w:lang w:val="x-none" w:eastAsia="x-none"/>
        </w:rPr>
        <w:t xml:space="preserve">Laboratory findings below the DLR can </w:t>
      </w:r>
      <w:r w:rsidRPr="009F386E">
        <w:rPr>
          <w:rFonts w:ascii="Arial" w:hAnsi="Arial" w:cs="Arial"/>
          <w:sz w:val="24"/>
          <w:szCs w:val="24"/>
          <w:lang w:eastAsia="x-none"/>
        </w:rPr>
        <w:t xml:space="preserve">also </w:t>
      </w:r>
      <w:r w:rsidRPr="009F386E">
        <w:rPr>
          <w:rFonts w:ascii="Arial" w:hAnsi="Arial" w:cs="Arial"/>
          <w:sz w:val="24"/>
          <w:szCs w:val="24"/>
          <w:lang w:val="x-none" w:eastAsia="x-none"/>
        </w:rPr>
        <w:t>be accepted from accredited laboratories</w:t>
      </w:r>
      <w:r w:rsidRPr="009F386E">
        <w:rPr>
          <w:rFonts w:ascii="Arial" w:hAnsi="Arial" w:cs="Arial"/>
          <w:sz w:val="24"/>
          <w:szCs w:val="24"/>
          <w:lang w:eastAsia="x-none"/>
        </w:rPr>
        <w:t>, although most laboratories do not report findings that are below the DLR</w:t>
      </w:r>
      <w:r w:rsidRPr="009F386E">
        <w:rPr>
          <w:rFonts w:ascii="Arial" w:hAnsi="Arial" w:cs="Arial"/>
          <w:sz w:val="24"/>
          <w:szCs w:val="24"/>
          <w:lang w:val="x-none" w:eastAsia="x-none"/>
        </w:rPr>
        <w:t>.</w:t>
      </w:r>
    </w:p>
    <w:p w14:paraId="0905B5C1" w14:textId="77777777" w:rsidR="00F32BBA" w:rsidRPr="009F386E" w:rsidRDefault="00F32BBA" w:rsidP="00F32BBA">
      <w:pPr>
        <w:spacing w:after="120"/>
        <w:rPr>
          <w:rFonts w:ascii="Arial" w:hAnsi="Arial" w:cs="Arial"/>
          <w:sz w:val="24"/>
          <w:szCs w:val="24"/>
        </w:rPr>
      </w:pPr>
      <w:r w:rsidRPr="009F386E">
        <w:rPr>
          <w:rFonts w:ascii="Arial" w:hAnsi="Arial" w:cs="Arial"/>
          <w:sz w:val="24"/>
          <w:szCs w:val="24"/>
        </w:rPr>
        <w:t>The results of the survey indicated:</w:t>
      </w:r>
    </w:p>
    <w:p w14:paraId="3B1A60AA" w14:textId="77777777" w:rsidR="00F32BBA" w:rsidRPr="00DA5EE2" w:rsidRDefault="00F32BBA" w:rsidP="00F32BBA">
      <w:pPr>
        <w:pStyle w:val="ListParagraph"/>
        <w:numPr>
          <w:ilvl w:val="1"/>
          <w:numId w:val="24"/>
        </w:numPr>
        <w:spacing w:after="120" w:line="240" w:lineRule="auto"/>
        <w:ind w:left="720"/>
        <w:contextualSpacing w:val="0"/>
        <w:rPr>
          <w:rFonts w:ascii="Arial" w:eastAsiaTheme="minorHAnsi" w:hAnsi="Arial" w:cs="Arial"/>
          <w:sz w:val="24"/>
          <w:szCs w:val="24"/>
        </w:rPr>
      </w:pPr>
      <w:r w:rsidRPr="00DA5EE2">
        <w:rPr>
          <w:rFonts w:ascii="Arial" w:eastAsiaTheme="minorHAnsi" w:hAnsi="Arial" w:cs="Arial"/>
          <w:sz w:val="24"/>
          <w:szCs w:val="24"/>
        </w:rPr>
        <w:t>84% of accredited laboratories that report perchlorate findings to the DDW water quality database use EPA Method 314.0 to perform the analysis.</w:t>
      </w:r>
    </w:p>
    <w:p w14:paraId="7DFB3265" w14:textId="77777777" w:rsidR="00F32BBA" w:rsidRPr="00DA5EE2" w:rsidRDefault="00F32BBA" w:rsidP="00F32BBA">
      <w:pPr>
        <w:pStyle w:val="ListParagraph"/>
        <w:numPr>
          <w:ilvl w:val="1"/>
          <w:numId w:val="24"/>
        </w:numPr>
        <w:spacing w:after="120" w:line="240" w:lineRule="auto"/>
        <w:ind w:left="720"/>
        <w:contextualSpacing w:val="0"/>
        <w:rPr>
          <w:rFonts w:ascii="Arial" w:eastAsiaTheme="minorHAnsi" w:hAnsi="Arial" w:cs="Arial"/>
          <w:sz w:val="24"/>
          <w:szCs w:val="24"/>
        </w:rPr>
      </w:pPr>
      <w:r w:rsidRPr="00DA5EE2">
        <w:rPr>
          <w:rFonts w:ascii="Arial" w:eastAsiaTheme="minorHAnsi" w:hAnsi="Arial" w:cs="Arial"/>
          <w:sz w:val="24"/>
          <w:szCs w:val="24"/>
        </w:rPr>
        <w:t>ELAP accredited laboratories that use EPA Method 314.0 are capable of confidently quantifying perchlorate detections in drinking water to 0.002 mg/L.</w:t>
      </w:r>
    </w:p>
    <w:p w14:paraId="28C94853" w14:textId="77777777" w:rsidR="00F32BBA" w:rsidRPr="00DA5EE2" w:rsidRDefault="00F32BBA" w:rsidP="00F32BBA">
      <w:pPr>
        <w:pStyle w:val="ListParagraph"/>
        <w:numPr>
          <w:ilvl w:val="1"/>
          <w:numId w:val="24"/>
        </w:numPr>
        <w:spacing w:after="120" w:line="240" w:lineRule="auto"/>
        <w:ind w:left="720"/>
        <w:contextualSpacing w:val="0"/>
        <w:rPr>
          <w:rFonts w:ascii="Arial" w:eastAsiaTheme="minorHAnsi" w:hAnsi="Arial" w:cs="Arial"/>
          <w:sz w:val="24"/>
          <w:szCs w:val="24"/>
        </w:rPr>
      </w:pPr>
      <w:r w:rsidRPr="00DA5EE2">
        <w:rPr>
          <w:rFonts w:ascii="Arial" w:eastAsiaTheme="minorHAnsi" w:hAnsi="Arial" w:cs="Arial"/>
          <w:sz w:val="24"/>
          <w:szCs w:val="24"/>
        </w:rPr>
        <w:t>Only accredited laboratories that use EPA Method 331.0 or EPA Method 332.0 are capable of confidently quantifying perchlorate detections in drinking water below the public health goal of 0.001 mg/L.</w:t>
      </w:r>
    </w:p>
    <w:p w14:paraId="4CE866E7" w14:textId="77777777" w:rsidR="00F32BBA" w:rsidRPr="009F386E" w:rsidRDefault="00F32BBA" w:rsidP="00F32BBA">
      <w:pPr>
        <w:spacing w:after="120"/>
        <w:ind w:left="450" w:hanging="450"/>
        <w:rPr>
          <w:rFonts w:ascii="Arial" w:hAnsi="Arial" w:cs="Arial"/>
          <w:sz w:val="24"/>
          <w:szCs w:val="24"/>
        </w:rPr>
      </w:pPr>
      <w:r w:rsidRPr="009F386E">
        <w:rPr>
          <w:rFonts w:ascii="Arial" w:hAnsi="Arial" w:cs="Arial"/>
          <w:sz w:val="24"/>
          <w:szCs w:val="24"/>
        </w:rPr>
        <w:t>Conclusions drawn from the survey:</w:t>
      </w:r>
    </w:p>
    <w:p w14:paraId="0AC08217" w14:textId="77777777" w:rsidR="00F32BBA" w:rsidRPr="00DA5EE2" w:rsidRDefault="00F32BBA" w:rsidP="00F32BBA">
      <w:pPr>
        <w:pStyle w:val="ListParagraph"/>
        <w:numPr>
          <w:ilvl w:val="1"/>
          <w:numId w:val="26"/>
        </w:numPr>
        <w:spacing w:after="120" w:line="240" w:lineRule="auto"/>
        <w:ind w:left="720"/>
        <w:contextualSpacing w:val="0"/>
        <w:rPr>
          <w:rFonts w:ascii="Arial" w:eastAsiaTheme="minorHAnsi" w:hAnsi="Arial" w:cs="Arial"/>
          <w:sz w:val="24"/>
          <w:szCs w:val="24"/>
        </w:rPr>
      </w:pPr>
      <w:r w:rsidRPr="00DA5EE2">
        <w:rPr>
          <w:rFonts w:ascii="Arial" w:eastAsiaTheme="minorHAnsi" w:hAnsi="Arial" w:cs="Arial"/>
          <w:sz w:val="24"/>
          <w:szCs w:val="24"/>
        </w:rPr>
        <w:t>Sufficient laboratory capacity exists for EPA Method 314.0, which is capable of quantifying perchlorate levels to 0.002 mg/L.</w:t>
      </w:r>
    </w:p>
    <w:p w14:paraId="164B5B7D" w14:textId="77777777" w:rsidR="00F32BBA" w:rsidRPr="00DA5EE2" w:rsidRDefault="00F32BBA" w:rsidP="00F32BBA">
      <w:pPr>
        <w:pStyle w:val="ListParagraph"/>
        <w:numPr>
          <w:ilvl w:val="1"/>
          <w:numId w:val="26"/>
        </w:numPr>
        <w:spacing w:after="120" w:line="240" w:lineRule="auto"/>
        <w:ind w:left="720"/>
        <w:contextualSpacing w:val="0"/>
        <w:rPr>
          <w:rFonts w:ascii="Arial" w:eastAsiaTheme="minorHAnsi" w:hAnsi="Arial" w:cs="Arial"/>
          <w:sz w:val="24"/>
          <w:szCs w:val="24"/>
        </w:rPr>
      </w:pPr>
      <w:r w:rsidRPr="00DA5EE2">
        <w:rPr>
          <w:rFonts w:ascii="Arial" w:eastAsiaTheme="minorHAnsi" w:hAnsi="Arial" w:cs="Arial"/>
          <w:sz w:val="24"/>
          <w:szCs w:val="24"/>
        </w:rPr>
        <w:t xml:space="preserve">Quantifying perchlorate detections in drinking water to 0.002 mg/L will allow for the continued use of EPA Method 314.0.  As this method is already widely used and requires no additional modifications to achieve the proposed DLR, the cost per analysis is not expected to be impacted by the proposed regulation.  </w:t>
      </w:r>
    </w:p>
    <w:p w14:paraId="6401878D" w14:textId="609128EB" w:rsidR="00F32BBA" w:rsidRPr="00DA5EE2" w:rsidRDefault="00F32BBA" w:rsidP="00F32BBA">
      <w:pPr>
        <w:pStyle w:val="ListParagraph"/>
        <w:numPr>
          <w:ilvl w:val="1"/>
          <w:numId w:val="26"/>
        </w:numPr>
        <w:spacing w:after="240" w:line="240" w:lineRule="auto"/>
        <w:ind w:left="720"/>
        <w:contextualSpacing w:val="0"/>
        <w:rPr>
          <w:rFonts w:ascii="Arial" w:eastAsiaTheme="minorHAnsi" w:hAnsi="Arial" w:cs="Arial"/>
          <w:sz w:val="24"/>
          <w:szCs w:val="24"/>
          <w:lang w:val="x-none"/>
        </w:rPr>
      </w:pPr>
      <w:r w:rsidRPr="00DA5EE2">
        <w:rPr>
          <w:rFonts w:ascii="Arial" w:eastAsiaTheme="minorHAnsi" w:hAnsi="Arial" w:cs="Arial"/>
          <w:sz w:val="24"/>
          <w:szCs w:val="24"/>
        </w:rPr>
        <w:t xml:space="preserve">When the proposed regulation is promulgated, the number of </w:t>
      </w:r>
      <w:r w:rsidRPr="00DA5EE2" w:rsidDel="00C97C4B">
        <w:rPr>
          <w:rFonts w:ascii="Arial" w:eastAsiaTheme="minorHAnsi" w:hAnsi="Arial" w:cs="Arial"/>
          <w:sz w:val="24"/>
          <w:szCs w:val="24"/>
        </w:rPr>
        <w:t>accredited laboratories that use EPA Method 331.0 or EPA Method 332.0</w:t>
      </w:r>
      <w:r w:rsidRPr="00DA5EE2">
        <w:rPr>
          <w:rFonts w:ascii="Arial" w:eastAsiaTheme="minorHAnsi" w:hAnsi="Arial" w:cs="Arial"/>
          <w:sz w:val="24"/>
          <w:szCs w:val="24"/>
        </w:rPr>
        <w:t xml:space="preserve"> and are capable of achieving a DLR at or below 0.001 mg/L would be insufficient to cope with all quarterly monitoring currently required, let alone the additional sampling and analysis expected for newly identified sources.  To develop adequate capacity, there would likely be</w:t>
      </w:r>
      <w:r w:rsidRPr="00DA5EE2">
        <w:rPr>
          <w:rFonts w:ascii="Arial" w:eastAsiaTheme="minorHAnsi" w:hAnsi="Arial" w:cs="Arial"/>
          <w:sz w:val="24"/>
          <w:szCs w:val="24"/>
          <w:lang w:val="x-none"/>
        </w:rPr>
        <w:t xml:space="preserve"> substantial costs related to </w:t>
      </w:r>
      <w:r w:rsidRPr="00DA5EE2">
        <w:rPr>
          <w:rFonts w:ascii="Arial" w:eastAsiaTheme="minorHAnsi" w:hAnsi="Arial" w:cs="Arial"/>
          <w:sz w:val="24"/>
          <w:szCs w:val="24"/>
        </w:rPr>
        <w:t xml:space="preserve">new </w:t>
      </w:r>
      <w:r w:rsidRPr="00DA5EE2">
        <w:rPr>
          <w:rFonts w:ascii="Arial" w:eastAsiaTheme="minorHAnsi" w:hAnsi="Arial" w:cs="Arial"/>
          <w:sz w:val="24"/>
          <w:szCs w:val="24"/>
          <w:lang w:val="x-none"/>
        </w:rPr>
        <w:t>equipmen</w:t>
      </w:r>
      <w:r w:rsidRPr="00DA5EE2">
        <w:rPr>
          <w:rFonts w:ascii="Arial" w:eastAsiaTheme="minorHAnsi" w:hAnsi="Arial" w:cs="Arial"/>
          <w:sz w:val="24"/>
          <w:szCs w:val="24"/>
        </w:rPr>
        <w:t xml:space="preserve">t procurement, but the main barrier would be the amount of time required to implement laboratory staff training and </w:t>
      </w:r>
      <w:r w:rsidRPr="00DA5EE2">
        <w:rPr>
          <w:rFonts w:ascii="Arial" w:eastAsiaTheme="minorHAnsi" w:hAnsi="Arial" w:cs="Arial"/>
          <w:sz w:val="24"/>
          <w:szCs w:val="24"/>
          <w:lang w:val="x-none"/>
        </w:rPr>
        <w:t>lab</w:t>
      </w:r>
      <w:r w:rsidRPr="00DA5EE2">
        <w:rPr>
          <w:rFonts w:ascii="Arial" w:eastAsiaTheme="minorHAnsi" w:hAnsi="Arial" w:cs="Arial"/>
          <w:sz w:val="24"/>
          <w:szCs w:val="24"/>
        </w:rPr>
        <w:t>oratory</w:t>
      </w:r>
      <w:r w:rsidRPr="00DA5EE2">
        <w:rPr>
          <w:rFonts w:ascii="Arial" w:eastAsiaTheme="minorHAnsi" w:hAnsi="Arial" w:cs="Arial"/>
          <w:sz w:val="24"/>
          <w:szCs w:val="24"/>
          <w:lang w:val="x-none"/>
        </w:rPr>
        <w:t xml:space="preserve"> accreditation for these methods.  </w:t>
      </w:r>
      <w:r w:rsidRPr="00DA5EE2">
        <w:rPr>
          <w:rFonts w:ascii="Arial" w:eastAsiaTheme="minorHAnsi" w:hAnsi="Arial" w:cs="Arial"/>
          <w:sz w:val="24"/>
          <w:szCs w:val="24"/>
        </w:rPr>
        <w:t xml:space="preserve">Time required for method implementation is crucial especially when monitoring would begin immediately upon promulgation of the proposed regulation.  </w:t>
      </w:r>
      <w:r w:rsidRPr="00DA5EE2" w:rsidDel="00C97C4B">
        <w:rPr>
          <w:rFonts w:ascii="Arial" w:eastAsiaTheme="minorHAnsi" w:hAnsi="Arial" w:cs="Arial"/>
          <w:sz w:val="24"/>
          <w:szCs w:val="24"/>
        </w:rPr>
        <w:t xml:space="preserve">Therefore, </w:t>
      </w:r>
      <w:r w:rsidR="004116C4" w:rsidRPr="00DA5EE2">
        <w:rPr>
          <w:rFonts w:ascii="Arial" w:eastAsiaTheme="minorHAnsi" w:hAnsi="Arial" w:cs="Arial"/>
          <w:sz w:val="24"/>
          <w:szCs w:val="24"/>
          <w:u w:val="single"/>
        </w:rPr>
        <w:t>the State Water Board expects that</w:t>
      </w:r>
      <w:r w:rsidR="004116C4" w:rsidRPr="00DA5EE2">
        <w:rPr>
          <w:rFonts w:ascii="Arial" w:eastAsiaTheme="minorHAnsi" w:hAnsi="Arial" w:cs="Arial"/>
          <w:sz w:val="24"/>
          <w:szCs w:val="24"/>
        </w:rPr>
        <w:t xml:space="preserve"> </w:t>
      </w:r>
      <w:r w:rsidRPr="00DA5EE2" w:rsidDel="00C97C4B">
        <w:rPr>
          <w:rFonts w:ascii="Arial" w:eastAsiaTheme="minorHAnsi" w:hAnsi="Arial" w:cs="Arial"/>
          <w:sz w:val="24"/>
          <w:szCs w:val="24"/>
        </w:rPr>
        <w:t xml:space="preserve">quantifying perchlorate detections in drinking water </w:t>
      </w:r>
      <w:r w:rsidR="00656A58" w:rsidRPr="00DA5EE2">
        <w:rPr>
          <w:rFonts w:ascii="Arial" w:eastAsiaTheme="minorHAnsi" w:hAnsi="Arial" w:cs="Arial"/>
          <w:sz w:val="24"/>
          <w:szCs w:val="24"/>
        </w:rPr>
        <w:t>to</w:t>
      </w:r>
      <w:r w:rsidR="00C84D01" w:rsidRPr="00DA5EE2">
        <w:rPr>
          <w:rFonts w:ascii="Arial" w:eastAsiaTheme="minorHAnsi" w:hAnsi="Arial" w:cs="Arial"/>
          <w:sz w:val="24"/>
          <w:szCs w:val="24"/>
        </w:rPr>
        <w:t xml:space="preserve"> </w:t>
      </w:r>
      <w:r w:rsidRPr="00DA5EE2" w:rsidDel="00C97C4B">
        <w:rPr>
          <w:rFonts w:ascii="Arial" w:eastAsiaTheme="minorHAnsi" w:hAnsi="Arial" w:cs="Arial"/>
          <w:sz w:val="24"/>
          <w:szCs w:val="24"/>
        </w:rPr>
        <w:t xml:space="preserve">0.001 mg/L </w:t>
      </w:r>
      <w:r w:rsidR="00C84D01" w:rsidRPr="00DA5EE2">
        <w:rPr>
          <w:rFonts w:ascii="Arial" w:eastAsiaTheme="minorHAnsi" w:hAnsi="Arial" w:cs="Arial"/>
          <w:sz w:val="24"/>
          <w:szCs w:val="24"/>
          <w:u w:val="single"/>
        </w:rPr>
        <w:t>will</w:t>
      </w:r>
      <w:r w:rsidR="004116C4" w:rsidRPr="00DA5EE2">
        <w:rPr>
          <w:rFonts w:ascii="Arial" w:eastAsiaTheme="minorHAnsi" w:hAnsi="Arial" w:cs="Arial"/>
          <w:sz w:val="24"/>
          <w:szCs w:val="24"/>
          <w:u w:val="single"/>
        </w:rPr>
        <w:t xml:space="preserve"> </w:t>
      </w:r>
      <w:r w:rsidR="000D7718" w:rsidRPr="00DA5EE2">
        <w:rPr>
          <w:rFonts w:ascii="Arial" w:eastAsiaTheme="minorHAnsi" w:hAnsi="Arial" w:cs="Arial"/>
          <w:sz w:val="24"/>
          <w:szCs w:val="24"/>
          <w:u w:val="single"/>
        </w:rPr>
        <w:t xml:space="preserve">not </w:t>
      </w:r>
      <w:r w:rsidR="004116C4" w:rsidRPr="00DA5EE2">
        <w:rPr>
          <w:rFonts w:ascii="Arial" w:eastAsiaTheme="minorHAnsi" w:hAnsi="Arial" w:cs="Arial"/>
          <w:sz w:val="24"/>
          <w:szCs w:val="24"/>
          <w:u w:val="single"/>
        </w:rPr>
        <w:t>be</w:t>
      </w:r>
      <w:r w:rsidR="004116C4" w:rsidRPr="00DA5EE2">
        <w:rPr>
          <w:rFonts w:ascii="Arial" w:eastAsiaTheme="minorHAnsi" w:hAnsi="Arial" w:cs="Arial"/>
          <w:sz w:val="24"/>
          <w:szCs w:val="24"/>
        </w:rPr>
        <w:t xml:space="preserve"> </w:t>
      </w:r>
      <w:r w:rsidRPr="00DA5EE2" w:rsidDel="00C97C4B">
        <w:rPr>
          <w:rFonts w:ascii="Arial" w:eastAsiaTheme="minorHAnsi" w:hAnsi="Arial" w:cs="Arial"/>
          <w:strike/>
          <w:sz w:val="24"/>
          <w:szCs w:val="24"/>
        </w:rPr>
        <w:t xml:space="preserve">is not </w:t>
      </w:r>
      <w:r w:rsidRPr="00DA5EE2">
        <w:rPr>
          <w:rFonts w:ascii="Arial" w:eastAsiaTheme="minorHAnsi" w:hAnsi="Arial" w:cs="Arial"/>
          <w:strike/>
          <w:sz w:val="24"/>
          <w:szCs w:val="24"/>
        </w:rPr>
        <w:t>immediately</w:t>
      </w:r>
      <w:r w:rsidRPr="00DA5EE2">
        <w:rPr>
          <w:rFonts w:ascii="Arial" w:eastAsiaTheme="minorHAnsi" w:hAnsi="Arial" w:cs="Arial"/>
          <w:sz w:val="24"/>
          <w:szCs w:val="24"/>
        </w:rPr>
        <w:t xml:space="preserve"> </w:t>
      </w:r>
      <w:r w:rsidRPr="00DA5EE2" w:rsidDel="00C97C4B">
        <w:rPr>
          <w:rFonts w:ascii="Arial" w:eastAsiaTheme="minorHAnsi" w:hAnsi="Arial" w:cs="Arial"/>
          <w:sz w:val="24"/>
          <w:szCs w:val="24"/>
        </w:rPr>
        <w:t xml:space="preserve">feasible for all </w:t>
      </w:r>
      <w:r w:rsidRPr="00DA5EE2">
        <w:rPr>
          <w:rFonts w:ascii="Arial" w:eastAsiaTheme="minorHAnsi" w:hAnsi="Arial" w:cs="Arial"/>
          <w:sz w:val="24"/>
          <w:szCs w:val="24"/>
        </w:rPr>
        <w:t>PWS</w:t>
      </w:r>
      <w:r w:rsidR="004116C4" w:rsidRPr="00DA5EE2">
        <w:rPr>
          <w:rFonts w:ascii="Arial" w:eastAsiaTheme="minorHAnsi" w:hAnsi="Arial" w:cs="Arial"/>
          <w:sz w:val="24"/>
          <w:szCs w:val="24"/>
        </w:rPr>
        <w:t xml:space="preserve"> </w:t>
      </w:r>
      <w:r w:rsidR="00656A58" w:rsidRPr="00DA5EE2">
        <w:rPr>
          <w:rFonts w:ascii="Arial" w:eastAsiaTheme="minorHAnsi" w:hAnsi="Arial" w:cs="Arial"/>
          <w:sz w:val="24"/>
          <w:szCs w:val="24"/>
          <w:u w:val="single"/>
        </w:rPr>
        <w:t xml:space="preserve">statewide </w:t>
      </w:r>
      <w:r w:rsidR="000D7718" w:rsidRPr="00DA5EE2">
        <w:rPr>
          <w:rFonts w:ascii="Arial" w:eastAsiaTheme="minorHAnsi" w:hAnsi="Arial" w:cs="Arial"/>
          <w:sz w:val="24"/>
          <w:szCs w:val="24"/>
          <w:u w:val="single"/>
        </w:rPr>
        <w:t xml:space="preserve">until </w:t>
      </w:r>
      <w:r w:rsidR="004116C4" w:rsidRPr="00DA5EE2">
        <w:rPr>
          <w:rFonts w:ascii="Arial" w:eastAsiaTheme="minorHAnsi" w:hAnsi="Arial" w:cs="Arial"/>
          <w:sz w:val="24"/>
          <w:szCs w:val="24"/>
          <w:u w:val="single"/>
        </w:rPr>
        <w:t>January 1, 2024</w:t>
      </w:r>
      <w:r w:rsidR="004116C4" w:rsidRPr="00DA5EE2" w:rsidDel="00C97C4B">
        <w:rPr>
          <w:rFonts w:ascii="Arial" w:eastAsiaTheme="minorHAnsi" w:hAnsi="Arial" w:cs="Arial"/>
          <w:sz w:val="24"/>
          <w:szCs w:val="24"/>
          <w:u w:val="single"/>
        </w:rPr>
        <w:t>.</w:t>
      </w:r>
    </w:p>
    <w:p w14:paraId="29BA0E75" w14:textId="1BB4E303" w:rsidR="00F32BBA" w:rsidRPr="009F386E" w:rsidRDefault="00F32BBA" w:rsidP="00F32BBA">
      <w:pPr>
        <w:rPr>
          <w:rFonts w:ascii="Arial" w:hAnsi="Arial" w:cs="Arial"/>
          <w:sz w:val="24"/>
          <w:szCs w:val="24"/>
        </w:rPr>
      </w:pPr>
      <w:r w:rsidRPr="009F386E">
        <w:rPr>
          <w:rFonts w:ascii="Arial" w:hAnsi="Arial" w:cs="Arial"/>
          <w:sz w:val="24"/>
          <w:szCs w:val="24"/>
        </w:rPr>
        <w:t>Laboratories provided sample analysis cost information for EPA Method 314.0.  The average cost per sample was $56.00, with the cost ranging from $40 to $72 per sample.  The average value of $56.00 per sample was used to estimate increased monitoring costs.</w:t>
      </w:r>
      <w:r w:rsidR="004116C4">
        <w:rPr>
          <w:rFonts w:ascii="Arial" w:hAnsi="Arial" w:cs="Arial"/>
          <w:sz w:val="24"/>
          <w:szCs w:val="24"/>
        </w:rPr>
        <w:t xml:space="preserve">  </w:t>
      </w:r>
      <w:r w:rsidR="004116C4" w:rsidRPr="00DC58B9">
        <w:rPr>
          <w:rFonts w:ascii="Arial" w:hAnsi="Arial" w:cs="Arial"/>
          <w:sz w:val="24"/>
          <w:szCs w:val="24"/>
          <w:u w:val="single"/>
        </w:rPr>
        <w:t>Using EPA Method</w:t>
      </w:r>
      <w:r w:rsidR="000D7718">
        <w:rPr>
          <w:rFonts w:ascii="Arial" w:hAnsi="Arial" w:cs="Arial"/>
          <w:sz w:val="24"/>
          <w:szCs w:val="24"/>
          <w:u w:val="single"/>
        </w:rPr>
        <w:t>s</w:t>
      </w:r>
      <w:r w:rsidR="004116C4" w:rsidRPr="00DC58B9">
        <w:rPr>
          <w:rFonts w:ascii="Arial" w:hAnsi="Arial" w:cs="Arial"/>
          <w:sz w:val="24"/>
          <w:szCs w:val="24"/>
          <w:u w:val="single"/>
        </w:rPr>
        <w:t xml:space="preserve"> 331.0 or 332.0, the average </w:t>
      </w:r>
      <w:r w:rsidR="000D7718">
        <w:rPr>
          <w:rFonts w:ascii="Arial" w:hAnsi="Arial" w:cs="Arial"/>
          <w:sz w:val="24"/>
          <w:szCs w:val="24"/>
          <w:u w:val="single"/>
        </w:rPr>
        <w:t xml:space="preserve">cost per sample </w:t>
      </w:r>
      <w:r w:rsidR="004116C4" w:rsidRPr="00DC58B9">
        <w:rPr>
          <w:rFonts w:ascii="Arial" w:hAnsi="Arial" w:cs="Arial"/>
          <w:sz w:val="24"/>
          <w:szCs w:val="24"/>
          <w:u w:val="single"/>
        </w:rPr>
        <w:t>increase</w:t>
      </w:r>
      <w:r w:rsidR="000D7718">
        <w:rPr>
          <w:rFonts w:ascii="Arial" w:hAnsi="Arial" w:cs="Arial"/>
          <w:sz w:val="24"/>
          <w:szCs w:val="24"/>
          <w:u w:val="single"/>
        </w:rPr>
        <w:t>s</w:t>
      </w:r>
      <w:r w:rsidR="004116C4" w:rsidRPr="00DC58B9">
        <w:rPr>
          <w:rFonts w:ascii="Arial" w:hAnsi="Arial" w:cs="Arial"/>
          <w:sz w:val="24"/>
          <w:szCs w:val="24"/>
          <w:u w:val="single"/>
        </w:rPr>
        <w:t xml:space="preserve"> </w:t>
      </w:r>
      <w:r w:rsidR="000D7718" w:rsidRPr="00DC58B9">
        <w:rPr>
          <w:rFonts w:ascii="Arial" w:hAnsi="Arial" w:cs="Arial"/>
          <w:sz w:val="24"/>
          <w:szCs w:val="24"/>
          <w:u w:val="single"/>
        </w:rPr>
        <w:t>four-fold</w:t>
      </w:r>
      <w:r w:rsidR="000D7718">
        <w:rPr>
          <w:rFonts w:ascii="Arial" w:hAnsi="Arial" w:cs="Arial"/>
          <w:sz w:val="24"/>
          <w:szCs w:val="24"/>
          <w:u w:val="single"/>
        </w:rPr>
        <w:t xml:space="preserve"> to $224.00</w:t>
      </w:r>
      <w:r w:rsidR="004116C4" w:rsidRPr="00DC58B9">
        <w:rPr>
          <w:rFonts w:ascii="Arial" w:hAnsi="Arial" w:cs="Arial"/>
          <w:sz w:val="24"/>
          <w:szCs w:val="24"/>
          <w:u w:val="single"/>
        </w:rPr>
        <w:t>.</w:t>
      </w:r>
    </w:p>
    <w:p w14:paraId="61C95700" w14:textId="77777777" w:rsidR="00F32BBA" w:rsidRPr="009F386E" w:rsidRDefault="00F32BBA" w:rsidP="00F32BBA">
      <w:pPr>
        <w:keepNext/>
        <w:rPr>
          <w:rFonts w:ascii="Arial" w:hAnsi="Arial" w:cs="Arial"/>
          <w:sz w:val="24"/>
          <w:szCs w:val="24"/>
          <w:u w:val="single"/>
        </w:rPr>
      </w:pPr>
      <w:r w:rsidRPr="009F386E">
        <w:rPr>
          <w:rFonts w:ascii="Arial" w:hAnsi="Arial" w:cs="Arial"/>
          <w:sz w:val="24"/>
          <w:szCs w:val="24"/>
          <w:u w:val="single"/>
        </w:rPr>
        <w:lastRenderedPageBreak/>
        <w:t>Estimated Costs of Regulations</w:t>
      </w:r>
    </w:p>
    <w:p w14:paraId="041B7332" w14:textId="05353401" w:rsidR="00F32BBA" w:rsidRPr="009F386E" w:rsidRDefault="00F32BBA" w:rsidP="00F32BBA">
      <w:pPr>
        <w:pStyle w:val="BodyText"/>
        <w:tabs>
          <w:tab w:val="clear" w:pos="720"/>
        </w:tabs>
        <w:rPr>
          <w:sz w:val="24"/>
          <w:szCs w:val="24"/>
        </w:rPr>
      </w:pPr>
      <w:r w:rsidRPr="009F386E">
        <w:rPr>
          <w:sz w:val="24"/>
          <w:szCs w:val="24"/>
        </w:rPr>
        <w:t xml:space="preserve">Assuming all of the affected water systems identified in Table 2 would have to conduct increased quarterly monitoring for each of their sources identified in Table 2, the total statewide increased cost for monitoring all affected water sources is </w:t>
      </w:r>
      <w:r w:rsidRPr="00DC58B9">
        <w:rPr>
          <w:strike/>
          <w:sz w:val="24"/>
          <w:szCs w:val="24"/>
        </w:rPr>
        <w:t xml:space="preserve">approximately $1.6 million/year, as </w:t>
      </w:r>
      <w:r w:rsidRPr="009F386E">
        <w:rPr>
          <w:sz w:val="24"/>
          <w:szCs w:val="24"/>
        </w:rPr>
        <w:t xml:space="preserve">shown in Table 3 </w:t>
      </w:r>
      <w:r w:rsidRPr="00DC58B9">
        <w:rPr>
          <w:strike/>
          <w:sz w:val="24"/>
          <w:szCs w:val="24"/>
        </w:rPr>
        <w:t>($</w:t>
      </w:r>
      <w:r w:rsidRPr="00DC58B9">
        <w:rPr>
          <w:strike/>
          <w:sz w:val="24"/>
          <w:szCs w:val="24"/>
          <w:u w:val="single"/>
        </w:rPr>
        <w:t>56</w:t>
      </w:r>
      <w:r w:rsidR="004116C4" w:rsidRPr="00DC58B9">
        <w:rPr>
          <w:sz w:val="24"/>
          <w:szCs w:val="24"/>
          <w:u w:val="single"/>
        </w:rPr>
        <w:t>average laboratory cost</w:t>
      </w:r>
      <w:r w:rsidR="004116C4">
        <w:rPr>
          <w:sz w:val="24"/>
          <w:szCs w:val="24"/>
        </w:rPr>
        <w:t xml:space="preserve"> </w:t>
      </w:r>
      <w:r w:rsidRPr="009F386E">
        <w:rPr>
          <w:sz w:val="24"/>
          <w:szCs w:val="24"/>
        </w:rPr>
        <w:t>/sample x 4 samples/year x number of affected sources).</w:t>
      </w:r>
    </w:p>
    <w:p w14:paraId="2C1EF0A0" w14:textId="70312A8B" w:rsidR="00F32BBA" w:rsidRPr="00DC58B9" w:rsidRDefault="00F32BBA" w:rsidP="00F32BBA">
      <w:pPr>
        <w:pStyle w:val="Caption"/>
        <w:keepNext/>
        <w:keepLines/>
        <w:spacing w:after="120"/>
        <w:rPr>
          <w:rFonts w:ascii="Arial" w:hAnsi="Arial" w:cs="Arial"/>
          <w:strike/>
          <w:color w:val="auto"/>
          <w:sz w:val="24"/>
          <w:szCs w:val="24"/>
        </w:rPr>
      </w:pPr>
      <w:r w:rsidRPr="00DC58B9">
        <w:rPr>
          <w:rFonts w:ascii="Arial" w:hAnsi="Arial" w:cs="Arial"/>
          <w:strike/>
          <w:color w:val="auto"/>
          <w:sz w:val="24"/>
          <w:szCs w:val="24"/>
        </w:rPr>
        <w:t xml:space="preserve">Table </w:t>
      </w:r>
      <w:r w:rsidRPr="00DC58B9">
        <w:rPr>
          <w:rFonts w:ascii="Arial" w:hAnsi="Arial" w:cs="Arial"/>
          <w:strike/>
          <w:color w:val="auto"/>
          <w:sz w:val="24"/>
          <w:szCs w:val="24"/>
        </w:rPr>
        <w:fldChar w:fldCharType="begin"/>
      </w:r>
      <w:r w:rsidRPr="00DC58B9">
        <w:rPr>
          <w:rFonts w:ascii="Arial" w:hAnsi="Arial" w:cs="Arial"/>
          <w:strike/>
          <w:color w:val="auto"/>
          <w:sz w:val="24"/>
          <w:szCs w:val="24"/>
        </w:rPr>
        <w:instrText xml:space="preserve"> SEQ Table \* ARABIC </w:instrText>
      </w:r>
      <w:r w:rsidRPr="00DC58B9">
        <w:rPr>
          <w:rFonts w:ascii="Arial" w:hAnsi="Arial" w:cs="Arial"/>
          <w:strike/>
          <w:color w:val="auto"/>
          <w:sz w:val="24"/>
          <w:szCs w:val="24"/>
        </w:rPr>
        <w:fldChar w:fldCharType="separate"/>
      </w:r>
      <w:r w:rsidR="00F64B18">
        <w:rPr>
          <w:rFonts w:ascii="Arial" w:hAnsi="Arial" w:cs="Arial"/>
          <w:strike/>
          <w:noProof/>
          <w:color w:val="auto"/>
          <w:sz w:val="24"/>
          <w:szCs w:val="24"/>
        </w:rPr>
        <w:t>3</w:t>
      </w:r>
      <w:r w:rsidRPr="00DC58B9">
        <w:rPr>
          <w:rFonts w:ascii="Arial" w:hAnsi="Arial" w:cs="Arial"/>
          <w:strike/>
          <w:color w:val="auto"/>
          <w:sz w:val="24"/>
          <w:szCs w:val="24"/>
        </w:rPr>
        <w:fldChar w:fldCharType="end"/>
      </w:r>
      <w:r w:rsidRPr="00DC58B9">
        <w:rPr>
          <w:rFonts w:ascii="Arial" w:hAnsi="Arial" w:cs="Arial"/>
          <w:strike/>
          <w:color w:val="auto"/>
          <w:sz w:val="24"/>
          <w:szCs w:val="24"/>
        </w:rPr>
        <w:t xml:space="preserve"> - Statewide Annual Costs for Perchlorate Monitoring Based on System Ownership</w:t>
      </w:r>
    </w:p>
    <w:tbl>
      <w:tblPr>
        <w:tblStyle w:val="TableGrid"/>
        <w:tblW w:w="9684" w:type="dxa"/>
        <w:jc w:val="center"/>
        <w:tblLook w:val="04A0" w:firstRow="1" w:lastRow="0" w:firstColumn="1" w:lastColumn="0" w:noHBand="0" w:noVBand="1"/>
      </w:tblPr>
      <w:tblGrid>
        <w:gridCol w:w="2335"/>
        <w:gridCol w:w="2520"/>
        <w:gridCol w:w="2430"/>
        <w:gridCol w:w="2399"/>
      </w:tblGrid>
      <w:tr w:rsidR="00F32BBA" w:rsidRPr="004662B9" w14:paraId="555D7DB7" w14:textId="77777777" w:rsidTr="004662B9">
        <w:trPr>
          <w:trHeight w:val="315"/>
          <w:tblHeader/>
          <w:jc w:val="center"/>
        </w:trPr>
        <w:tc>
          <w:tcPr>
            <w:tcW w:w="2335" w:type="dxa"/>
            <w:noWrap/>
            <w:vAlign w:val="center"/>
            <w:hideMark/>
          </w:tcPr>
          <w:p w14:paraId="3A01EB17" w14:textId="77777777" w:rsidR="00F32BBA" w:rsidRPr="00DC58B9" w:rsidRDefault="00F32BBA" w:rsidP="004662B9">
            <w:pPr>
              <w:keepNext/>
              <w:keepLines/>
              <w:spacing w:before="60" w:after="60"/>
              <w:jc w:val="center"/>
              <w:rPr>
                <w:rFonts w:ascii="Arial" w:hAnsi="Arial" w:cs="Arial"/>
                <w:strike/>
                <w:sz w:val="24"/>
                <w:szCs w:val="24"/>
              </w:rPr>
            </w:pPr>
            <w:r w:rsidRPr="00DC58B9">
              <w:rPr>
                <w:rFonts w:ascii="Arial" w:hAnsi="Arial" w:cs="Arial"/>
                <w:strike/>
                <w:sz w:val="24"/>
                <w:szCs w:val="24"/>
              </w:rPr>
              <w:t>System Ownership</w:t>
            </w:r>
          </w:p>
        </w:tc>
        <w:tc>
          <w:tcPr>
            <w:tcW w:w="2520" w:type="dxa"/>
            <w:noWrap/>
            <w:vAlign w:val="center"/>
            <w:hideMark/>
          </w:tcPr>
          <w:p w14:paraId="76A49756" w14:textId="77777777" w:rsidR="00F32BBA" w:rsidRPr="00DC58B9" w:rsidRDefault="00F32BBA" w:rsidP="004662B9">
            <w:pPr>
              <w:keepNext/>
              <w:keepLines/>
              <w:spacing w:before="60" w:after="60"/>
              <w:jc w:val="center"/>
              <w:rPr>
                <w:rFonts w:ascii="Arial" w:hAnsi="Arial" w:cs="Arial"/>
                <w:strike/>
                <w:sz w:val="24"/>
                <w:szCs w:val="24"/>
              </w:rPr>
            </w:pPr>
            <w:r w:rsidRPr="00DC58B9">
              <w:rPr>
                <w:rFonts w:ascii="Arial" w:hAnsi="Arial" w:cs="Arial"/>
                <w:strike/>
                <w:sz w:val="24"/>
                <w:szCs w:val="24"/>
              </w:rPr>
              <w:t>Number of Affected Sources</w:t>
            </w:r>
          </w:p>
        </w:tc>
        <w:tc>
          <w:tcPr>
            <w:tcW w:w="2430" w:type="dxa"/>
            <w:noWrap/>
            <w:vAlign w:val="center"/>
            <w:hideMark/>
          </w:tcPr>
          <w:p w14:paraId="234EB11C" w14:textId="77777777" w:rsidR="00F32BBA" w:rsidRPr="00DC58B9" w:rsidRDefault="00F32BBA" w:rsidP="004662B9">
            <w:pPr>
              <w:keepNext/>
              <w:keepLines/>
              <w:spacing w:before="60" w:after="60"/>
              <w:jc w:val="center"/>
              <w:rPr>
                <w:rFonts w:ascii="Arial" w:hAnsi="Arial" w:cs="Arial"/>
                <w:strike/>
                <w:sz w:val="24"/>
                <w:szCs w:val="24"/>
              </w:rPr>
            </w:pPr>
            <w:r w:rsidRPr="00DC58B9">
              <w:rPr>
                <w:rFonts w:ascii="Arial" w:hAnsi="Arial" w:cs="Arial"/>
                <w:strike/>
                <w:sz w:val="24"/>
                <w:szCs w:val="24"/>
              </w:rPr>
              <w:t>% of All Affected Sources</w:t>
            </w:r>
          </w:p>
        </w:tc>
        <w:tc>
          <w:tcPr>
            <w:tcW w:w="2399" w:type="dxa"/>
            <w:noWrap/>
            <w:vAlign w:val="center"/>
            <w:hideMark/>
          </w:tcPr>
          <w:p w14:paraId="1CED442F" w14:textId="77777777" w:rsidR="00F32BBA" w:rsidRPr="00DC58B9" w:rsidRDefault="00F32BBA" w:rsidP="004662B9">
            <w:pPr>
              <w:keepNext/>
              <w:keepLines/>
              <w:spacing w:before="60" w:after="60"/>
              <w:jc w:val="center"/>
              <w:rPr>
                <w:rFonts w:ascii="Arial" w:hAnsi="Arial" w:cs="Arial"/>
                <w:strike/>
                <w:sz w:val="24"/>
                <w:szCs w:val="24"/>
              </w:rPr>
            </w:pPr>
            <w:r w:rsidRPr="00DC58B9">
              <w:rPr>
                <w:rFonts w:ascii="Arial" w:hAnsi="Arial" w:cs="Arial"/>
                <w:strike/>
                <w:sz w:val="24"/>
                <w:szCs w:val="24"/>
              </w:rPr>
              <w:t>Estimated Annual Cost</w:t>
            </w:r>
            <w:r w:rsidRPr="00DC58B9">
              <w:rPr>
                <w:rFonts w:ascii="Arial" w:hAnsi="Arial" w:cs="Arial"/>
                <w:strike/>
                <w:sz w:val="24"/>
                <w:szCs w:val="24"/>
              </w:rPr>
              <w:br/>
            </w:r>
          </w:p>
        </w:tc>
      </w:tr>
      <w:tr w:rsidR="00F32BBA" w:rsidRPr="004662B9" w14:paraId="77F8FF2C" w14:textId="77777777" w:rsidTr="004662B9">
        <w:trPr>
          <w:trHeight w:hRule="exact" w:val="360"/>
          <w:jc w:val="center"/>
        </w:trPr>
        <w:tc>
          <w:tcPr>
            <w:tcW w:w="2335" w:type="dxa"/>
            <w:noWrap/>
            <w:vAlign w:val="center"/>
            <w:hideMark/>
          </w:tcPr>
          <w:p w14:paraId="7EACA99F" w14:textId="77777777" w:rsidR="00F32BBA" w:rsidRPr="00DC58B9" w:rsidRDefault="00F32BBA" w:rsidP="004662B9">
            <w:pPr>
              <w:keepNext/>
              <w:keepLines/>
              <w:spacing w:after="120"/>
              <w:rPr>
                <w:rFonts w:ascii="Arial" w:hAnsi="Arial" w:cs="Arial"/>
                <w:strike/>
                <w:sz w:val="24"/>
                <w:szCs w:val="24"/>
              </w:rPr>
            </w:pPr>
            <w:r w:rsidRPr="00DC58B9">
              <w:rPr>
                <w:rFonts w:ascii="Arial" w:hAnsi="Arial" w:cs="Arial"/>
                <w:strike/>
                <w:sz w:val="24"/>
                <w:szCs w:val="24"/>
              </w:rPr>
              <w:t xml:space="preserve">Federal </w:t>
            </w:r>
          </w:p>
        </w:tc>
        <w:tc>
          <w:tcPr>
            <w:tcW w:w="2520" w:type="dxa"/>
            <w:noWrap/>
            <w:tcMar>
              <w:left w:w="115" w:type="dxa"/>
              <w:right w:w="864" w:type="dxa"/>
            </w:tcMar>
            <w:vAlign w:val="center"/>
            <w:hideMark/>
          </w:tcPr>
          <w:p w14:paraId="40F4384A" w14:textId="77777777" w:rsidR="00F32BBA" w:rsidRPr="00DC58B9" w:rsidRDefault="00F32BBA" w:rsidP="004662B9">
            <w:pPr>
              <w:keepNext/>
              <w:keepLines/>
              <w:jc w:val="right"/>
              <w:rPr>
                <w:rFonts w:ascii="Arial" w:hAnsi="Arial" w:cs="Arial"/>
                <w:strike/>
                <w:sz w:val="24"/>
                <w:szCs w:val="24"/>
              </w:rPr>
            </w:pPr>
            <w:r w:rsidRPr="00DC58B9">
              <w:rPr>
                <w:rFonts w:ascii="Arial" w:hAnsi="Arial" w:cs="Arial"/>
                <w:strike/>
                <w:sz w:val="24"/>
                <w:szCs w:val="24"/>
              </w:rPr>
              <w:t>96</w:t>
            </w:r>
          </w:p>
        </w:tc>
        <w:tc>
          <w:tcPr>
            <w:tcW w:w="2430" w:type="dxa"/>
            <w:noWrap/>
            <w:tcMar>
              <w:left w:w="115" w:type="dxa"/>
              <w:right w:w="115" w:type="dxa"/>
            </w:tcMar>
            <w:vAlign w:val="center"/>
            <w:hideMark/>
          </w:tcPr>
          <w:p w14:paraId="74204EB7" w14:textId="77777777" w:rsidR="00F32BBA" w:rsidRPr="00DC58B9" w:rsidRDefault="00F32BBA" w:rsidP="004662B9">
            <w:pPr>
              <w:keepNext/>
              <w:keepLines/>
              <w:jc w:val="center"/>
              <w:rPr>
                <w:rFonts w:ascii="Arial" w:hAnsi="Arial" w:cs="Arial"/>
                <w:strike/>
                <w:sz w:val="24"/>
                <w:szCs w:val="24"/>
              </w:rPr>
            </w:pPr>
            <w:r w:rsidRPr="00DC58B9">
              <w:rPr>
                <w:rFonts w:ascii="Arial" w:hAnsi="Arial" w:cs="Arial"/>
                <w:strike/>
                <w:sz w:val="24"/>
                <w:szCs w:val="24"/>
              </w:rPr>
              <w:t>1.3%</w:t>
            </w:r>
          </w:p>
        </w:tc>
        <w:tc>
          <w:tcPr>
            <w:tcW w:w="2399" w:type="dxa"/>
            <w:noWrap/>
            <w:tcMar>
              <w:left w:w="115" w:type="dxa"/>
              <w:right w:w="432" w:type="dxa"/>
            </w:tcMar>
            <w:vAlign w:val="center"/>
            <w:hideMark/>
          </w:tcPr>
          <w:p w14:paraId="1678A889" w14:textId="77777777" w:rsidR="00F32BBA" w:rsidRPr="00DC58B9" w:rsidRDefault="00F32BBA" w:rsidP="004662B9">
            <w:pPr>
              <w:keepNext/>
              <w:keepLines/>
              <w:jc w:val="right"/>
              <w:rPr>
                <w:rFonts w:ascii="Arial" w:hAnsi="Arial" w:cs="Arial"/>
                <w:strike/>
                <w:sz w:val="24"/>
                <w:szCs w:val="24"/>
              </w:rPr>
            </w:pPr>
            <w:r w:rsidRPr="00DC58B9">
              <w:rPr>
                <w:rFonts w:ascii="Arial" w:hAnsi="Arial" w:cs="Arial"/>
                <w:strike/>
                <w:sz w:val="24"/>
                <w:szCs w:val="24"/>
              </w:rPr>
              <w:t>$21,504</w:t>
            </w:r>
          </w:p>
          <w:p w14:paraId="2DE65288" w14:textId="77777777" w:rsidR="00F32BBA" w:rsidRPr="00DC58B9" w:rsidRDefault="00F32BBA" w:rsidP="004662B9">
            <w:pPr>
              <w:keepNext/>
              <w:keepLines/>
              <w:jc w:val="right"/>
              <w:rPr>
                <w:rFonts w:ascii="Arial" w:hAnsi="Arial" w:cs="Arial"/>
                <w:strike/>
                <w:sz w:val="24"/>
                <w:szCs w:val="24"/>
              </w:rPr>
            </w:pPr>
          </w:p>
        </w:tc>
      </w:tr>
      <w:tr w:rsidR="00F32BBA" w:rsidRPr="004662B9" w14:paraId="3A35A621" w14:textId="77777777" w:rsidTr="004662B9">
        <w:trPr>
          <w:trHeight w:hRule="exact" w:val="360"/>
          <w:jc w:val="center"/>
        </w:trPr>
        <w:tc>
          <w:tcPr>
            <w:tcW w:w="2335" w:type="dxa"/>
            <w:noWrap/>
            <w:vAlign w:val="center"/>
            <w:hideMark/>
          </w:tcPr>
          <w:p w14:paraId="26623E09" w14:textId="77777777" w:rsidR="00F32BBA" w:rsidRPr="00DC58B9" w:rsidRDefault="00F32BBA" w:rsidP="004662B9">
            <w:pPr>
              <w:spacing w:after="120"/>
              <w:rPr>
                <w:rFonts w:ascii="Arial" w:hAnsi="Arial" w:cs="Arial"/>
                <w:strike/>
                <w:sz w:val="24"/>
                <w:szCs w:val="24"/>
              </w:rPr>
            </w:pPr>
            <w:r w:rsidRPr="00DC58B9">
              <w:rPr>
                <w:rFonts w:ascii="Arial" w:hAnsi="Arial" w:cs="Arial"/>
                <w:strike/>
                <w:sz w:val="24"/>
                <w:szCs w:val="24"/>
              </w:rPr>
              <w:t>State</w:t>
            </w:r>
          </w:p>
        </w:tc>
        <w:tc>
          <w:tcPr>
            <w:tcW w:w="2520" w:type="dxa"/>
            <w:noWrap/>
            <w:tcMar>
              <w:left w:w="115" w:type="dxa"/>
              <w:right w:w="864" w:type="dxa"/>
            </w:tcMar>
            <w:vAlign w:val="center"/>
            <w:hideMark/>
          </w:tcPr>
          <w:p w14:paraId="21F2AD46" w14:textId="77777777" w:rsidR="00F32BBA" w:rsidRPr="00DC58B9" w:rsidRDefault="00F32BBA" w:rsidP="004662B9">
            <w:pPr>
              <w:jc w:val="right"/>
              <w:rPr>
                <w:rFonts w:ascii="Arial" w:hAnsi="Arial" w:cs="Arial"/>
                <w:strike/>
                <w:sz w:val="24"/>
                <w:szCs w:val="24"/>
              </w:rPr>
            </w:pPr>
            <w:r w:rsidRPr="00DC58B9">
              <w:rPr>
                <w:rFonts w:ascii="Arial" w:hAnsi="Arial" w:cs="Arial"/>
                <w:strike/>
                <w:sz w:val="24"/>
                <w:szCs w:val="24"/>
              </w:rPr>
              <w:t>92</w:t>
            </w:r>
          </w:p>
        </w:tc>
        <w:tc>
          <w:tcPr>
            <w:tcW w:w="2430" w:type="dxa"/>
            <w:noWrap/>
            <w:tcMar>
              <w:left w:w="115" w:type="dxa"/>
              <w:right w:w="115" w:type="dxa"/>
            </w:tcMar>
            <w:vAlign w:val="center"/>
            <w:hideMark/>
          </w:tcPr>
          <w:p w14:paraId="75EE0D46" w14:textId="77777777" w:rsidR="00F32BBA" w:rsidRPr="00DC58B9" w:rsidRDefault="00F32BBA" w:rsidP="004662B9">
            <w:pPr>
              <w:jc w:val="center"/>
              <w:rPr>
                <w:rFonts w:ascii="Arial" w:hAnsi="Arial" w:cs="Arial"/>
                <w:strike/>
                <w:sz w:val="24"/>
                <w:szCs w:val="24"/>
              </w:rPr>
            </w:pPr>
            <w:r w:rsidRPr="00DC58B9">
              <w:rPr>
                <w:rFonts w:ascii="Arial" w:hAnsi="Arial" w:cs="Arial"/>
                <w:strike/>
                <w:sz w:val="24"/>
                <w:szCs w:val="24"/>
              </w:rPr>
              <w:t>1.3%</w:t>
            </w:r>
          </w:p>
        </w:tc>
        <w:tc>
          <w:tcPr>
            <w:tcW w:w="2399" w:type="dxa"/>
            <w:noWrap/>
            <w:tcMar>
              <w:left w:w="115" w:type="dxa"/>
              <w:right w:w="432" w:type="dxa"/>
            </w:tcMar>
            <w:vAlign w:val="center"/>
            <w:hideMark/>
          </w:tcPr>
          <w:p w14:paraId="48803522" w14:textId="77777777" w:rsidR="00F32BBA" w:rsidRPr="00DC58B9" w:rsidRDefault="00F32BBA" w:rsidP="004662B9">
            <w:pPr>
              <w:jc w:val="right"/>
              <w:rPr>
                <w:rFonts w:ascii="Arial" w:hAnsi="Arial" w:cs="Arial"/>
                <w:strike/>
                <w:sz w:val="24"/>
                <w:szCs w:val="24"/>
              </w:rPr>
            </w:pPr>
            <w:r w:rsidRPr="00DC58B9">
              <w:rPr>
                <w:rFonts w:ascii="Arial" w:hAnsi="Arial" w:cs="Arial"/>
                <w:strike/>
                <w:sz w:val="24"/>
                <w:szCs w:val="24"/>
              </w:rPr>
              <w:t>$20,608</w:t>
            </w:r>
          </w:p>
          <w:p w14:paraId="7983392F" w14:textId="77777777" w:rsidR="00F32BBA" w:rsidRPr="00DC58B9" w:rsidRDefault="00F32BBA" w:rsidP="004662B9">
            <w:pPr>
              <w:jc w:val="right"/>
              <w:rPr>
                <w:rFonts w:ascii="Arial" w:hAnsi="Arial" w:cs="Arial"/>
                <w:strike/>
                <w:sz w:val="24"/>
                <w:szCs w:val="24"/>
              </w:rPr>
            </w:pPr>
          </w:p>
        </w:tc>
      </w:tr>
      <w:tr w:rsidR="00F32BBA" w:rsidRPr="004662B9" w14:paraId="45B20F16" w14:textId="77777777" w:rsidTr="004662B9">
        <w:trPr>
          <w:trHeight w:hRule="exact" w:val="360"/>
          <w:jc w:val="center"/>
        </w:trPr>
        <w:tc>
          <w:tcPr>
            <w:tcW w:w="2335" w:type="dxa"/>
            <w:noWrap/>
            <w:vAlign w:val="center"/>
            <w:hideMark/>
          </w:tcPr>
          <w:p w14:paraId="373302C0" w14:textId="77777777" w:rsidR="00F32BBA" w:rsidRPr="00DC58B9" w:rsidRDefault="00F32BBA" w:rsidP="004662B9">
            <w:pPr>
              <w:spacing w:after="120"/>
              <w:rPr>
                <w:rFonts w:ascii="Arial" w:hAnsi="Arial" w:cs="Arial"/>
                <w:strike/>
                <w:sz w:val="24"/>
                <w:szCs w:val="24"/>
              </w:rPr>
            </w:pPr>
            <w:r w:rsidRPr="00DC58B9">
              <w:rPr>
                <w:rFonts w:ascii="Arial" w:hAnsi="Arial" w:cs="Arial"/>
                <w:strike/>
                <w:sz w:val="24"/>
                <w:szCs w:val="24"/>
              </w:rPr>
              <w:t xml:space="preserve">Local </w:t>
            </w:r>
          </w:p>
        </w:tc>
        <w:tc>
          <w:tcPr>
            <w:tcW w:w="2520" w:type="dxa"/>
            <w:noWrap/>
            <w:tcMar>
              <w:left w:w="115" w:type="dxa"/>
              <w:right w:w="864" w:type="dxa"/>
            </w:tcMar>
            <w:vAlign w:val="center"/>
            <w:hideMark/>
          </w:tcPr>
          <w:p w14:paraId="3AFD5385" w14:textId="77777777" w:rsidR="00F32BBA" w:rsidRPr="00DC58B9" w:rsidRDefault="00F32BBA" w:rsidP="004662B9">
            <w:pPr>
              <w:jc w:val="right"/>
              <w:rPr>
                <w:rFonts w:ascii="Arial" w:hAnsi="Arial" w:cs="Arial"/>
                <w:strike/>
                <w:sz w:val="24"/>
                <w:szCs w:val="24"/>
              </w:rPr>
            </w:pPr>
            <w:r w:rsidRPr="00DC58B9">
              <w:rPr>
                <w:rFonts w:ascii="Arial" w:hAnsi="Arial" w:cs="Arial"/>
                <w:strike/>
                <w:sz w:val="24"/>
                <w:szCs w:val="24"/>
              </w:rPr>
              <w:t>3,735</w:t>
            </w:r>
          </w:p>
        </w:tc>
        <w:tc>
          <w:tcPr>
            <w:tcW w:w="2430" w:type="dxa"/>
            <w:noWrap/>
            <w:tcMar>
              <w:left w:w="115" w:type="dxa"/>
              <w:right w:w="115" w:type="dxa"/>
            </w:tcMar>
            <w:vAlign w:val="center"/>
            <w:hideMark/>
          </w:tcPr>
          <w:p w14:paraId="2379F201" w14:textId="77777777" w:rsidR="00F32BBA" w:rsidRPr="00DC58B9" w:rsidRDefault="00F32BBA" w:rsidP="004662B9">
            <w:pPr>
              <w:jc w:val="center"/>
              <w:rPr>
                <w:rFonts w:ascii="Arial" w:hAnsi="Arial" w:cs="Arial"/>
                <w:strike/>
                <w:sz w:val="24"/>
                <w:szCs w:val="24"/>
              </w:rPr>
            </w:pPr>
            <w:r w:rsidRPr="00DC58B9">
              <w:rPr>
                <w:rFonts w:ascii="Arial" w:hAnsi="Arial" w:cs="Arial"/>
                <w:strike/>
                <w:sz w:val="24"/>
                <w:szCs w:val="24"/>
              </w:rPr>
              <w:t>52%</w:t>
            </w:r>
          </w:p>
        </w:tc>
        <w:tc>
          <w:tcPr>
            <w:tcW w:w="2399" w:type="dxa"/>
            <w:noWrap/>
            <w:tcMar>
              <w:left w:w="115" w:type="dxa"/>
              <w:right w:w="432" w:type="dxa"/>
            </w:tcMar>
            <w:vAlign w:val="center"/>
            <w:hideMark/>
          </w:tcPr>
          <w:p w14:paraId="1845DE4B" w14:textId="77777777" w:rsidR="00F32BBA" w:rsidRPr="00DC58B9" w:rsidRDefault="00F32BBA" w:rsidP="004662B9">
            <w:pPr>
              <w:jc w:val="right"/>
              <w:rPr>
                <w:rFonts w:ascii="Arial" w:hAnsi="Arial" w:cs="Arial"/>
                <w:strike/>
                <w:sz w:val="24"/>
                <w:szCs w:val="24"/>
              </w:rPr>
            </w:pPr>
            <w:r w:rsidRPr="00DC58B9">
              <w:rPr>
                <w:rFonts w:ascii="Arial" w:hAnsi="Arial" w:cs="Arial"/>
                <w:strike/>
                <w:sz w:val="24"/>
                <w:szCs w:val="24"/>
              </w:rPr>
              <w:t>$836,640</w:t>
            </w:r>
          </w:p>
          <w:p w14:paraId="4B6D9320" w14:textId="77777777" w:rsidR="00F32BBA" w:rsidRPr="00DC58B9" w:rsidRDefault="00F32BBA" w:rsidP="004662B9">
            <w:pPr>
              <w:jc w:val="right"/>
              <w:rPr>
                <w:rFonts w:ascii="Arial" w:hAnsi="Arial" w:cs="Arial"/>
                <w:strike/>
                <w:sz w:val="24"/>
                <w:szCs w:val="24"/>
              </w:rPr>
            </w:pPr>
          </w:p>
        </w:tc>
      </w:tr>
      <w:tr w:rsidR="00F32BBA" w:rsidRPr="004662B9" w14:paraId="46003546" w14:textId="77777777" w:rsidTr="004662B9">
        <w:trPr>
          <w:trHeight w:hRule="exact" w:val="360"/>
          <w:jc w:val="center"/>
        </w:trPr>
        <w:tc>
          <w:tcPr>
            <w:tcW w:w="2335" w:type="dxa"/>
            <w:noWrap/>
            <w:vAlign w:val="center"/>
            <w:hideMark/>
          </w:tcPr>
          <w:p w14:paraId="5AF99E60" w14:textId="77777777" w:rsidR="00F32BBA" w:rsidRPr="00DC58B9" w:rsidRDefault="00F32BBA" w:rsidP="004662B9">
            <w:pPr>
              <w:spacing w:after="120"/>
              <w:rPr>
                <w:rFonts w:ascii="Arial" w:hAnsi="Arial" w:cs="Arial"/>
                <w:strike/>
                <w:sz w:val="24"/>
                <w:szCs w:val="24"/>
              </w:rPr>
            </w:pPr>
            <w:r w:rsidRPr="00DC58B9">
              <w:rPr>
                <w:rFonts w:ascii="Arial" w:hAnsi="Arial" w:cs="Arial"/>
                <w:strike/>
                <w:sz w:val="24"/>
                <w:szCs w:val="24"/>
              </w:rPr>
              <w:t>Private</w:t>
            </w:r>
          </w:p>
        </w:tc>
        <w:tc>
          <w:tcPr>
            <w:tcW w:w="2520" w:type="dxa"/>
            <w:noWrap/>
            <w:tcMar>
              <w:left w:w="115" w:type="dxa"/>
              <w:right w:w="864" w:type="dxa"/>
            </w:tcMar>
            <w:vAlign w:val="center"/>
            <w:hideMark/>
          </w:tcPr>
          <w:p w14:paraId="353DAB7B" w14:textId="77777777" w:rsidR="00F32BBA" w:rsidRPr="00DC58B9" w:rsidRDefault="00F32BBA" w:rsidP="004662B9">
            <w:pPr>
              <w:jc w:val="right"/>
              <w:rPr>
                <w:rFonts w:ascii="Arial" w:hAnsi="Arial" w:cs="Arial"/>
                <w:strike/>
                <w:sz w:val="24"/>
                <w:szCs w:val="24"/>
              </w:rPr>
            </w:pPr>
            <w:r w:rsidRPr="00DC58B9">
              <w:rPr>
                <w:rFonts w:ascii="Arial" w:hAnsi="Arial" w:cs="Arial"/>
                <w:strike/>
                <w:sz w:val="24"/>
                <w:szCs w:val="24"/>
              </w:rPr>
              <w:t>3,257</w:t>
            </w:r>
          </w:p>
        </w:tc>
        <w:tc>
          <w:tcPr>
            <w:tcW w:w="2430" w:type="dxa"/>
            <w:noWrap/>
            <w:tcMar>
              <w:left w:w="115" w:type="dxa"/>
              <w:right w:w="115" w:type="dxa"/>
            </w:tcMar>
            <w:vAlign w:val="center"/>
            <w:hideMark/>
          </w:tcPr>
          <w:p w14:paraId="19E86906" w14:textId="77777777" w:rsidR="00F32BBA" w:rsidRPr="00DC58B9" w:rsidRDefault="00F32BBA" w:rsidP="004662B9">
            <w:pPr>
              <w:jc w:val="center"/>
              <w:rPr>
                <w:rFonts w:ascii="Arial" w:hAnsi="Arial" w:cs="Arial"/>
                <w:strike/>
                <w:sz w:val="24"/>
                <w:szCs w:val="24"/>
              </w:rPr>
            </w:pPr>
            <w:r w:rsidRPr="00DC58B9">
              <w:rPr>
                <w:rFonts w:ascii="Arial" w:hAnsi="Arial" w:cs="Arial"/>
                <w:strike/>
                <w:sz w:val="24"/>
                <w:szCs w:val="24"/>
              </w:rPr>
              <w:t>45%</w:t>
            </w:r>
          </w:p>
        </w:tc>
        <w:tc>
          <w:tcPr>
            <w:tcW w:w="2399" w:type="dxa"/>
            <w:noWrap/>
            <w:tcMar>
              <w:left w:w="115" w:type="dxa"/>
              <w:right w:w="432" w:type="dxa"/>
            </w:tcMar>
            <w:vAlign w:val="center"/>
            <w:hideMark/>
          </w:tcPr>
          <w:p w14:paraId="0411CEC5" w14:textId="77777777" w:rsidR="00F32BBA" w:rsidRPr="00DC58B9" w:rsidRDefault="00F32BBA" w:rsidP="004662B9">
            <w:pPr>
              <w:jc w:val="right"/>
              <w:rPr>
                <w:rFonts w:ascii="Arial" w:hAnsi="Arial" w:cs="Arial"/>
                <w:strike/>
                <w:sz w:val="24"/>
                <w:szCs w:val="24"/>
              </w:rPr>
            </w:pPr>
            <w:r w:rsidRPr="00DC58B9">
              <w:rPr>
                <w:rFonts w:ascii="Arial" w:hAnsi="Arial" w:cs="Arial"/>
                <w:strike/>
                <w:sz w:val="24"/>
                <w:szCs w:val="24"/>
              </w:rPr>
              <w:t>$729,568</w:t>
            </w:r>
          </w:p>
          <w:p w14:paraId="3A3608E6" w14:textId="77777777" w:rsidR="00F32BBA" w:rsidRPr="00DC58B9" w:rsidRDefault="00F32BBA" w:rsidP="004662B9">
            <w:pPr>
              <w:jc w:val="right"/>
              <w:rPr>
                <w:rFonts w:ascii="Arial" w:hAnsi="Arial" w:cs="Arial"/>
                <w:strike/>
                <w:sz w:val="24"/>
                <w:szCs w:val="24"/>
              </w:rPr>
            </w:pPr>
          </w:p>
        </w:tc>
      </w:tr>
      <w:tr w:rsidR="00F32BBA" w:rsidRPr="004662B9" w14:paraId="6F64E3A7" w14:textId="77777777" w:rsidTr="004662B9">
        <w:trPr>
          <w:trHeight w:hRule="exact" w:val="775"/>
          <w:jc w:val="center"/>
        </w:trPr>
        <w:tc>
          <w:tcPr>
            <w:tcW w:w="2335" w:type="dxa"/>
            <w:noWrap/>
            <w:vAlign w:val="center"/>
            <w:hideMark/>
          </w:tcPr>
          <w:p w14:paraId="1108907B" w14:textId="77777777" w:rsidR="00F32BBA" w:rsidRPr="00DC58B9" w:rsidRDefault="00F32BBA" w:rsidP="004662B9">
            <w:pPr>
              <w:spacing w:after="120"/>
              <w:rPr>
                <w:rFonts w:ascii="Arial" w:hAnsi="Arial" w:cs="Arial"/>
                <w:strike/>
                <w:sz w:val="24"/>
                <w:szCs w:val="24"/>
              </w:rPr>
            </w:pPr>
            <w:r w:rsidRPr="00DC58B9">
              <w:rPr>
                <w:rFonts w:ascii="Arial" w:hAnsi="Arial" w:cs="Arial"/>
                <w:strike/>
                <w:sz w:val="24"/>
                <w:szCs w:val="24"/>
              </w:rPr>
              <w:t>Mixed</w:t>
            </w:r>
            <w:r w:rsidRPr="00DC58B9">
              <w:rPr>
                <w:rFonts w:ascii="Arial" w:hAnsi="Arial" w:cs="Arial"/>
                <w:strike/>
                <w:sz w:val="24"/>
                <w:szCs w:val="24"/>
              </w:rPr>
              <w:br/>
              <w:t>(Private/Public)</w:t>
            </w:r>
          </w:p>
        </w:tc>
        <w:tc>
          <w:tcPr>
            <w:tcW w:w="2520" w:type="dxa"/>
            <w:noWrap/>
            <w:tcMar>
              <w:left w:w="115" w:type="dxa"/>
              <w:right w:w="864" w:type="dxa"/>
            </w:tcMar>
            <w:vAlign w:val="center"/>
            <w:hideMark/>
          </w:tcPr>
          <w:p w14:paraId="109B6E31" w14:textId="77777777" w:rsidR="00F32BBA" w:rsidRPr="00DC58B9" w:rsidRDefault="00F32BBA" w:rsidP="004662B9">
            <w:pPr>
              <w:jc w:val="right"/>
              <w:rPr>
                <w:rFonts w:ascii="Arial" w:hAnsi="Arial" w:cs="Arial"/>
                <w:strike/>
                <w:sz w:val="24"/>
                <w:szCs w:val="24"/>
              </w:rPr>
            </w:pPr>
            <w:r w:rsidRPr="00DC58B9">
              <w:rPr>
                <w:rFonts w:ascii="Arial" w:hAnsi="Arial" w:cs="Arial"/>
                <w:strike/>
                <w:sz w:val="24"/>
                <w:szCs w:val="24"/>
              </w:rPr>
              <w:t>5</w:t>
            </w:r>
          </w:p>
        </w:tc>
        <w:tc>
          <w:tcPr>
            <w:tcW w:w="2430" w:type="dxa"/>
            <w:noWrap/>
            <w:tcMar>
              <w:left w:w="115" w:type="dxa"/>
              <w:right w:w="115" w:type="dxa"/>
            </w:tcMar>
            <w:vAlign w:val="center"/>
            <w:hideMark/>
          </w:tcPr>
          <w:p w14:paraId="35DF076C" w14:textId="77777777" w:rsidR="00F32BBA" w:rsidRPr="00DC58B9" w:rsidRDefault="00F32BBA" w:rsidP="004662B9">
            <w:pPr>
              <w:jc w:val="center"/>
              <w:rPr>
                <w:rFonts w:ascii="Arial" w:hAnsi="Arial" w:cs="Arial"/>
                <w:strike/>
                <w:sz w:val="24"/>
                <w:szCs w:val="24"/>
              </w:rPr>
            </w:pPr>
            <w:r w:rsidRPr="00DC58B9">
              <w:rPr>
                <w:rFonts w:ascii="Arial" w:hAnsi="Arial" w:cs="Arial"/>
                <w:strike/>
                <w:sz w:val="24"/>
                <w:szCs w:val="24"/>
              </w:rPr>
              <w:t>0.1%</w:t>
            </w:r>
          </w:p>
        </w:tc>
        <w:tc>
          <w:tcPr>
            <w:tcW w:w="2399" w:type="dxa"/>
            <w:noWrap/>
            <w:tcMar>
              <w:left w:w="115" w:type="dxa"/>
              <w:right w:w="432" w:type="dxa"/>
            </w:tcMar>
            <w:vAlign w:val="center"/>
            <w:hideMark/>
          </w:tcPr>
          <w:p w14:paraId="482C87DC" w14:textId="77777777" w:rsidR="00F32BBA" w:rsidRPr="00DC58B9" w:rsidRDefault="00F32BBA" w:rsidP="004662B9">
            <w:pPr>
              <w:jc w:val="right"/>
              <w:rPr>
                <w:rFonts w:ascii="Arial" w:hAnsi="Arial" w:cs="Arial"/>
                <w:strike/>
                <w:sz w:val="24"/>
                <w:szCs w:val="24"/>
              </w:rPr>
            </w:pPr>
            <w:r w:rsidRPr="00DC58B9">
              <w:rPr>
                <w:rFonts w:ascii="Arial" w:hAnsi="Arial" w:cs="Arial"/>
                <w:strike/>
                <w:sz w:val="24"/>
                <w:szCs w:val="24"/>
              </w:rPr>
              <w:t>$1,120</w:t>
            </w:r>
          </w:p>
        </w:tc>
      </w:tr>
      <w:tr w:rsidR="00F32BBA" w:rsidRPr="004662B9" w14:paraId="2ABE3555" w14:textId="77777777" w:rsidTr="004662B9">
        <w:trPr>
          <w:trHeight w:hRule="exact" w:val="712"/>
          <w:jc w:val="center"/>
        </w:trPr>
        <w:tc>
          <w:tcPr>
            <w:tcW w:w="2335" w:type="dxa"/>
            <w:noWrap/>
            <w:vAlign w:val="center"/>
            <w:hideMark/>
          </w:tcPr>
          <w:p w14:paraId="0C7E6A9E" w14:textId="77777777" w:rsidR="00F32BBA" w:rsidRPr="00DC58B9" w:rsidRDefault="00F32BBA" w:rsidP="004662B9">
            <w:pPr>
              <w:spacing w:after="120"/>
              <w:rPr>
                <w:rFonts w:ascii="Arial" w:hAnsi="Arial" w:cs="Arial"/>
                <w:strike/>
                <w:sz w:val="24"/>
                <w:szCs w:val="24"/>
              </w:rPr>
            </w:pPr>
            <w:r w:rsidRPr="00DC58B9">
              <w:rPr>
                <w:rFonts w:ascii="Arial" w:hAnsi="Arial" w:cs="Arial"/>
                <w:strike/>
                <w:sz w:val="24"/>
                <w:szCs w:val="24"/>
              </w:rPr>
              <w:t xml:space="preserve">Blank </w:t>
            </w:r>
            <w:r w:rsidRPr="00DC58B9">
              <w:rPr>
                <w:rFonts w:ascii="Arial" w:hAnsi="Arial" w:cs="Arial"/>
                <w:strike/>
                <w:sz w:val="24"/>
                <w:szCs w:val="24"/>
              </w:rPr>
              <w:br/>
              <w:t>(Not Designated)</w:t>
            </w:r>
          </w:p>
        </w:tc>
        <w:tc>
          <w:tcPr>
            <w:tcW w:w="2520" w:type="dxa"/>
            <w:noWrap/>
            <w:tcMar>
              <w:left w:w="115" w:type="dxa"/>
              <w:right w:w="864" w:type="dxa"/>
            </w:tcMar>
            <w:vAlign w:val="center"/>
            <w:hideMark/>
          </w:tcPr>
          <w:p w14:paraId="68CCE711" w14:textId="77777777" w:rsidR="00F32BBA" w:rsidRPr="00DC58B9" w:rsidRDefault="00F32BBA" w:rsidP="004662B9">
            <w:pPr>
              <w:jc w:val="right"/>
              <w:rPr>
                <w:rFonts w:ascii="Arial" w:hAnsi="Arial" w:cs="Arial"/>
                <w:strike/>
                <w:sz w:val="24"/>
                <w:szCs w:val="24"/>
              </w:rPr>
            </w:pPr>
            <w:r w:rsidRPr="00DC58B9">
              <w:rPr>
                <w:rFonts w:ascii="Arial" w:hAnsi="Arial" w:cs="Arial"/>
                <w:strike/>
                <w:sz w:val="24"/>
                <w:szCs w:val="24"/>
              </w:rPr>
              <w:t>9</w:t>
            </w:r>
          </w:p>
        </w:tc>
        <w:tc>
          <w:tcPr>
            <w:tcW w:w="2430" w:type="dxa"/>
            <w:noWrap/>
            <w:tcMar>
              <w:left w:w="115" w:type="dxa"/>
              <w:right w:w="115" w:type="dxa"/>
            </w:tcMar>
            <w:vAlign w:val="center"/>
            <w:hideMark/>
          </w:tcPr>
          <w:p w14:paraId="17C975CF" w14:textId="77777777" w:rsidR="00F32BBA" w:rsidRPr="00DC58B9" w:rsidRDefault="00F32BBA" w:rsidP="004662B9">
            <w:pPr>
              <w:jc w:val="center"/>
              <w:rPr>
                <w:rFonts w:ascii="Arial" w:hAnsi="Arial" w:cs="Arial"/>
                <w:strike/>
                <w:sz w:val="24"/>
                <w:szCs w:val="24"/>
              </w:rPr>
            </w:pPr>
            <w:r w:rsidRPr="00DC58B9">
              <w:rPr>
                <w:rFonts w:ascii="Arial" w:hAnsi="Arial" w:cs="Arial"/>
                <w:strike/>
                <w:sz w:val="24"/>
                <w:szCs w:val="24"/>
              </w:rPr>
              <w:t>0.1%</w:t>
            </w:r>
          </w:p>
        </w:tc>
        <w:tc>
          <w:tcPr>
            <w:tcW w:w="2399" w:type="dxa"/>
            <w:noWrap/>
            <w:tcMar>
              <w:left w:w="115" w:type="dxa"/>
              <w:right w:w="432" w:type="dxa"/>
            </w:tcMar>
            <w:vAlign w:val="center"/>
            <w:hideMark/>
          </w:tcPr>
          <w:p w14:paraId="26B938A1" w14:textId="77777777" w:rsidR="00F32BBA" w:rsidRPr="00DC58B9" w:rsidRDefault="00F32BBA" w:rsidP="004662B9">
            <w:pPr>
              <w:jc w:val="right"/>
              <w:rPr>
                <w:rFonts w:ascii="Arial" w:hAnsi="Arial" w:cs="Arial"/>
                <w:strike/>
                <w:sz w:val="24"/>
                <w:szCs w:val="24"/>
              </w:rPr>
            </w:pPr>
            <w:r w:rsidRPr="00DC58B9">
              <w:rPr>
                <w:rFonts w:ascii="Arial" w:hAnsi="Arial" w:cs="Arial"/>
                <w:strike/>
                <w:sz w:val="24"/>
                <w:szCs w:val="24"/>
              </w:rPr>
              <w:t>$2,016</w:t>
            </w:r>
          </w:p>
        </w:tc>
      </w:tr>
      <w:tr w:rsidR="00F32BBA" w:rsidRPr="004662B9" w14:paraId="2092D6AD" w14:textId="77777777" w:rsidTr="004662B9">
        <w:trPr>
          <w:trHeight w:hRule="exact" w:val="360"/>
          <w:jc w:val="center"/>
        </w:trPr>
        <w:tc>
          <w:tcPr>
            <w:tcW w:w="2335" w:type="dxa"/>
            <w:noWrap/>
            <w:vAlign w:val="center"/>
            <w:hideMark/>
          </w:tcPr>
          <w:p w14:paraId="5E10C43C" w14:textId="77777777" w:rsidR="00F32BBA" w:rsidRPr="00DC58B9" w:rsidRDefault="00F32BBA" w:rsidP="004662B9">
            <w:pPr>
              <w:jc w:val="right"/>
              <w:rPr>
                <w:rFonts w:ascii="Arial" w:hAnsi="Arial" w:cs="Arial"/>
                <w:strike/>
                <w:sz w:val="24"/>
                <w:szCs w:val="24"/>
              </w:rPr>
            </w:pPr>
            <w:r w:rsidRPr="00DC58B9">
              <w:rPr>
                <w:rFonts w:ascii="Arial" w:hAnsi="Arial" w:cs="Arial"/>
                <w:strike/>
                <w:sz w:val="24"/>
                <w:szCs w:val="24"/>
              </w:rPr>
              <w:t>Totals:</w:t>
            </w:r>
          </w:p>
        </w:tc>
        <w:tc>
          <w:tcPr>
            <w:tcW w:w="2520" w:type="dxa"/>
            <w:noWrap/>
            <w:tcMar>
              <w:left w:w="115" w:type="dxa"/>
              <w:right w:w="864" w:type="dxa"/>
            </w:tcMar>
            <w:vAlign w:val="center"/>
            <w:hideMark/>
          </w:tcPr>
          <w:p w14:paraId="44452124" w14:textId="77777777" w:rsidR="00F32BBA" w:rsidRPr="00DC58B9" w:rsidRDefault="00F32BBA" w:rsidP="004662B9">
            <w:pPr>
              <w:jc w:val="right"/>
              <w:rPr>
                <w:rFonts w:ascii="Arial" w:hAnsi="Arial" w:cs="Arial"/>
                <w:strike/>
                <w:sz w:val="24"/>
                <w:szCs w:val="24"/>
              </w:rPr>
            </w:pPr>
            <w:r w:rsidRPr="00DC58B9">
              <w:rPr>
                <w:rFonts w:ascii="Arial" w:hAnsi="Arial" w:cs="Arial"/>
                <w:strike/>
                <w:sz w:val="24"/>
                <w:szCs w:val="24"/>
              </w:rPr>
              <w:t>7,194</w:t>
            </w:r>
          </w:p>
        </w:tc>
        <w:tc>
          <w:tcPr>
            <w:tcW w:w="2430" w:type="dxa"/>
            <w:noWrap/>
            <w:tcMar>
              <w:left w:w="115" w:type="dxa"/>
              <w:right w:w="720" w:type="dxa"/>
            </w:tcMar>
            <w:vAlign w:val="center"/>
            <w:hideMark/>
          </w:tcPr>
          <w:p w14:paraId="2B1538C6" w14:textId="77777777" w:rsidR="00F32BBA" w:rsidRPr="00DC58B9" w:rsidRDefault="00F32BBA" w:rsidP="004662B9">
            <w:pPr>
              <w:jc w:val="right"/>
              <w:rPr>
                <w:rFonts w:ascii="Arial" w:hAnsi="Arial" w:cs="Arial"/>
                <w:strike/>
                <w:sz w:val="24"/>
                <w:szCs w:val="24"/>
              </w:rPr>
            </w:pPr>
            <w:r w:rsidRPr="00DC58B9">
              <w:rPr>
                <w:rFonts w:ascii="Arial" w:hAnsi="Arial" w:cs="Arial"/>
                <w:strike/>
                <w:sz w:val="24"/>
                <w:szCs w:val="24"/>
              </w:rPr>
              <w:t>100%</w:t>
            </w:r>
          </w:p>
        </w:tc>
        <w:tc>
          <w:tcPr>
            <w:tcW w:w="2399" w:type="dxa"/>
            <w:noWrap/>
            <w:tcMar>
              <w:left w:w="115" w:type="dxa"/>
              <w:right w:w="432" w:type="dxa"/>
            </w:tcMar>
            <w:vAlign w:val="center"/>
            <w:hideMark/>
          </w:tcPr>
          <w:p w14:paraId="682FBD79" w14:textId="77777777" w:rsidR="00F32BBA" w:rsidRPr="00DC58B9" w:rsidRDefault="00F32BBA" w:rsidP="004662B9">
            <w:pPr>
              <w:jc w:val="right"/>
              <w:rPr>
                <w:rFonts w:ascii="Arial" w:hAnsi="Arial" w:cs="Arial"/>
                <w:strike/>
                <w:sz w:val="24"/>
                <w:szCs w:val="24"/>
              </w:rPr>
            </w:pPr>
            <w:r w:rsidRPr="00DC58B9">
              <w:rPr>
                <w:rFonts w:ascii="Arial" w:hAnsi="Arial" w:cs="Arial"/>
                <w:strike/>
                <w:sz w:val="24"/>
                <w:szCs w:val="24"/>
              </w:rPr>
              <w:t>$1,611,456</w:t>
            </w:r>
          </w:p>
          <w:p w14:paraId="0A84B7FB" w14:textId="77777777" w:rsidR="00F32BBA" w:rsidRPr="00DC58B9" w:rsidRDefault="00F32BBA" w:rsidP="004662B9">
            <w:pPr>
              <w:jc w:val="right"/>
              <w:rPr>
                <w:rFonts w:ascii="Arial" w:hAnsi="Arial" w:cs="Arial"/>
                <w:strike/>
                <w:sz w:val="24"/>
                <w:szCs w:val="24"/>
              </w:rPr>
            </w:pPr>
          </w:p>
        </w:tc>
      </w:tr>
    </w:tbl>
    <w:p w14:paraId="3C42710E" w14:textId="08B1B0AE" w:rsidR="00F32BBA" w:rsidRDefault="00F32BBA" w:rsidP="00F32BBA">
      <w:pPr>
        <w:pStyle w:val="BodyText"/>
        <w:tabs>
          <w:tab w:val="clear" w:pos="720"/>
        </w:tabs>
        <w:rPr>
          <w:sz w:val="24"/>
          <w:szCs w:val="24"/>
        </w:rPr>
      </w:pPr>
    </w:p>
    <w:p w14:paraId="0F392B67" w14:textId="3F0E462B" w:rsidR="004662B9" w:rsidRPr="00DC58B9" w:rsidRDefault="004662B9" w:rsidP="004662B9">
      <w:pPr>
        <w:pStyle w:val="Caption"/>
        <w:keepNext/>
        <w:keepLines/>
        <w:spacing w:after="120"/>
        <w:rPr>
          <w:rFonts w:ascii="Arial" w:hAnsi="Arial" w:cs="Arial"/>
          <w:color w:val="auto"/>
          <w:sz w:val="24"/>
          <w:szCs w:val="24"/>
          <w:u w:val="single"/>
        </w:rPr>
      </w:pPr>
      <w:r w:rsidRPr="00DC58B9">
        <w:rPr>
          <w:rFonts w:ascii="Arial" w:hAnsi="Arial" w:cs="Arial"/>
          <w:color w:val="auto"/>
          <w:sz w:val="24"/>
          <w:szCs w:val="24"/>
          <w:u w:val="single"/>
        </w:rPr>
        <w:t xml:space="preserve">Table </w:t>
      </w:r>
      <w:r w:rsidRPr="00DC58B9">
        <w:rPr>
          <w:rFonts w:ascii="Arial" w:hAnsi="Arial" w:cs="Arial"/>
          <w:color w:val="auto"/>
          <w:sz w:val="24"/>
          <w:szCs w:val="24"/>
          <w:u w:val="single"/>
        </w:rPr>
        <w:fldChar w:fldCharType="begin"/>
      </w:r>
      <w:r w:rsidRPr="00DC58B9">
        <w:rPr>
          <w:rFonts w:ascii="Arial" w:hAnsi="Arial" w:cs="Arial"/>
          <w:color w:val="auto"/>
          <w:sz w:val="24"/>
          <w:szCs w:val="24"/>
          <w:u w:val="single"/>
        </w:rPr>
        <w:instrText xml:space="preserve"> SEQ Table \* ARABIC </w:instrText>
      </w:r>
      <w:r w:rsidRPr="00DC58B9">
        <w:rPr>
          <w:rFonts w:ascii="Arial" w:hAnsi="Arial" w:cs="Arial"/>
          <w:color w:val="auto"/>
          <w:sz w:val="24"/>
          <w:szCs w:val="24"/>
          <w:u w:val="single"/>
        </w:rPr>
        <w:fldChar w:fldCharType="separate"/>
      </w:r>
      <w:r w:rsidR="00F64B18">
        <w:rPr>
          <w:rFonts w:ascii="Arial" w:hAnsi="Arial" w:cs="Arial"/>
          <w:noProof/>
          <w:color w:val="auto"/>
          <w:sz w:val="24"/>
          <w:szCs w:val="24"/>
          <w:u w:val="single"/>
        </w:rPr>
        <w:t>4</w:t>
      </w:r>
      <w:r w:rsidRPr="00DC58B9">
        <w:rPr>
          <w:rFonts w:ascii="Arial" w:hAnsi="Arial" w:cs="Arial"/>
          <w:color w:val="auto"/>
          <w:sz w:val="24"/>
          <w:szCs w:val="24"/>
          <w:u w:val="single"/>
        </w:rPr>
        <w:fldChar w:fldCharType="end"/>
      </w:r>
      <w:r w:rsidRPr="00DC58B9">
        <w:rPr>
          <w:rFonts w:ascii="Arial" w:hAnsi="Arial" w:cs="Arial"/>
          <w:color w:val="auto"/>
          <w:sz w:val="24"/>
          <w:szCs w:val="24"/>
          <w:u w:val="single"/>
        </w:rPr>
        <w:t xml:space="preserve"> – Highest Annual Statewide Costs for Perchlorate Monitoring Based on System Ownership for Phase I and Phase II</w:t>
      </w:r>
    </w:p>
    <w:tbl>
      <w:tblPr>
        <w:tblStyle w:val="TableGrid"/>
        <w:tblW w:w="10222" w:type="dxa"/>
        <w:jc w:val="center"/>
        <w:tblLook w:val="04A0" w:firstRow="1" w:lastRow="0" w:firstColumn="1" w:lastColumn="0" w:noHBand="0" w:noVBand="1"/>
      </w:tblPr>
      <w:tblGrid>
        <w:gridCol w:w="1951"/>
        <w:gridCol w:w="1605"/>
        <w:gridCol w:w="2100"/>
        <w:gridCol w:w="2436"/>
        <w:gridCol w:w="2130"/>
      </w:tblGrid>
      <w:tr w:rsidR="004662B9" w:rsidRPr="004662B9" w14:paraId="2D8D0DE0" w14:textId="77777777" w:rsidTr="004662B9">
        <w:trPr>
          <w:trHeight w:val="304"/>
          <w:tblHeader/>
          <w:jc w:val="center"/>
        </w:trPr>
        <w:tc>
          <w:tcPr>
            <w:tcW w:w="1951" w:type="dxa"/>
            <w:noWrap/>
            <w:vAlign w:val="center"/>
            <w:hideMark/>
          </w:tcPr>
          <w:p w14:paraId="1F42BE73" w14:textId="77777777" w:rsidR="004662B9" w:rsidRPr="00DC58B9" w:rsidRDefault="004662B9" w:rsidP="004662B9">
            <w:pPr>
              <w:keepNext/>
              <w:keepLines/>
              <w:spacing w:before="60" w:after="60"/>
              <w:jc w:val="center"/>
              <w:rPr>
                <w:rFonts w:ascii="Arial" w:hAnsi="Arial" w:cs="Arial"/>
                <w:sz w:val="24"/>
                <w:szCs w:val="24"/>
                <w:u w:val="single"/>
              </w:rPr>
            </w:pPr>
            <w:r w:rsidRPr="00DC58B9">
              <w:rPr>
                <w:rFonts w:ascii="Arial" w:hAnsi="Arial" w:cs="Arial"/>
                <w:sz w:val="24"/>
                <w:szCs w:val="24"/>
                <w:u w:val="single"/>
              </w:rPr>
              <w:t>System Ownership</w:t>
            </w:r>
          </w:p>
        </w:tc>
        <w:tc>
          <w:tcPr>
            <w:tcW w:w="1605" w:type="dxa"/>
            <w:noWrap/>
            <w:vAlign w:val="center"/>
            <w:hideMark/>
          </w:tcPr>
          <w:p w14:paraId="5E9105D0" w14:textId="77777777" w:rsidR="004662B9" w:rsidRPr="00DC58B9" w:rsidRDefault="004662B9" w:rsidP="004662B9">
            <w:pPr>
              <w:keepNext/>
              <w:keepLines/>
              <w:spacing w:before="60" w:after="60"/>
              <w:jc w:val="center"/>
              <w:rPr>
                <w:rFonts w:ascii="Arial" w:hAnsi="Arial" w:cs="Arial"/>
                <w:sz w:val="24"/>
                <w:szCs w:val="24"/>
                <w:u w:val="single"/>
              </w:rPr>
            </w:pPr>
            <w:r w:rsidRPr="00DC58B9">
              <w:rPr>
                <w:rFonts w:ascii="Arial" w:hAnsi="Arial" w:cs="Arial"/>
                <w:sz w:val="24"/>
                <w:szCs w:val="24"/>
                <w:u w:val="single"/>
              </w:rPr>
              <w:t>Number of Affected Sources</w:t>
            </w:r>
          </w:p>
        </w:tc>
        <w:tc>
          <w:tcPr>
            <w:tcW w:w="2100" w:type="dxa"/>
            <w:noWrap/>
            <w:vAlign w:val="center"/>
            <w:hideMark/>
          </w:tcPr>
          <w:p w14:paraId="7C98D3B3" w14:textId="77777777" w:rsidR="004662B9" w:rsidRPr="00DC58B9" w:rsidRDefault="004662B9" w:rsidP="004662B9">
            <w:pPr>
              <w:keepNext/>
              <w:keepLines/>
              <w:spacing w:before="60" w:after="60"/>
              <w:jc w:val="center"/>
              <w:rPr>
                <w:rFonts w:ascii="Arial" w:hAnsi="Arial" w:cs="Arial"/>
                <w:sz w:val="24"/>
                <w:szCs w:val="24"/>
                <w:u w:val="single"/>
              </w:rPr>
            </w:pPr>
            <w:r w:rsidRPr="00DC58B9">
              <w:rPr>
                <w:rFonts w:ascii="Arial" w:hAnsi="Arial" w:cs="Arial"/>
                <w:sz w:val="24"/>
                <w:szCs w:val="24"/>
                <w:u w:val="single"/>
              </w:rPr>
              <w:t>% of All Affected Sources</w:t>
            </w:r>
          </w:p>
        </w:tc>
        <w:tc>
          <w:tcPr>
            <w:tcW w:w="2436" w:type="dxa"/>
            <w:noWrap/>
            <w:vAlign w:val="center"/>
            <w:hideMark/>
          </w:tcPr>
          <w:p w14:paraId="0DFE83C0" w14:textId="77777777" w:rsidR="004662B9" w:rsidRPr="00DC58B9" w:rsidRDefault="004662B9" w:rsidP="004662B9">
            <w:pPr>
              <w:keepNext/>
              <w:keepLines/>
              <w:spacing w:before="60" w:after="60"/>
              <w:jc w:val="center"/>
              <w:rPr>
                <w:rFonts w:ascii="Arial" w:hAnsi="Arial" w:cs="Arial"/>
                <w:sz w:val="24"/>
                <w:szCs w:val="24"/>
                <w:u w:val="single"/>
              </w:rPr>
            </w:pPr>
            <w:r w:rsidRPr="00DC58B9">
              <w:rPr>
                <w:rFonts w:ascii="Arial" w:hAnsi="Arial" w:cs="Arial"/>
                <w:sz w:val="24"/>
                <w:szCs w:val="24"/>
                <w:u w:val="single"/>
              </w:rPr>
              <w:t>Phase I Cost</w:t>
            </w:r>
          </w:p>
          <w:p w14:paraId="78110AD4" w14:textId="77777777" w:rsidR="004662B9" w:rsidRPr="00DC58B9" w:rsidRDefault="004662B9" w:rsidP="004662B9">
            <w:pPr>
              <w:keepNext/>
              <w:keepLines/>
              <w:spacing w:before="60" w:after="60"/>
              <w:jc w:val="center"/>
              <w:rPr>
                <w:rFonts w:ascii="Arial" w:hAnsi="Arial" w:cs="Arial"/>
                <w:sz w:val="24"/>
                <w:szCs w:val="24"/>
                <w:u w:val="single"/>
              </w:rPr>
            </w:pPr>
            <w:r w:rsidRPr="00DC58B9">
              <w:rPr>
                <w:rFonts w:ascii="Arial" w:hAnsi="Arial" w:cs="Arial"/>
                <w:sz w:val="24"/>
                <w:szCs w:val="24"/>
                <w:u w:val="single"/>
              </w:rPr>
              <w:t>(January 1, 2021- December 31, 2023)</w:t>
            </w:r>
            <w:r w:rsidRPr="00DC58B9">
              <w:rPr>
                <w:rFonts w:ascii="Arial" w:hAnsi="Arial" w:cs="Arial"/>
                <w:sz w:val="24"/>
                <w:szCs w:val="24"/>
                <w:u w:val="single"/>
              </w:rPr>
              <w:br/>
            </w:r>
          </w:p>
        </w:tc>
        <w:tc>
          <w:tcPr>
            <w:tcW w:w="2130" w:type="dxa"/>
          </w:tcPr>
          <w:p w14:paraId="40D95C0E" w14:textId="77777777" w:rsidR="004662B9" w:rsidRPr="00DC58B9" w:rsidRDefault="004662B9" w:rsidP="004662B9">
            <w:pPr>
              <w:keepNext/>
              <w:keepLines/>
              <w:spacing w:before="60" w:after="60"/>
              <w:jc w:val="center"/>
              <w:rPr>
                <w:rFonts w:ascii="Arial" w:hAnsi="Arial" w:cs="Arial"/>
                <w:sz w:val="24"/>
                <w:szCs w:val="24"/>
                <w:u w:val="single"/>
              </w:rPr>
            </w:pPr>
            <w:r w:rsidRPr="00DC58B9">
              <w:rPr>
                <w:rFonts w:ascii="Arial" w:hAnsi="Arial" w:cs="Arial"/>
                <w:sz w:val="24"/>
                <w:szCs w:val="24"/>
                <w:u w:val="single"/>
              </w:rPr>
              <w:t>Phase II Cost</w:t>
            </w:r>
          </w:p>
          <w:p w14:paraId="6DAD546F" w14:textId="77777777" w:rsidR="004662B9" w:rsidRPr="00DC58B9" w:rsidRDefault="004662B9" w:rsidP="004662B9">
            <w:pPr>
              <w:keepNext/>
              <w:keepLines/>
              <w:spacing w:before="60" w:after="60"/>
              <w:jc w:val="center"/>
              <w:rPr>
                <w:rFonts w:ascii="Arial" w:hAnsi="Arial" w:cs="Arial"/>
                <w:sz w:val="24"/>
                <w:szCs w:val="24"/>
                <w:u w:val="single"/>
              </w:rPr>
            </w:pPr>
            <w:r w:rsidRPr="00DC58B9">
              <w:rPr>
                <w:rFonts w:ascii="Arial" w:hAnsi="Arial" w:cs="Arial"/>
                <w:sz w:val="24"/>
                <w:szCs w:val="24"/>
                <w:u w:val="single"/>
              </w:rPr>
              <w:t>(January 1, 2024 – Subsequent Years )</w:t>
            </w:r>
          </w:p>
        </w:tc>
      </w:tr>
      <w:tr w:rsidR="004662B9" w:rsidRPr="004662B9" w14:paraId="0A38944B" w14:textId="77777777" w:rsidTr="004662B9">
        <w:trPr>
          <w:trHeight w:hRule="exact" w:val="348"/>
          <w:jc w:val="center"/>
        </w:trPr>
        <w:tc>
          <w:tcPr>
            <w:tcW w:w="1951" w:type="dxa"/>
            <w:noWrap/>
            <w:vAlign w:val="center"/>
            <w:hideMark/>
          </w:tcPr>
          <w:p w14:paraId="175A256A" w14:textId="77777777" w:rsidR="004662B9" w:rsidRPr="00DC58B9" w:rsidRDefault="004662B9" w:rsidP="004662B9">
            <w:pPr>
              <w:keepNext/>
              <w:keepLines/>
              <w:spacing w:after="120"/>
              <w:rPr>
                <w:rFonts w:ascii="Arial" w:hAnsi="Arial" w:cs="Arial"/>
                <w:sz w:val="24"/>
                <w:szCs w:val="24"/>
                <w:u w:val="single"/>
              </w:rPr>
            </w:pPr>
            <w:r w:rsidRPr="00DC58B9">
              <w:rPr>
                <w:rFonts w:ascii="Arial" w:hAnsi="Arial" w:cs="Arial"/>
                <w:sz w:val="24"/>
                <w:szCs w:val="24"/>
                <w:u w:val="single"/>
              </w:rPr>
              <w:t xml:space="preserve">Federal </w:t>
            </w:r>
          </w:p>
        </w:tc>
        <w:tc>
          <w:tcPr>
            <w:tcW w:w="1605" w:type="dxa"/>
            <w:noWrap/>
            <w:tcMar>
              <w:left w:w="115" w:type="dxa"/>
              <w:right w:w="864" w:type="dxa"/>
            </w:tcMar>
            <w:vAlign w:val="center"/>
            <w:hideMark/>
          </w:tcPr>
          <w:p w14:paraId="785A2194" w14:textId="77777777" w:rsidR="004662B9" w:rsidRPr="00DC58B9" w:rsidRDefault="004662B9" w:rsidP="004662B9">
            <w:pPr>
              <w:keepNext/>
              <w:keepLines/>
              <w:ind w:right="-810"/>
              <w:jc w:val="center"/>
              <w:rPr>
                <w:rFonts w:ascii="Arial" w:hAnsi="Arial" w:cs="Arial"/>
                <w:sz w:val="24"/>
                <w:szCs w:val="24"/>
                <w:u w:val="single"/>
              </w:rPr>
            </w:pPr>
            <w:r w:rsidRPr="00DC58B9">
              <w:rPr>
                <w:rFonts w:ascii="Arial" w:hAnsi="Arial" w:cs="Arial"/>
                <w:sz w:val="24"/>
                <w:szCs w:val="24"/>
                <w:u w:val="single"/>
              </w:rPr>
              <w:t>96</w:t>
            </w:r>
          </w:p>
        </w:tc>
        <w:tc>
          <w:tcPr>
            <w:tcW w:w="2100" w:type="dxa"/>
            <w:noWrap/>
            <w:tcMar>
              <w:left w:w="115" w:type="dxa"/>
              <w:right w:w="115" w:type="dxa"/>
            </w:tcMar>
            <w:vAlign w:val="center"/>
            <w:hideMark/>
          </w:tcPr>
          <w:p w14:paraId="34C7354F" w14:textId="77777777" w:rsidR="004662B9" w:rsidRPr="00DC58B9" w:rsidRDefault="004662B9" w:rsidP="004662B9">
            <w:pPr>
              <w:keepNext/>
              <w:keepLines/>
              <w:jc w:val="center"/>
              <w:rPr>
                <w:rFonts w:ascii="Arial" w:hAnsi="Arial" w:cs="Arial"/>
                <w:sz w:val="24"/>
                <w:szCs w:val="24"/>
                <w:u w:val="single"/>
              </w:rPr>
            </w:pPr>
            <w:r w:rsidRPr="00DC58B9">
              <w:rPr>
                <w:rFonts w:ascii="Arial" w:hAnsi="Arial" w:cs="Arial"/>
                <w:sz w:val="24"/>
                <w:szCs w:val="24"/>
                <w:u w:val="single"/>
              </w:rPr>
              <w:t>1.3%</w:t>
            </w:r>
          </w:p>
        </w:tc>
        <w:tc>
          <w:tcPr>
            <w:tcW w:w="2436" w:type="dxa"/>
            <w:noWrap/>
            <w:tcMar>
              <w:left w:w="115" w:type="dxa"/>
              <w:right w:w="432" w:type="dxa"/>
            </w:tcMar>
            <w:vAlign w:val="center"/>
            <w:hideMark/>
          </w:tcPr>
          <w:p w14:paraId="5954EBFE" w14:textId="77777777" w:rsidR="004662B9" w:rsidRPr="00DC58B9" w:rsidRDefault="004662B9" w:rsidP="004662B9">
            <w:pPr>
              <w:keepNext/>
              <w:keepLines/>
              <w:jc w:val="center"/>
              <w:rPr>
                <w:rFonts w:ascii="Arial" w:hAnsi="Arial" w:cs="Arial"/>
                <w:sz w:val="24"/>
                <w:szCs w:val="24"/>
                <w:u w:val="single"/>
              </w:rPr>
            </w:pPr>
            <w:r w:rsidRPr="00DC58B9">
              <w:rPr>
                <w:rFonts w:ascii="Arial" w:hAnsi="Arial" w:cs="Arial"/>
                <w:sz w:val="24"/>
                <w:szCs w:val="24"/>
                <w:u w:val="single"/>
              </w:rPr>
              <w:t>$21,504</w:t>
            </w:r>
          </w:p>
          <w:p w14:paraId="29EE5660" w14:textId="77777777" w:rsidR="004662B9" w:rsidRPr="00DC58B9" w:rsidRDefault="004662B9" w:rsidP="004662B9">
            <w:pPr>
              <w:keepNext/>
              <w:keepLines/>
              <w:jc w:val="center"/>
              <w:rPr>
                <w:rFonts w:ascii="Arial" w:hAnsi="Arial" w:cs="Arial"/>
                <w:sz w:val="24"/>
                <w:szCs w:val="24"/>
                <w:u w:val="single"/>
              </w:rPr>
            </w:pPr>
          </w:p>
        </w:tc>
        <w:tc>
          <w:tcPr>
            <w:tcW w:w="2130" w:type="dxa"/>
            <w:vAlign w:val="center"/>
          </w:tcPr>
          <w:p w14:paraId="37747851" w14:textId="77777777" w:rsidR="004662B9" w:rsidRPr="00DC58B9" w:rsidRDefault="004662B9" w:rsidP="004662B9">
            <w:pPr>
              <w:keepNext/>
              <w:keepLines/>
              <w:jc w:val="center"/>
              <w:rPr>
                <w:rFonts w:ascii="Arial" w:hAnsi="Arial" w:cs="Arial"/>
                <w:sz w:val="24"/>
                <w:szCs w:val="24"/>
                <w:u w:val="single"/>
              </w:rPr>
            </w:pPr>
            <w:r w:rsidRPr="00DC58B9">
              <w:rPr>
                <w:rFonts w:ascii="Arial" w:hAnsi="Arial" w:cs="Arial"/>
                <w:sz w:val="24"/>
                <w:szCs w:val="24"/>
                <w:u w:val="single"/>
              </w:rPr>
              <w:t>$86,016</w:t>
            </w:r>
          </w:p>
        </w:tc>
      </w:tr>
      <w:tr w:rsidR="004662B9" w:rsidRPr="004662B9" w14:paraId="5CD89FFB" w14:textId="77777777" w:rsidTr="004662B9">
        <w:trPr>
          <w:trHeight w:hRule="exact" w:val="348"/>
          <w:jc w:val="center"/>
        </w:trPr>
        <w:tc>
          <w:tcPr>
            <w:tcW w:w="1951" w:type="dxa"/>
            <w:noWrap/>
            <w:vAlign w:val="center"/>
            <w:hideMark/>
          </w:tcPr>
          <w:p w14:paraId="379DC50F" w14:textId="77777777" w:rsidR="004662B9" w:rsidRPr="00DC58B9" w:rsidRDefault="004662B9" w:rsidP="004662B9">
            <w:pPr>
              <w:spacing w:after="120"/>
              <w:rPr>
                <w:rFonts w:ascii="Arial" w:hAnsi="Arial" w:cs="Arial"/>
                <w:sz w:val="24"/>
                <w:szCs w:val="24"/>
                <w:u w:val="single"/>
              </w:rPr>
            </w:pPr>
            <w:r w:rsidRPr="00DC58B9">
              <w:rPr>
                <w:rFonts w:ascii="Arial" w:hAnsi="Arial" w:cs="Arial"/>
                <w:sz w:val="24"/>
                <w:szCs w:val="24"/>
                <w:u w:val="single"/>
              </w:rPr>
              <w:t>State</w:t>
            </w:r>
          </w:p>
        </w:tc>
        <w:tc>
          <w:tcPr>
            <w:tcW w:w="1605" w:type="dxa"/>
            <w:noWrap/>
            <w:tcMar>
              <w:left w:w="115" w:type="dxa"/>
              <w:right w:w="864" w:type="dxa"/>
            </w:tcMar>
            <w:vAlign w:val="center"/>
            <w:hideMark/>
          </w:tcPr>
          <w:p w14:paraId="3A9D92B0" w14:textId="77777777" w:rsidR="004662B9" w:rsidRPr="00DC58B9" w:rsidRDefault="004662B9" w:rsidP="004662B9">
            <w:pPr>
              <w:ind w:right="-810"/>
              <w:jc w:val="center"/>
              <w:rPr>
                <w:rFonts w:ascii="Arial" w:hAnsi="Arial" w:cs="Arial"/>
                <w:sz w:val="24"/>
                <w:szCs w:val="24"/>
                <w:u w:val="single"/>
              </w:rPr>
            </w:pPr>
            <w:r w:rsidRPr="00DC58B9">
              <w:rPr>
                <w:rFonts w:ascii="Arial" w:hAnsi="Arial" w:cs="Arial"/>
                <w:sz w:val="24"/>
                <w:szCs w:val="24"/>
                <w:u w:val="single"/>
              </w:rPr>
              <w:t>92</w:t>
            </w:r>
          </w:p>
        </w:tc>
        <w:tc>
          <w:tcPr>
            <w:tcW w:w="2100" w:type="dxa"/>
            <w:noWrap/>
            <w:tcMar>
              <w:left w:w="115" w:type="dxa"/>
              <w:right w:w="115" w:type="dxa"/>
            </w:tcMar>
            <w:vAlign w:val="center"/>
            <w:hideMark/>
          </w:tcPr>
          <w:p w14:paraId="4A11334B" w14:textId="77777777" w:rsidR="004662B9" w:rsidRPr="00DC58B9" w:rsidRDefault="004662B9" w:rsidP="004662B9">
            <w:pPr>
              <w:jc w:val="center"/>
              <w:rPr>
                <w:rFonts w:ascii="Arial" w:hAnsi="Arial" w:cs="Arial"/>
                <w:sz w:val="24"/>
                <w:szCs w:val="24"/>
                <w:u w:val="single"/>
              </w:rPr>
            </w:pPr>
            <w:r w:rsidRPr="00DC58B9">
              <w:rPr>
                <w:rFonts w:ascii="Arial" w:hAnsi="Arial" w:cs="Arial"/>
                <w:sz w:val="24"/>
                <w:szCs w:val="24"/>
                <w:u w:val="single"/>
              </w:rPr>
              <w:t>1.3%</w:t>
            </w:r>
          </w:p>
        </w:tc>
        <w:tc>
          <w:tcPr>
            <w:tcW w:w="2436" w:type="dxa"/>
            <w:noWrap/>
            <w:tcMar>
              <w:left w:w="115" w:type="dxa"/>
              <w:right w:w="432" w:type="dxa"/>
            </w:tcMar>
            <w:vAlign w:val="center"/>
            <w:hideMark/>
          </w:tcPr>
          <w:p w14:paraId="10E9976B" w14:textId="77777777" w:rsidR="004662B9" w:rsidRPr="00DC58B9" w:rsidRDefault="004662B9" w:rsidP="004662B9">
            <w:pPr>
              <w:jc w:val="center"/>
              <w:rPr>
                <w:rFonts w:ascii="Arial" w:hAnsi="Arial" w:cs="Arial"/>
                <w:sz w:val="24"/>
                <w:szCs w:val="24"/>
                <w:u w:val="single"/>
              </w:rPr>
            </w:pPr>
            <w:r w:rsidRPr="00DC58B9">
              <w:rPr>
                <w:rFonts w:ascii="Arial" w:hAnsi="Arial" w:cs="Arial"/>
                <w:sz w:val="24"/>
                <w:szCs w:val="24"/>
                <w:u w:val="single"/>
              </w:rPr>
              <w:t>$20,608</w:t>
            </w:r>
          </w:p>
          <w:p w14:paraId="6C62AF2C" w14:textId="77777777" w:rsidR="004662B9" w:rsidRPr="00DC58B9" w:rsidRDefault="004662B9" w:rsidP="004662B9">
            <w:pPr>
              <w:jc w:val="center"/>
              <w:rPr>
                <w:rFonts w:ascii="Arial" w:hAnsi="Arial" w:cs="Arial"/>
                <w:sz w:val="24"/>
                <w:szCs w:val="24"/>
                <w:u w:val="single"/>
              </w:rPr>
            </w:pPr>
          </w:p>
        </w:tc>
        <w:tc>
          <w:tcPr>
            <w:tcW w:w="2130" w:type="dxa"/>
            <w:vAlign w:val="center"/>
          </w:tcPr>
          <w:p w14:paraId="20E719E1" w14:textId="77777777" w:rsidR="004662B9" w:rsidRPr="00DC58B9" w:rsidRDefault="004662B9" w:rsidP="004662B9">
            <w:pPr>
              <w:jc w:val="center"/>
              <w:rPr>
                <w:rFonts w:ascii="Arial" w:hAnsi="Arial" w:cs="Arial"/>
                <w:sz w:val="24"/>
                <w:szCs w:val="24"/>
                <w:u w:val="single"/>
              </w:rPr>
            </w:pPr>
            <w:r w:rsidRPr="00DC58B9">
              <w:rPr>
                <w:rFonts w:ascii="Arial" w:hAnsi="Arial" w:cs="Arial"/>
                <w:sz w:val="24"/>
                <w:szCs w:val="24"/>
                <w:u w:val="single"/>
              </w:rPr>
              <w:t>$82,432</w:t>
            </w:r>
          </w:p>
        </w:tc>
      </w:tr>
      <w:tr w:rsidR="004662B9" w:rsidRPr="004662B9" w14:paraId="1119B22F" w14:textId="77777777" w:rsidTr="004662B9">
        <w:trPr>
          <w:trHeight w:hRule="exact" w:val="348"/>
          <w:jc w:val="center"/>
        </w:trPr>
        <w:tc>
          <w:tcPr>
            <w:tcW w:w="1951" w:type="dxa"/>
            <w:noWrap/>
            <w:vAlign w:val="center"/>
            <w:hideMark/>
          </w:tcPr>
          <w:p w14:paraId="7D7E58D1" w14:textId="77777777" w:rsidR="004662B9" w:rsidRPr="00DC58B9" w:rsidRDefault="004662B9" w:rsidP="004662B9">
            <w:pPr>
              <w:spacing w:after="120"/>
              <w:rPr>
                <w:rFonts w:ascii="Arial" w:hAnsi="Arial" w:cs="Arial"/>
                <w:sz w:val="24"/>
                <w:szCs w:val="24"/>
                <w:u w:val="single"/>
              </w:rPr>
            </w:pPr>
            <w:r w:rsidRPr="00DC58B9">
              <w:rPr>
                <w:rFonts w:ascii="Arial" w:hAnsi="Arial" w:cs="Arial"/>
                <w:sz w:val="24"/>
                <w:szCs w:val="24"/>
                <w:u w:val="single"/>
              </w:rPr>
              <w:t xml:space="preserve">Local </w:t>
            </w:r>
          </w:p>
        </w:tc>
        <w:tc>
          <w:tcPr>
            <w:tcW w:w="1605" w:type="dxa"/>
            <w:noWrap/>
            <w:tcMar>
              <w:left w:w="115" w:type="dxa"/>
              <w:right w:w="864" w:type="dxa"/>
            </w:tcMar>
            <w:vAlign w:val="center"/>
            <w:hideMark/>
          </w:tcPr>
          <w:p w14:paraId="732234B2" w14:textId="77777777" w:rsidR="004662B9" w:rsidRPr="00DC58B9" w:rsidRDefault="004662B9" w:rsidP="004662B9">
            <w:pPr>
              <w:ind w:right="-810"/>
              <w:jc w:val="center"/>
              <w:rPr>
                <w:rFonts w:ascii="Arial" w:hAnsi="Arial" w:cs="Arial"/>
                <w:sz w:val="24"/>
                <w:szCs w:val="24"/>
                <w:u w:val="single"/>
              </w:rPr>
            </w:pPr>
            <w:r w:rsidRPr="00DC58B9">
              <w:rPr>
                <w:rFonts w:ascii="Arial" w:hAnsi="Arial" w:cs="Arial"/>
                <w:sz w:val="24"/>
                <w:szCs w:val="24"/>
                <w:u w:val="single"/>
              </w:rPr>
              <w:t>3,735</w:t>
            </w:r>
          </w:p>
        </w:tc>
        <w:tc>
          <w:tcPr>
            <w:tcW w:w="2100" w:type="dxa"/>
            <w:noWrap/>
            <w:tcMar>
              <w:left w:w="115" w:type="dxa"/>
              <w:right w:w="115" w:type="dxa"/>
            </w:tcMar>
            <w:vAlign w:val="center"/>
            <w:hideMark/>
          </w:tcPr>
          <w:p w14:paraId="024C8ABA" w14:textId="77777777" w:rsidR="004662B9" w:rsidRPr="00DC58B9" w:rsidRDefault="004662B9" w:rsidP="004662B9">
            <w:pPr>
              <w:jc w:val="center"/>
              <w:rPr>
                <w:rFonts w:ascii="Arial" w:hAnsi="Arial" w:cs="Arial"/>
                <w:sz w:val="24"/>
                <w:szCs w:val="24"/>
                <w:u w:val="single"/>
              </w:rPr>
            </w:pPr>
            <w:r w:rsidRPr="00DC58B9">
              <w:rPr>
                <w:rFonts w:ascii="Arial" w:hAnsi="Arial" w:cs="Arial"/>
                <w:sz w:val="24"/>
                <w:szCs w:val="24"/>
                <w:u w:val="single"/>
              </w:rPr>
              <w:t>52%</w:t>
            </w:r>
          </w:p>
        </w:tc>
        <w:tc>
          <w:tcPr>
            <w:tcW w:w="2436" w:type="dxa"/>
            <w:noWrap/>
            <w:tcMar>
              <w:left w:w="115" w:type="dxa"/>
              <w:right w:w="432" w:type="dxa"/>
            </w:tcMar>
            <w:vAlign w:val="center"/>
            <w:hideMark/>
          </w:tcPr>
          <w:p w14:paraId="4D72B100" w14:textId="77777777" w:rsidR="004662B9" w:rsidRPr="00DC58B9" w:rsidRDefault="004662B9" w:rsidP="004662B9">
            <w:pPr>
              <w:jc w:val="center"/>
              <w:rPr>
                <w:rFonts w:ascii="Arial" w:hAnsi="Arial" w:cs="Arial"/>
                <w:sz w:val="24"/>
                <w:szCs w:val="24"/>
                <w:u w:val="single"/>
              </w:rPr>
            </w:pPr>
            <w:r w:rsidRPr="00DC58B9">
              <w:rPr>
                <w:rFonts w:ascii="Arial" w:hAnsi="Arial" w:cs="Arial"/>
                <w:sz w:val="24"/>
                <w:szCs w:val="24"/>
                <w:u w:val="single"/>
              </w:rPr>
              <w:t>$836,640</w:t>
            </w:r>
          </w:p>
          <w:p w14:paraId="43FD2604" w14:textId="77777777" w:rsidR="004662B9" w:rsidRPr="00DC58B9" w:rsidRDefault="004662B9" w:rsidP="004662B9">
            <w:pPr>
              <w:jc w:val="center"/>
              <w:rPr>
                <w:rFonts w:ascii="Arial" w:hAnsi="Arial" w:cs="Arial"/>
                <w:sz w:val="24"/>
                <w:szCs w:val="24"/>
                <w:u w:val="single"/>
              </w:rPr>
            </w:pPr>
          </w:p>
        </w:tc>
        <w:tc>
          <w:tcPr>
            <w:tcW w:w="2130" w:type="dxa"/>
            <w:vAlign w:val="center"/>
          </w:tcPr>
          <w:p w14:paraId="61A85033" w14:textId="77777777" w:rsidR="004662B9" w:rsidRPr="00DC58B9" w:rsidRDefault="004662B9" w:rsidP="004662B9">
            <w:pPr>
              <w:jc w:val="center"/>
              <w:rPr>
                <w:rFonts w:ascii="Arial" w:hAnsi="Arial" w:cs="Arial"/>
                <w:sz w:val="24"/>
                <w:szCs w:val="24"/>
                <w:u w:val="single"/>
              </w:rPr>
            </w:pPr>
            <w:r w:rsidRPr="00DC58B9">
              <w:rPr>
                <w:rFonts w:ascii="Arial" w:hAnsi="Arial" w:cs="Arial"/>
                <w:sz w:val="24"/>
                <w:szCs w:val="24"/>
                <w:u w:val="single"/>
              </w:rPr>
              <w:t>$3,346,560</w:t>
            </w:r>
          </w:p>
        </w:tc>
      </w:tr>
      <w:tr w:rsidR="004662B9" w:rsidRPr="004662B9" w14:paraId="083CBE5D" w14:textId="77777777" w:rsidTr="004662B9">
        <w:trPr>
          <w:trHeight w:hRule="exact" w:val="348"/>
          <w:jc w:val="center"/>
        </w:trPr>
        <w:tc>
          <w:tcPr>
            <w:tcW w:w="1951" w:type="dxa"/>
            <w:noWrap/>
            <w:vAlign w:val="center"/>
            <w:hideMark/>
          </w:tcPr>
          <w:p w14:paraId="21D58001" w14:textId="77777777" w:rsidR="004662B9" w:rsidRPr="00DC58B9" w:rsidRDefault="004662B9" w:rsidP="004662B9">
            <w:pPr>
              <w:spacing w:after="120"/>
              <w:rPr>
                <w:rFonts w:ascii="Arial" w:hAnsi="Arial" w:cs="Arial"/>
                <w:sz w:val="24"/>
                <w:szCs w:val="24"/>
                <w:u w:val="single"/>
              </w:rPr>
            </w:pPr>
            <w:r w:rsidRPr="00DC58B9">
              <w:rPr>
                <w:rFonts w:ascii="Arial" w:hAnsi="Arial" w:cs="Arial"/>
                <w:sz w:val="24"/>
                <w:szCs w:val="24"/>
                <w:u w:val="single"/>
              </w:rPr>
              <w:t>Private</w:t>
            </w:r>
          </w:p>
        </w:tc>
        <w:tc>
          <w:tcPr>
            <w:tcW w:w="1605" w:type="dxa"/>
            <w:noWrap/>
            <w:tcMar>
              <w:left w:w="115" w:type="dxa"/>
              <w:right w:w="864" w:type="dxa"/>
            </w:tcMar>
            <w:vAlign w:val="center"/>
            <w:hideMark/>
          </w:tcPr>
          <w:p w14:paraId="169C726B" w14:textId="77777777" w:rsidR="004662B9" w:rsidRPr="00DC58B9" w:rsidRDefault="004662B9" w:rsidP="004662B9">
            <w:pPr>
              <w:ind w:right="-810"/>
              <w:jc w:val="center"/>
              <w:rPr>
                <w:rFonts w:ascii="Arial" w:hAnsi="Arial" w:cs="Arial"/>
                <w:sz w:val="24"/>
                <w:szCs w:val="24"/>
                <w:u w:val="single"/>
              </w:rPr>
            </w:pPr>
            <w:r w:rsidRPr="00DC58B9">
              <w:rPr>
                <w:rFonts w:ascii="Arial" w:hAnsi="Arial" w:cs="Arial"/>
                <w:sz w:val="24"/>
                <w:szCs w:val="24"/>
                <w:u w:val="single"/>
              </w:rPr>
              <w:t>3,257</w:t>
            </w:r>
          </w:p>
        </w:tc>
        <w:tc>
          <w:tcPr>
            <w:tcW w:w="2100" w:type="dxa"/>
            <w:noWrap/>
            <w:tcMar>
              <w:left w:w="115" w:type="dxa"/>
              <w:right w:w="115" w:type="dxa"/>
            </w:tcMar>
            <w:vAlign w:val="center"/>
            <w:hideMark/>
          </w:tcPr>
          <w:p w14:paraId="0ADE345D" w14:textId="77777777" w:rsidR="004662B9" w:rsidRPr="00DC58B9" w:rsidRDefault="004662B9" w:rsidP="004662B9">
            <w:pPr>
              <w:jc w:val="center"/>
              <w:rPr>
                <w:rFonts w:ascii="Arial" w:hAnsi="Arial" w:cs="Arial"/>
                <w:sz w:val="24"/>
                <w:szCs w:val="24"/>
                <w:u w:val="single"/>
              </w:rPr>
            </w:pPr>
            <w:r w:rsidRPr="00DC58B9">
              <w:rPr>
                <w:rFonts w:ascii="Arial" w:hAnsi="Arial" w:cs="Arial"/>
                <w:sz w:val="24"/>
                <w:szCs w:val="24"/>
                <w:u w:val="single"/>
              </w:rPr>
              <w:t>45%</w:t>
            </w:r>
          </w:p>
        </w:tc>
        <w:tc>
          <w:tcPr>
            <w:tcW w:w="2436" w:type="dxa"/>
            <w:noWrap/>
            <w:tcMar>
              <w:left w:w="115" w:type="dxa"/>
              <w:right w:w="432" w:type="dxa"/>
            </w:tcMar>
            <w:vAlign w:val="center"/>
            <w:hideMark/>
          </w:tcPr>
          <w:p w14:paraId="098B7DD3" w14:textId="77777777" w:rsidR="004662B9" w:rsidRPr="00DC58B9" w:rsidRDefault="004662B9" w:rsidP="004662B9">
            <w:pPr>
              <w:jc w:val="center"/>
              <w:rPr>
                <w:rFonts w:ascii="Arial" w:hAnsi="Arial" w:cs="Arial"/>
                <w:sz w:val="24"/>
                <w:szCs w:val="24"/>
                <w:u w:val="single"/>
              </w:rPr>
            </w:pPr>
            <w:r w:rsidRPr="00DC58B9">
              <w:rPr>
                <w:rFonts w:ascii="Arial" w:hAnsi="Arial" w:cs="Arial"/>
                <w:sz w:val="24"/>
                <w:szCs w:val="24"/>
                <w:u w:val="single"/>
              </w:rPr>
              <w:t>$729,568</w:t>
            </w:r>
          </w:p>
          <w:p w14:paraId="4766B74E" w14:textId="77777777" w:rsidR="004662B9" w:rsidRPr="00DC58B9" w:rsidRDefault="004662B9" w:rsidP="004662B9">
            <w:pPr>
              <w:jc w:val="center"/>
              <w:rPr>
                <w:rFonts w:ascii="Arial" w:hAnsi="Arial" w:cs="Arial"/>
                <w:sz w:val="24"/>
                <w:szCs w:val="24"/>
                <w:u w:val="single"/>
              </w:rPr>
            </w:pPr>
          </w:p>
        </w:tc>
        <w:tc>
          <w:tcPr>
            <w:tcW w:w="2130" w:type="dxa"/>
            <w:vAlign w:val="center"/>
          </w:tcPr>
          <w:p w14:paraId="4A931941" w14:textId="77777777" w:rsidR="004662B9" w:rsidRPr="00DC58B9" w:rsidRDefault="004662B9" w:rsidP="004662B9">
            <w:pPr>
              <w:jc w:val="center"/>
              <w:rPr>
                <w:rFonts w:ascii="Arial" w:hAnsi="Arial" w:cs="Arial"/>
                <w:sz w:val="24"/>
                <w:szCs w:val="24"/>
                <w:u w:val="single"/>
              </w:rPr>
            </w:pPr>
            <w:r w:rsidRPr="00DC58B9">
              <w:rPr>
                <w:rFonts w:ascii="Arial" w:hAnsi="Arial" w:cs="Arial"/>
                <w:sz w:val="24"/>
                <w:szCs w:val="24"/>
                <w:u w:val="single"/>
              </w:rPr>
              <w:t>$2,918,272</w:t>
            </w:r>
          </w:p>
        </w:tc>
      </w:tr>
      <w:tr w:rsidR="004662B9" w:rsidRPr="004662B9" w14:paraId="24C7EE62" w14:textId="77777777" w:rsidTr="004662B9">
        <w:trPr>
          <w:trHeight w:hRule="exact" w:val="751"/>
          <w:jc w:val="center"/>
        </w:trPr>
        <w:tc>
          <w:tcPr>
            <w:tcW w:w="1951" w:type="dxa"/>
            <w:noWrap/>
            <w:vAlign w:val="center"/>
            <w:hideMark/>
          </w:tcPr>
          <w:p w14:paraId="1D5FB0E8" w14:textId="77777777" w:rsidR="004662B9" w:rsidRPr="00DC58B9" w:rsidRDefault="004662B9" w:rsidP="004662B9">
            <w:pPr>
              <w:spacing w:after="120"/>
              <w:rPr>
                <w:rFonts w:ascii="Arial" w:hAnsi="Arial" w:cs="Arial"/>
                <w:sz w:val="24"/>
                <w:szCs w:val="24"/>
                <w:u w:val="single"/>
              </w:rPr>
            </w:pPr>
            <w:r w:rsidRPr="00DC58B9">
              <w:rPr>
                <w:rFonts w:ascii="Arial" w:hAnsi="Arial" w:cs="Arial"/>
                <w:sz w:val="24"/>
                <w:szCs w:val="24"/>
                <w:u w:val="single"/>
              </w:rPr>
              <w:t>Mixed</w:t>
            </w:r>
            <w:r w:rsidRPr="00DC58B9">
              <w:rPr>
                <w:rFonts w:ascii="Arial" w:hAnsi="Arial" w:cs="Arial"/>
                <w:sz w:val="24"/>
                <w:szCs w:val="24"/>
                <w:u w:val="single"/>
              </w:rPr>
              <w:br/>
              <w:t>(Private/Public)</w:t>
            </w:r>
          </w:p>
        </w:tc>
        <w:tc>
          <w:tcPr>
            <w:tcW w:w="1605" w:type="dxa"/>
            <w:noWrap/>
            <w:tcMar>
              <w:left w:w="115" w:type="dxa"/>
              <w:right w:w="864" w:type="dxa"/>
            </w:tcMar>
            <w:vAlign w:val="center"/>
            <w:hideMark/>
          </w:tcPr>
          <w:p w14:paraId="7B1273D1" w14:textId="77777777" w:rsidR="004662B9" w:rsidRPr="00DC58B9" w:rsidRDefault="004662B9" w:rsidP="004662B9">
            <w:pPr>
              <w:ind w:right="-810"/>
              <w:jc w:val="center"/>
              <w:rPr>
                <w:rFonts w:ascii="Arial" w:hAnsi="Arial" w:cs="Arial"/>
                <w:sz w:val="24"/>
                <w:szCs w:val="24"/>
                <w:u w:val="single"/>
              </w:rPr>
            </w:pPr>
            <w:r w:rsidRPr="00DC58B9">
              <w:rPr>
                <w:rFonts w:ascii="Arial" w:hAnsi="Arial" w:cs="Arial"/>
                <w:sz w:val="24"/>
                <w:szCs w:val="24"/>
                <w:u w:val="single"/>
              </w:rPr>
              <w:t>5</w:t>
            </w:r>
          </w:p>
        </w:tc>
        <w:tc>
          <w:tcPr>
            <w:tcW w:w="2100" w:type="dxa"/>
            <w:noWrap/>
            <w:tcMar>
              <w:left w:w="115" w:type="dxa"/>
              <w:right w:w="115" w:type="dxa"/>
            </w:tcMar>
            <w:vAlign w:val="center"/>
            <w:hideMark/>
          </w:tcPr>
          <w:p w14:paraId="0DF21A55" w14:textId="77777777" w:rsidR="004662B9" w:rsidRPr="00DC58B9" w:rsidRDefault="004662B9" w:rsidP="004662B9">
            <w:pPr>
              <w:jc w:val="center"/>
              <w:rPr>
                <w:rFonts w:ascii="Arial" w:hAnsi="Arial" w:cs="Arial"/>
                <w:sz w:val="24"/>
                <w:szCs w:val="24"/>
                <w:u w:val="single"/>
              </w:rPr>
            </w:pPr>
            <w:r w:rsidRPr="00DC58B9">
              <w:rPr>
                <w:rFonts w:ascii="Arial" w:hAnsi="Arial" w:cs="Arial"/>
                <w:sz w:val="24"/>
                <w:szCs w:val="24"/>
                <w:u w:val="single"/>
              </w:rPr>
              <w:t>0.1%</w:t>
            </w:r>
          </w:p>
        </w:tc>
        <w:tc>
          <w:tcPr>
            <w:tcW w:w="2436" w:type="dxa"/>
            <w:noWrap/>
            <w:tcMar>
              <w:left w:w="115" w:type="dxa"/>
              <w:right w:w="432" w:type="dxa"/>
            </w:tcMar>
            <w:vAlign w:val="center"/>
            <w:hideMark/>
          </w:tcPr>
          <w:p w14:paraId="1BE8D6AB" w14:textId="77777777" w:rsidR="004662B9" w:rsidRPr="00DC58B9" w:rsidRDefault="004662B9" w:rsidP="004662B9">
            <w:pPr>
              <w:jc w:val="center"/>
              <w:rPr>
                <w:rFonts w:ascii="Arial" w:hAnsi="Arial" w:cs="Arial"/>
                <w:sz w:val="24"/>
                <w:szCs w:val="24"/>
                <w:u w:val="single"/>
              </w:rPr>
            </w:pPr>
            <w:r w:rsidRPr="00DC58B9">
              <w:rPr>
                <w:rFonts w:ascii="Arial" w:hAnsi="Arial" w:cs="Arial"/>
                <w:sz w:val="24"/>
                <w:szCs w:val="24"/>
                <w:u w:val="single"/>
              </w:rPr>
              <w:t>$1,120</w:t>
            </w:r>
          </w:p>
        </w:tc>
        <w:tc>
          <w:tcPr>
            <w:tcW w:w="2130" w:type="dxa"/>
            <w:vAlign w:val="center"/>
          </w:tcPr>
          <w:p w14:paraId="4E8022E8" w14:textId="77777777" w:rsidR="004662B9" w:rsidRPr="00DC58B9" w:rsidRDefault="004662B9" w:rsidP="004662B9">
            <w:pPr>
              <w:jc w:val="center"/>
              <w:rPr>
                <w:rFonts w:ascii="Arial" w:hAnsi="Arial" w:cs="Arial"/>
                <w:sz w:val="24"/>
                <w:szCs w:val="24"/>
                <w:u w:val="single"/>
              </w:rPr>
            </w:pPr>
            <w:r w:rsidRPr="00DC58B9">
              <w:rPr>
                <w:rFonts w:ascii="Arial" w:hAnsi="Arial" w:cs="Arial"/>
                <w:sz w:val="24"/>
                <w:szCs w:val="24"/>
                <w:u w:val="single"/>
              </w:rPr>
              <w:t>$4,480</w:t>
            </w:r>
          </w:p>
        </w:tc>
      </w:tr>
      <w:tr w:rsidR="004662B9" w:rsidRPr="004662B9" w14:paraId="5884DF31" w14:textId="77777777" w:rsidTr="004662B9">
        <w:trPr>
          <w:trHeight w:hRule="exact" w:val="937"/>
          <w:jc w:val="center"/>
        </w:trPr>
        <w:tc>
          <w:tcPr>
            <w:tcW w:w="1951" w:type="dxa"/>
            <w:noWrap/>
            <w:vAlign w:val="center"/>
            <w:hideMark/>
          </w:tcPr>
          <w:p w14:paraId="2510DFBF" w14:textId="77777777" w:rsidR="004662B9" w:rsidRPr="00DC58B9" w:rsidRDefault="004662B9" w:rsidP="004662B9">
            <w:pPr>
              <w:spacing w:after="120"/>
              <w:rPr>
                <w:rFonts w:ascii="Arial" w:hAnsi="Arial" w:cs="Arial"/>
                <w:sz w:val="24"/>
                <w:szCs w:val="24"/>
                <w:u w:val="single"/>
              </w:rPr>
            </w:pPr>
            <w:r w:rsidRPr="00DC58B9">
              <w:rPr>
                <w:rFonts w:ascii="Arial" w:hAnsi="Arial" w:cs="Arial"/>
                <w:sz w:val="24"/>
                <w:szCs w:val="24"/>
                <w:u w:val="single"/>
              </w:rPr>
              <w:t xml:space="preserve">Blank </w:t>
            </w:r>
            <w:r w:rsidRPr="00DC58B9">
              <w:rPr>
                <w:rFonts w:ascii="Arial" w:hAnsi="Arial" w:cs="Arial"/>
                <w:sz w:val="24"/>
                <w:szCs w:val="24"/>
                <w:u w:val="single"/>
              </w:rPr>
              <w:br/>
              <w:t>(Not Designated)</w:t>
            </w:r>
          </w:p>
        </w:tc>
        <w:tc>
          <w:tcPr>
            <w:tcW w:w="1605" w:type="dxa"/>
            <w:noWrap/>
            <w:tcMar>
              <w:left w:w="115" w:type="dxa"/>
              <w:right w:w="864" w:type="dxa"/>
            </w:tcMar>
            <w:vAlign w:val="center"/>
            <w:hideMark/>
          </w:tcPr>
          <w:p w14:paraId="13647A6E" w14:textId="77777777" w:rsidR="004662B9" w:rsidRPr="00DC58B9" w:rsidRDefault="004662B9" w:rsidP="004662B9">
            <w:pPr>
              <w:ind w:right="-810"/>
              <w:jc w:val="center"/>
              <w:rPr>
                <w:rFonts w:ascii="Arial" w:hAnsi="Arial" w:cs="Arial"/>
                <w:sz w:val="24"/>
                <w:szCs w:val="24"/>
                <w:u w:val="single"/>
              </w:rPr>
            </w:pPr>
            <w:r w:rsidRPr="00DC58B9">
              <w:rPr>
                <w:rFonts w:ascii="Arial" w:hAnsi="Arial" w:cs="Arial"/>
                <w:sz w:val="24"/>
                <w:szCs w:val="24"/>
                <w:u w:val="single"/>
              </w:rPr>
              <w:t>9</w:t>
            </w:r>
          </w:p>
        </w:tc>
        <w:tc>
          <w:tcPr>
            <w:tcW w:w="2100" w:type="dxa"/>
            <w:noWrap/>
            <w:tcMar>
              <w:left w:w="115" w:type="dxa"/>
              <w:right w:w="115" w:type="dxa"/>
            </w:tcMar>
            <w:vAlign w:val="center"/>
            <w:hideMark/>
          </w:tcPr>
          <w:p w14:paraId="10B991D9" w14:textId="77777777" w:rsidR="004662B9" w:rsidRPr="00DC58B9" w:rsidRDefault="004662B9" w:rsidP="004662B9">
            <w:pPr>
              <w:jc w:val="center"/>
              <w:rPr>
                <w:rFonts w:ascii="Arial" w:hAnsi="Arial" w:cs="Arial"/>
                <w:sz w:val="24"/>
                <w:szCs w:val="24"/>
                <w:u w:val="single"/>
              </w:rPr>
            </w:pPr>
            <w:r w:rsidRPr="00DC58B9">
              <w:rPr>
                <w:rFonts w:ascii="Arial" w:hAnsi="Arial" w:cs="Arial"/>
                <w:sz w:val="24"/>
                <w:szCs w:val="24"/>
                <w:u w:val="single"/>
              </w:rPr>
              <w:t>0.1%</w:t>
            </w:r>
          </w:p>
        </w:tc>
        <w:tc>
          <w:tcPr>
            <w:tcW w:w="2436" w:type="dxa"/>
            <w:noWrap/>
            <w:tcMar>
              <w:left w:w="115" w:type="dxa"/>
              <w:right w:w="432" w:type="dxa"/>
            </w:tcMar>
            <w:vAlign w:val="center"/>
            <w:hideMark/>
          </w:tcPr>
          <w:p w14:paraId="3A1CFB0A" w14:textId="77777777" w:rsidR="004662B9" w:rsidRPr="00DC58B9" w:rsidRDefault="004662B9" w:rsidP="004662B9">
            <w:pPr>
              <w:jc w:val="center"/>
              <w:rPr>
                <w:rFonts w:ascii="Arial" w:hAnsi="Arial" w:cs="Arial"/>
                <w:sz w:val="24"/>
                <w:szCs w:val="24"/>
                <w:u w:val="single"/>
              </w:rPr>
            </w:pPr>
            <w:r w:rsidRPr="00DC58B9">
              <w:rPr>
                <w:rFonts w:ascii="Arial" w:hAnsi="Arial" w:cs="Arial"/>
                <w:sz w:val="24"/>
                <w:szCs w:val="24"/>
                <w:u w:val="single"/>
              </w:rPr>
              <w:t>$2,016</w:t>
            </w:r>
          </w:p>
        </w:tc>
        <w:tc>
          <w:tcPr>
            <w:tcW w:w="2130" w:type="dxa"/>
            <w:vAlign w:val="center"/>
          </w:tcPr>
          <w:p w14:paraId="04D773DF" w14:textId="77777777" w:rsidR="004662B9" w:rsidRPr="00DC58B9" w:rsidRDefault="004662B9" w:rsidP="004662B9">
            <w:pPr>
              <w:jc w:val="center"/>
              <w:rPr>
                <w:rFonts w:ascii="Arial" w:hAnsi="Arial" w:cs="Arial"/>
                <w:sz w:val="24"/>
                <w:szCs w:val="24"/>
                <w:u w:val="single"/>
              </w:rPr>
            </w:pPr>
            <w:r w:rsidRPr="00DC58B9">
              <w:rPr>
                <w:rFonts w:ascii="Arial" w:hAnsi="Arial" w:cs="Arial"/>
                <w:sz w:val="24"/>
                <w:szCs w:val="24"/>
                <w:u w:val="single"/>
              </w:rPr>
              <w:t>$8,064</w:t>
            </w:r>
          </w:p>
        </w:tc>
      </w:tr>
      <w:tr w:rsidR="004662B9" w:rsidRPr="004662B9" w14:paraId="4BF0FDB1" w14:textId="77777777" w:rsidTr="004662B9">
        <w:trPr>
          <w:trHeight w:hRule="exact" w:val="348"/>
          <w:jc w:val="center"/>
        </w:trPr>
        <w:tc>
          <w:tcPr>
            <w:tcW w:w="1951" w:type="dxa"/>
            <w:noWrap/>
            <w:vAlign w:val="center"/>
            <w:hideMark/>
          </w:tcPr>
          <w:p w14:paraId="7C7348F1" w14:textId="77777777" w:rsidR="004662B9" w:rsidRPr="00DC58B9" w:rsidRDefault="004662B9" w:rsidP="004662B9">
            <w:pPr>
              <w:rPr>
                <w:rFonts w:ascii="Arial" w:hAnsi="Arial" w:cs="Arial"/>
                <w:sz w:val="24"/>
                <w:szCs w:val="24"/>
                <w:u w:val="single"/>
              </w:rPr>
            </w:pPr>
            <w:r w:rsidRPr="00DC58B9">
              <w:rPr>
                <w:rFonts w:ascii="Arial" w:hAnsi="Arial" w:cs="Arial"/>
                <w:sz w:val="24"/>
                <w:szCs w:val="24"/>
                <w:u w:val="single"/>
              </w:rPr>
              <w:lastRenderedPageBreak/>
              <w:t>Totals:</w:t>
            </w:r>
          </w:p>
        </w:tc>
        <w:tc>
          <w:tcPr>
            <w:tcW w:w="1605" w:type="dxa"/>
            <w:noWrap/>
            <w:tcMar>
              <w:left w:w="115" w:type="dxa"/>
              <w:right w:w="864" w:type="dxa"/>
            </w:tcMar>
            <w:vAlign w:val="center"/>
            <w:hideMark/>
          </w:tcPr>
          <w:p w14:paraId="6DC24633" w14:textId="77777777" w:rsidR="004662B9" w:rsidRPr="00DC58B9" w:rsidRDefault="004662B9" w:rsidP="004662B9">
            <w:pPr>
              <w:ind w:right="-810"/>
              <w:jc w:val="center"/>
              <w:rPr>
                <w:rFonts w:ascii="Arial" w:hAnsi="Arial" w:cs="Arial"/>
                <w:sz w:val="24"/>
                <w:szCs w:val="24"/>
                <w:u w:val="single"/>
              </w:rPr>
            </w:pPr>
            <w:r w:rsidRPr="00DC58B9">
              <w:rPr>
                <w:rFonts w:ascii="Arial" w:hAnsi="Arial" w:cs="Arial"/>
                <w:sz w:val="24"/>
                <w:szCs w:val="24"/>
                <w:u w:val="single"/>
              </w:rPr>
              <w:t>7,194</w:t>
            </w:r>
          </w:p>
        </w:tc>
        <w:tc>
          <w:tcPr>
            <w:tcW w:w="2100" w:type="dxa"/>
            <w:noWrap/>
            <w:tcMar>
              <w:left w:w="115" w:type="dxa"/>
              <w:right w:w="720" w:type="dxa"/>
            </w:tcMar>
            <w:vAlign w:val="center"/>
            <w:hideMark/>
          </w:tcPr>
          <w:p w14:paraId="510C0E15" w14:textId="77777777" w:rsidR="004662B9" w:rsidRPr="00DC58B9" w:rsidRDefault="004662B9" w:rsidP="004662B9">
            <w:pPr>
              <w:ind w:right="-555"/>
              <w:jc w:val="center"/>
              <w:rPr>
                <w:rFonts w:ascii="Arial" w:hAnsi="Arial" w:cs="Arial"/>
                <w:sz w:val="24"/>
                <w:szCs w:val="24"/>
                <w:u w:val="single"/>
              </w:rPr>
            </w:pPr>
            <w:r w:rsidRPr="00DC58B9">
              <w:rPr>
                <w:rFonts w:ascii="Arial" w:hAnsi="Arial" w:cs="Arial"/>
                <w:sz w:val="24"/>
                <w:szCs w:val="24"/>
                <w:u w:val="single"/>
              </w:rPr>
              <w:t>100%</w:t>
            </w:r>
          </w:p>
        </w:tc>
        <w:tc>
          <w:tcPr>
            <w:tcW w:w="2436" w:type="dxa"/>
            <w:noWrap/>
            <w:tcMar>
              <w:left w:w="115" w:type="dxa"/>
              <w:right w:w="432" w:type="dxa"/>
            </w:tcMar>
            <w:vAlign w:val="center"/>
            <w:hideMark/>
          </w:tcPr>
          <w:p w14:paraId="568529B3" w14:textId="77777777" w:rsidR="004662B9" w:rsidRPr="00DC58B9" w:rsidRDefault="004662B9" w:rsidP="004662B9">
            <w:pPr>
              <w:jc w:val="center"/>
              <w:rPr>
                <w:rFonts w:ascii="Arial" w:hAnsi="Arial" w:cs="Arial"/>
                <w:sz w:val="24"/>
                <w:szCs w:val="24"/>
                <w:u w:val="single"/>
              </w:rPr>
            </w:pPr>
            <w:r w:rsidRPr="00DC58B9">
              <w:rPr>
                <w:rFonts w:ascii="Arial" w:hAnsi="Arial" w:cs="Arial"/>
                <w:sz w:val="24"/>
                <w:szCs w:val="24"/>
                <w:u w:val="single"/>
              </w:rPr>
              <w:t>$1,611,456</w:t>
            </w:r>
          </w:p>
          <w:p w14:paraId="4D9D8B59" w14:textId="77777777" w:rsidR="004662B9" w:rsidRPr="00DC58B9" w:rsidRDefault="004662B9" w:rsidP="004662B9">
            <w:pPr>
              <w:jc w:val="center"/>
              <w:rPr>
                <w:rFonts w:ascii="Arial" w:hAnsi="Arial" w:cs="Arial"/>
                <w:sz w:val="24"/>
                <w:szCs w:val="24"/>
                <w:u w:val="single"/>
              </w:rPr>
            </w:pPr>
          </w:p>
        </w:tc>
        <w:tc>
          <w:tcPr>
            <w:tcW w:w="2130" w:type="dxa"/>
            <w:vAlign w:val="center"/>
          </w:tcPr>
          <w:p w14:paraId="2FF7AE93" w14:textId="77777777" w:rsidR="004662B9" w:rsidRPr="00DC58B9" w:rsidRDefault="004662B9" w:rsidP="004662B9">
            <w:pPr>
              <w:jc w:val="center"/>
              <w:rPr>
                <w:rFonts w:ascii="Arial" w:hAnsi="Arial" w:cs="Arial"/>
                <w:sz w:val="24"/>
                <w:szCs w:val="24"/>
                <w:u w:val="single"/>
              </w:rPr>
            </w:pPr>
            <w:r w:rsidRPr="00DC58B9">
              <w:rPr>
                <w:rFonts w:ascii="Arial" w:hAnsi="Arial" w:cs="Arial"/>
                <w:sz w:val="24"/>
                <w:szCs w:val="24"/>
                <w:u w:val="single"/>
              </w:rPr>
              <w:t>$6,444,824</w:t>
            </w:r>
          </w:p>
        </w:tc>
      </w:tr>
    </w:tbl>
    <w:p w14:paraId="23D3CBAB" w14:textId="77777777" w:rsidR="004662B9" w:rsidRPr="00DC58B9" w:rsidRDefault="004662B9" w:rsidP="00F32BBA">
      <w:pPr>
        <w:pStyle w:val="BodyText"/>
        <w:tabs>
          <w:tab w:val="clear" w:pos="720"/>
        </w:tabs>
        <w:rPr>
          <w:sz w:val="24"/>
          <w:szCs w:val="24"/>
          <w:u w:val="single"/>
        </w:rPr>
      </w:pPr>
    </w:p>
    <w:p w14:paraId="5BF8077E" w14:textId="77777777" w:rsidR="00F32BBA" w:rsidRPr="009F386E" w:rsidRDefault="00F32BBA" w:rsidP="00F32BBA">
      <w:pPr>
        <w:keepNext/>
        <w:tabs>
          <w:tab w:val="left" w:pos="3690"/>
        </w:tabs>
        <w:spacing w:after="120"/>
        <w:rPr>
          <w:rFonts w:ascii="Arial" w:hAnsi="Arial" w:cs="Arial"/>
          <w:bCs/>
          <w:iCs/>
          <w:sz w:val="24"/>
          <w:szCs w:val="24"/>
          <w:u w:val="single"/>
        </w:rPr>
      </w:pPr>
      <w:r w:rsidRPr="009F386E">
        <w:rPr>
          <w:rFonts w:ascii="Arial" w:hAnsi="Arial" w:cs="Arial"/>
          <w:bCs/>
          <w:iCs/>
          <w:sz w:val="24"/>
          <w:szCs w:val="24"/>
          <w:u w:val="single"/>
        </w:rPr>
        <w:t xml:space="preserve">Breakdown of Costs </w:t>
      </w:r>
    </w:p>
    <w:p w14:paraId="55444BB5" w14:textId="1D9EC490" w:rsidR="00F32BBA" w:rsidRPr="009F386E" w:rsidRDefault="00F32BBA" w:rsidP="00F32BBA">
      <w:pPr>
        <w:keepNext/>
        <w:tabs>
          <w:tab w:val="left" w:pos="3690"/>
        </w:tabs>
        <w:spacing w:after="120"/>
        <w:rPr>
          <w:rFonts w:ascii="Arial" w:hAnsi="Arial" w:cs="Arial"/>
          <w:iCs/>
          <w:sz w:val="24"/>
          <w:szCs w:val="24"/>
        </w:rPr>
      </w:pPr>
      <w:r w:rsidRPr="009F386E">
        <w:rPr>
          <w:rFonts w:ascii="Arial" w:hAnsi="Arial" w:cs="Arial"/>
          <w:iCs/>
          <w:sz w:val="24"/>
          <w:szCs w:val="24"/>
        </w:rPr>
        <w:t>Routine monitoring costs would continue unless there is a detection above the proposed DLR of 0.002 mg/L</w:t>
      </w:r>
      <w:r w:rsidR="004662B9">
        <w:rPr>
          <w:rFonts w:ascii="Arial" w:hAnsi="Arial" w:cs="Arial"/>
          <w:iCs/>
          <w:sz w:val="24"/>
          <w:szCs w:val="24"/>
        </w:rPr>
        <w:t xml:space="preserve"> </w:t>
      </w:r>
      <w:r w:rsidR="004662B9" w:rsidRPr="00DC58B9">
        <w:rPr>
          <w:rFonts w:ascii="Arial" w:hAnsi="Arial" w:cs="Arial"/>
          <w:iCs/>
          <w:sz w:val="24"/>
          <w:szCs w:val="24"/>
          <w:u w:val="single"/>
        </w:rPr>
        <w:t>during Phase I and above the proposed DLR of 0.001 mg/L during Phase II</w:t>
      </w:r>
      <w:r w:rsidRPr="009F386E">
        <w:rPr>
          <w:rFonts w:ascii="Arial" w:hAnsi="Arial" w:cs="Arial"/>
          <w:iCs/>
          <w:sz w:val="24"/>
          <w:szCs w:val="24"/>
        </w:rPr>
        <w:t>.  If a detection exceeds the DLR, the source would require increased monitoring at four times per year (quarterly) at $56.00/sample</w:t>
      </w:r>
      <w:r w:rsidR="004662B9">
        <w:rPr>
          <w:rFonts w:ascii="Arial" w:hAnsi="Arial" w:cs="Arial"/>
          <w:iCs/>
          <w:sz w:val="24"/>
          <w:szCs w:val="24"/>
        </w:rPr>
        <w:t xml:space="preserve"> </w:t>
      </w:r>
      <w:r w:rsidR="004662B9" w:rsidRPr="00DC58B9">
        <w:rPr>
          <w:rFonts w:ascii="Arial" w:hAnsi="Arial" w:cs="Arial"/>
          <w:iCs/>
          <w:sz w:val="24"/>
          <w:szCs w:val="24"/>
          <w:u w:val="single"/>
        </w:rPr>
        <w:t>during the first phase of the regulation and $224.00/sample during the second phase of the regulation</w:t>
      </w:r>
      <w:r w:rsidR="004662B9">
        <w:rPr>
          <w:rFonts w:ascii="Arial" w:hAnsi="Arial" w:cs="Arial"/>
          <w:iCs/>
          <w:sz w:val="24"/>
          <w:szCs w:val="24"/>
        </w:rPr>
        <w:t>.</w:t>
      </w:r>
    </w:p>
    <w:p w14:paraId="38193DEA" w14:textId="1D84C426" w:rsidR="00F32BBA" w:rsidRPr="00DA5EE2" w:rsidRDefault="00F32BBA">
      <w:pPr>
        <w:pStyle w:val="ListParagraph"/>
        <w:keepNext/>
        <w:numPr>
          <w:ilvl w:val="0"/>
          <w:numId w:val="21"/>
        </w:numPr>
        <w:spacing w:after="120" w:line="240" w:lineRule="auto"/>
        <w:rPr>
          <w:rFonts w:ascii="Arial" w:eastAsiaTheme="minorHAnsi" w:hAnsi="Arial" w:cs="Arial"/>
          <w:i/>
          <w:sz w:val="24"/>
          <w:szCs w:val="24"/>
          <w:u w:val="single"/>
        </w:rPr>
      </w:pPr>
      <w:r w:rsidRPr="00DA5EE2">
        <w:rPr>
          <w:rFonts w:ascii="Arial" w:eastAsiaTheme="minorHAnsi" w:hAnsi="Arial" w:cs="Arial"/>
          <w:i/>
          <w:sz w:val="24"/>
          <w:szCs w:val="24"/>
          <w:u w:val="single"/>
        </w:rPr>
        <w:t xml:space="preserve">Estimated </w:t>
      </w:r>
      <w:r w:rsidR="004662B9" w:rsidRPr="00DA5EE2">
        <w:rPr>
          <w:rFonts w:ascii="Arial" w:eastAsiaTheme="minorHAnsi" w:hAnsi="Arial" w:cs="Arial"/>
          <w:i/>
          <w:sz w:val="24"/>
          <w:szCs w:val="24"/>
          <w:u w:val="single"/>
        </w:rPr>
        <w:t xml:space="preserve">Maximum </w:t>
      </w:r>
      <w:r w:rsidRPr="00DA5EE2">
        <w:rPr>
          <w:rFonts w:ascii="Arial" w:eastAsiaTheme="minorHAnsi" w:hAnsi="Arial" w:cs="Arial"/>
          <w:i/>
          <w:sz w:val="24"/>
          <w:szCs w:val="24"/>
          <w:u w:val="single"/>
        </w:rPr>
        <w:t>Annual Cost per Water System and per Person</w:t>
      </w:r>
      <w:r w:rsidR="004662B9" w:rsidRPr="00DA5EE2">
        <w:rPr>
          <w:rFonts w:ascii="Arial" w:eastAsiaTheme="minorHAnsi" w:hAnsi="Arial" w:cs="Arial"/>
          <w:i/>
          <w:sz w:val="24"/>
          <w:szCs w:val="24"/>
          <w:u w:val="single"/>
        </w:rPr>
        <w:t xml:space="preserve"> during Phase I and Phase II of the proposed regulation</w:t>
      </w:r>
    </w:p>
    <w:p w14:paraId="3B6907B6" w14:textId="05C3B4C3" w:rsidR="00F32BBA" w:rsidRPr="00DC58B9" w:rsidRDefault="00F32BBA" w:rsidP="00F32BBA">
      <w:pPr>
        <w:rPr>
          <w:rFonts w:ascii="Arial" w:hAnsi="Arial" w:cs="Arial"/>
          <w:sz w:val="24"/>
          <w:szCs w:val="24"/>
          <w:u w:val="single"/>
        </w:rPr>
      </w:pPr>
      <w:r w:rsidRPr="009F386E">
        <w:rPr>
          <w:rFonts w:ascii="Arial" w:hAnsi="Arial" w:cs="Arial"/>
          <w:sz w:val="24"/>
          <w:szCs w:val="24"/>
        </w:rPr>
        <w:t xml:space="preserve">The State Water Board assumed that an increased monitoring frequency would </w:t>
      </w:r>
      <w:r>
        <w:rPr>
          <w:rFonts w:ascii="Arial" w:hAnsi="Arial" w:cs="Arial"/>
          <w:sz w:val="24"/>
          <w:szCs w:val="24"/>
        </w:rPr>
        <w:t>include</w:t>
      </w:r>
      <w:r w:rsidRPr="009F386E">
        <w:rPr>
          <w:rFonts w:ascii="Arial" w:hAnsi="Arial" w:cs="Arial"/>
          <w:sz w:val="24"/>
          <w:szCs w:val="24"/>
        </w:rPr>
        <w:t xml:space="preserve"> a minimum of four samples per source per year</w:t>
      </w:r>
      <w:r>
        <w:rPr>
          <w:rFonts w:ascii="Arial" w:hAnsi="Arial" w:cs="Arial"/>
          <w:sz w:val="24"/>
          <w:szCs w:val="24"/>
        </w:rPr>
        <w:t xml:space="preserve">, resulting in increased costs of </w:t>
      </w:r>
      <w:r w:rsidRPr="009F386E">
        <w:rPr>
          <w:rFonts w:ascii="Arial" w:hAnsi="Arial" w:cs="Arial"/>
          <w:sz w:val="24"/>
          <w:szCs w:val="24"/>
        </w:rPr>
        <w:t>approximately $224.00/year</w:t>
      </w:r>
      <w:r>
        <w:rPr>
          <w:rFonts w:ascii="Arial" w:hAnsi="Arial" w:cs="Arial"/>
          <w:sz w:val="24"/>
          <w:szCs w:val="24"/>
        </w:rPr>
        <w:t xml:space="preserve"> per source</w:t>
      </w:r>
      <w:r w:rsidR="00FF0DF8">
        <w:rPr>
          <w:rFonts w:ascii="Arial" w:hAnsi="Arial" w:cs="Arial"/>
          <w:sz w:val="24"/>
          <w:szCs w:val="24"/>
        </w:rPr>
        <w:t xml:space="preserve"> </w:t>
      </w:r>
      <w:r w:rsidR="00FF0DF8" w:rsidRPr="00DC58B9">
        <w:rPr>
          <w:rFonts w:ascii="Arial" w:hAnsi="Arial" w:cs="Arial"/>
          <w:sz w:val="24"/>
          <w:szCs w:val="24"/>
          <w:u w:val="single"/>
        </w:rPr>
        <w:t>and $896.00/year per source, for Phase I and Phase II, respectively.</w:t>
      </w:r>
    </w:p>
    <w:p w14:paraId="47599274" w14:textId="46D1396F" w:rsidR="00F32BBA" w:rsidRPr="009F386E" w:rsidRDefault="00F32BBA" w:rsidP="00F32BBA">
      <w:pPr>
        <w:rPr>
          <w:rFonts w:ascii="Arial" w:hAnsi="Arial" w:cs="Arial"/>
          <w:sz w:val="24"/>
          <w:szCs w:val="24"/>
        </w:rPr>
      </w:pPr>
      <w:r w:rsidRPr="009F386E">
        <w:rPr>
          <w:rFonts w:ascii="Arial" w:hAnsi="Arial" w:cs="Arial"/>
          <w:sz w:val="24"/>
          <w:szCs w:val="24"/>
        </w:rPr>
        <w:t>To assess the cost of the proposed regulation, the State Water Board reviewed the estimated statewide annual cost per water system and per person</w:t>
      </w:r>
      <w:r>
        <w:rPr>
          <w:rFonts w:ascii="Arial" w:hAnsi="Arial" w:cs="Arial"/>
          <w:sz w:val="24"/>
          <w:szCs w:val="24"/>
        </w:rPr>
        <w:t xml:space="preserve"> for the systems that are assumed to face increased monitoring frequency</w:t>
      </w:r>
      <w:r w:rsidRPr="009F386E">
        <w:rPr>
          <w:rFonts w:ascii="Arial" w:hAnsi="Arial" w:cs="Arial"/>
          <w:sz w:val="24"/>
          <w:szCs w:val="24"/>
        </w:rPr>
        <w:t xml:space="preserve">.  </w:t>
      </w:r>
      <w:r w:rsidR="00FF0DF8" w:rsidRPr="00DC58B9">
        <w:rPr>
          <w:rFonts w:ascii="Arial" w:hAnsi="Arial" w:cs="Arial"/>
          <w:sz w:val="24"/>
          <w:szCs w:val="24"/>
          <w:u w:val="single"/>
        </w:rPr>
        <w:t xml:space="preserve">As an example, during Phase </w:t>
      </w:r>
      <w:r w:rsidR="00FF0DF8">
        <w:rPr>
          <w:rFonts w:ascii="Arial" w:hAnsi="Arial" w:cs="Arial"/>
          <w:sz w:val="24"/>
          <w:szCs w:val="24"/>
          <w:u w:val="single"/>
        </w:rPr>
        <w:t>I</w:t>
      </w:r>
      <w:r w:rsidR="00FF0DF8" w:rsidRPr="00DC58B9">
        <w:rPr>
          <w:rFonts w:ascii="Arial" w:hAnsi="Arial" w:cs="Arial"/>
          <w:sz w:val="24"/>
          <w:szCs w:val="24"/>
          <w:u w:val="single"/>
        </w:rPr>
        <w:t xml:space="preserve"> of the proposed regulation, the</w:t>
      </w:r>
      <w:r w:rsidR="00FF0DF8">
        <w:rPr>
          <w:rFonts w:ascii="Arial" w:hAnsi="Arial" w:cs="Arial"/>
          <w:sz w:val="24"/>
          <w:szCs w:val="24"/>
        </w:rPr>
        <w:t xml:space="preserve"> </w:t>
      </w:r>
      <w:proofErr w:type="gramStart"/>
      <w:r w:rsidRPr="00DC58B9">
        <w:rPr>
          <w:rFonts w:ascii="Arial" w:hAnsi="Arial" w:cs="Arial"/>
          <w:strike/>
          <w:sz w:val="24"/>
          <w:szCs w:val="24"/>
        </w:rPr>
        <w:t>The</w:t>
      </w:r>
      <w:proofErr w:type="gramEnd"/>
      <w:r w:rsidRPr="009F386E">
        <w:rPr>
          <w:rFonts w:ascii="Arial" w:hAnsi="Arial" w:cs="Arial"/>
          <w:sz w:val="24"/>
          <w:szCs w:val="24"/>
        </w:rPr>
        <w:t xml:space="preserve"> annual cost per water system ranged from $224.00 to $46,144.00 (annual costs for quarterly testing ($224) x number of sources).  The cost per person was then calculated by dividing the annual water system’s costs for the monitoring by the number of individuals served by a system</w:t>
      </w:r>
      <w:r>
        <w:rPr>
          <w:rFonts w:ascii="Arial" w:hAnsi="Arial" w:cs="Arial"/>
          <w:sz w:val="24"/>
          <w:szCs w:val="24"/>
        </w:rPr>
        <w:t xml:space="preserve">; </w:t>
      </w:r>
      <w:r w:rsidRPr="009F386E">
        <w:rPr>
          <w:rFonts w:ascii="Arial" w:hAnsi="Arial" w:cs="Arial"/>
          <w:sz w:val="24"/>
          <w:szCs w:val="24"/>
        </w:rPr>
        <w:t>those costs ranged from $0.001-$44.80.  The variability seen in the range is due to the number of sources of the system requiring quarterly monitoring and the population served by that system.  As an example, the largest system identified had 206 sources that could require quarterly monitoring at $224 each.  Assuming that all 206 sources could require quarterly monitoring, this would yield an annual system cost of $46,144.00.  To determine how that would affect the customers, that annual costs was divided by the estimated population of 537,659 individuals that are served by the PWS, which results in the annual cost per person estimated at $0.09.  In order to determine the impact, the State Water Board considered the mean</w:t>
      </w:r>
      <w:r>
        <w:rPr>
          <w:rFonts w:ascii="Arial" w:hAnsi="Arial" w:cs="Arial"/>
          <w:sz w:val="24"/>
          <w:szCs w:val="24"/>
        </w:rPr>
        <w:t>,</w:t>
      </w:r>
      <w:r w:rsidRPr="009F386E">
        <w:rPr>
          <w:rFonts w:ascii="Arial" w:hAnsi="Arial" w:cs="Arial"/>
          <w:sz w:val="24"/>
          <w:szCs w:val="24"/>
        </w:rPr>
        <w:t xml:space="preserve"> median</w:t>
      </w:r>
      <w:r>
        <w:rPr>
          <w:rFonts w:ascii="Arial" w:hAnsi="Arial" w:cs="Arial"/>
          <w:sz w:val="24"/>
          <w:szCs w:val="24"/>
        </w:rPr>
        <w:t>, and mode</w:t>
      </w:r>
      <w:r w:rsidRPr="009F386E">
        <w:rPr>
          <w:rFonts w:ascii="Arial" w:hAnsi="Arial" w:cs="Arial"/>
          <w:sz w:val="24"/>
          <w:szCs w:val="24"/>
        </w:rPr>
        <w:t xml:space="preserve"> for the cost per person and per water system.  Table 4 summarizes these cost estimates.</w:t>
      </w:r>
    </w:p>
    <w:p w14:paraId="525454F7" w14:textId="77777777" w:rsidR="00F32BBA" w:rsidRPr="00DC58B9" w:rsidRDefault="00F32BBA" w:rsidP="00F32BBA">
      <w:pPr>
        <w:pStyle w:val="Caption"/>
        <w:keepNext/>
        <w:keepLines/>
        <w:spacing w:after="120"/>
        <w:rPr>
          <w:rFonts w:ascii="Arial" w:hAnsi="Arial" w:cs="Arial"/>
          <w:strike/>
          <w:color w:val="auto"/>
          <w:sz w:val="24"/>
          <w:szCs w:val="24"/>
        </w:rPr>
      </w:pPr>
      <w:r w:rsidRPr="00DC58B9">
        <w:rPr>
          <w:rFonts w:ascii="Arial" w:hAnsi="Arial" w:cs="Arial"/>
          <w:strike/>
          <w:color w:val="auto"/>
          <w:sz w:val="24"/>
          <w:szCs w:val="24"/>
        </w:rPr>
        <w:lastRenderedPageBreak/>
        <w:t>Table 4 - Statewide Annual Average Costs per Person and Water System for Impacted Water Systems</w:t>
      </w:r>
    </w:p>
    <w:tbl>
      <w:tblPr>
        <w:tblStyle w:val="TableGrid"/>
        <w:tblW w:w="9560" w:type="dxa"/>
        <w:tblLayout w:type="fixed"/>
        <w:tblLook w:val="04A0" w:firstRow="1" w:lastRow="0" w:firstColumn="1" w:lastColumn="0" w:noHBand="0" w:noVBand="1"/>
      </w:tblPr>
      <w:tblGrid>
        <w:gridCol w:w="3793"/>
        <w:gridCol w:w="1921"/>
        <w:gridCol w:w="1923"/>
        <w:gridCol w:w="1923"/>
      </w:tblGrid>
      <w:tr w:rsidR="00F32BBA" w:rsidRPr="00FF0DF8" w14:paraId="544357AA" w14:textId="77777777" w:rsidTr="004662B9">
        <w:trPr>
          <w:trHeight w:val="638"/>
          <w:tblHeader/>
        </w:trPr>
        <w:tc>
          <w:tcPr>
            <w:tcW w:w="3793" w:type="dxa"/>
            <w:vAlign w:val="center"/>
            <w:hideMark/>
          </w:tcPr>
          <w:p w14:paraId="084C65FE" w14:textId="77777777" w:rsidR="00F32BBA" w:rsidRPr="00DC58B9" w:rsidRDefault="00F32BBA" w:rsidP="004662B9">
            <w:pPr>
              <w:keepNext/>
              <w:keepLines/>
              <w:rPr>
                <w:rFonts w:ascii="Arial" w:hAnsi="Arial" w:cs="Arial"/>
                <w:strike/>
                <w:sz w:val="24"/>
                <w:szCs w:val="24"/>
              </w:rPr>
            </w:pPr>
          </w:p>
        </w:tc>
        <w:tc>
          <w:tcPr>
            <w:tcW w:w="1921" w:type="dxa"/>
            <w:vAlign w:val="center"/>
            <w:hideMark/>
          </w:tcPr>
          <w:p w14:paraId="75F18814" w14:textId="77777777" w:rsidR="00F32BBA" w:rsidRPr="00DC58B9" w:rsidRDefault="00F32BBA" w:rsidP="004662B9">
            <w:pPr>
              <w:keepNext/>
              <w:keepLines/>
              <w:jc w:val="center"/>
              <w:rPr>
                <w:rFonts w:ascii="Arial" w:hAnsi="Arial" w:cs="Arial"/>
                <w:bCs/>
                <w:strike/>
                <w:sz w:val="24"/>
                <w:szCs w:val="24"/>
              </w:rPr>
            </w:pPr>
            <w:r w:rsidRPr="00DC58B9">
              <w:rPr>
                <w:rFonts w:ascii="Arial" w:hAnsi="Arial" w:cs="Arial"/>
                <w:bCs/>
                <w:strike/>
                <w:sz w:val="24"/>
                <w:szCs w:val="24"/>
              </w:rPr>
              <w:t>Mean</w:t>
            </w:r>
            <w:r w:rsidRPr="00DC58B9">
              <w:rPr>
                <w:rStyle w:val="FootnoteReference"/>
                <w:rFonts w:ascii="Arial" w:hAnsi="Arial" w:cs="Arial"/>
                <w:bCs/>
                <w:strike/>
                <w:sz w:val="24"/>
                <w:szCs w:val="24"/>
              </w:rPr>
              <w:footnoteReference w:id="3"/>
            </w:r>
            <w:r w:rsidRPr="00DC58B9">
              <w:rPr>
                <w:rFonts w:ascii="Arial" w:hAnsi="Arial" w:cs="Arial"/>
                <w:bCs/>
                <w:strike/>
                <w:sz w:val="24"/>
                <w:szCs w:val="24"/>
              </w:rPr>
              <w:t xml:space="preserve"> </w:t>
            </w:r>
          </w:p>
        </w:tc>
        <w:tc>
          <w:tcPr>
            <w:tcW w:w="1923" w:type="dxa"/>
            <w:vAlign w:val="center"/>
            <w:hideMark/>
          </w:tcPr>
          <w:p w14:paraId="4DFE5A0E" w14:textId="77777777" w:rsidR="00F32BBA" w:rsidRPr="00DC58B9" w:rsidRDefault="00F32BBA" w:rsidP="004662B9">
            <w:pPr>
              <w:keepNext/>
              <w:keepLines/>
              <w:jc w:val="center"/>
              <w:rPr>
                <w:rFonts w:ascii="Arial" w:hAnsi="Arial" w:cs="Arial"/>
                <w:bCs/>
                <w:strike/>
                <w:sz w:val="24"/>
                <w:szCs w:val="24"/>
              </w:rPr>
            </w:pPr>
            <w:r w:rsidRPr="00DC58B9">
              <w:rPr>
                <w:rFonts w:ascii="Arial" w:hAnsi="Arial" w:cs="Arial"/>
                <w:bCs/>
                <w:strike/>
                <w:sz w:val="24"/>
                <w:szCs w:val="24"/>
              </w:rPr>
              <w:t>Median</w:t>
            </w:r>
          </w:p>
        </w:tc>
        <w:tc>
          <w:tcPr>
            <w:tcW w:w="1923" w:type="dxa"/>
            <w:vAlign w:val="center"/>
            <w:hideMark/>
          </w:tcPr>
          <w:p w14:paraId="31D1AF6B" w14:textId="77777777" w:rsidR="00F32BBA" w:rsidRPr="00DC58B9" w:rsidRDefault="00F32BBA" w:rsidP="004662B9">
            <w:pPr>
              <w:keepNext/>
              <w:keepLines/>
              <w:jc w:val="center"/>
              <w:rPr>
                <w:rFonts w:ascii="Arial" w:hAnsi="Arial" w:cs="Arial"/>
                <w:bCs/>
                <w:strike/>
                <w:sz w:val="24"/>
                <w:szCs w:val="24"/>
              </w:rPr>
            </w:pPr>
            <w:r w:rsidRPr="00DC58B9">
              <w:rPr>
                <w:rFonts w:ascii="Arial" w:hAnsi="Arial" w:cs="Arial"/>
                <w:bCs/>
                <w:strike/>
                <w:sz w:val="24"/>
                <w:szCs w:val="24"/>
              </w:rPr>
              <w:t>Mode</w:t>
            </w:r>
          </w:p>
        </w:tc>
      </w:tr>
      <w:tr w:rsidR="00F32BBA" w:rsidRPr="00FF0DF8" w14:paraId="39C9A8E3" w14:textId="77777777" w:rsidTr="004662B9">
        <w:trPr>
          <w:trHeight w:hRule="exact" w:val="658"/>
        </w:trPr>
        <w:tc>
          <w:tcPr>
            <w:tcW w:w="3793" w:type="dxa"/>
            <w:vAlign w:val="center"/>
            <w:hideMark/>
          </w:tcPr>
          <w:p w14:paraId="3686ECA6" w14:textId="77777777" w:rsidR="00F32BBA" w:rsidRPr="00DC58B9" w:rsidRDefault="00F32BBA" w:rsidP="004662B9">
            <w:pPr>
              <w:keepNext/>
              <w:keepLines/>
              <w:rPr>
                <w:rFonts w:ascii="Arial" w:hAnsi="Arial" w:cs="Arial"/>
                <w:bCs/>
                <w:strike/>
                <w:sz w:val="24"/>
                <w:szCs w:val="24"/>
              </w:rPr>
            </w:pPr>
            <w:r w:rsidRPr="00DC58B9">
              <w:rPr>
                <w:rFonts w:ascii="Arial" w:hAnsi="Arial" w:cs="Arial"/>
                <w:bCs/>
                <w:strike/>
                <w:sz w:val="24"/>
                <w:szCs w:val="24"/>
              </w:rPr>
              <w:t>Estimated Cost per Person</w:t>
            </w:r>
          </w:p>
        </w:tc>
        <w:tc>
          <w:tcPr>
            <w:tcW w:w="1921" w:type="dxa"/>
            <w:vAlign w:val="center"/>
            <w:hideMark/>
          </w:tcPr>
          <w:p w14:paraId="7131789D" w14:textId="77777777" w:rsidR="00F32BBA" w:rsidRPr="00DC58B9" w:rsidRDefault="00F32BBA" w:rsidP="004662B9">
            <w:pPr>
              <w:keepNext/>
              <w:keepLines/>
              <w:jc w:val="center"/>
              <w:rPr>
                <w:rFonts w:ascii="Arial" w:hAnsi="Arial" w:cs="Arial"/>
                <w:strike/>
                <w:sz w:val="24"/>
                <w:szCs w:val="24"/>
              </w:rPr>
            </w:pPr>
            <w:r w:rsidRPr="00DC58B9">
              <w:rPr>
                <w:rFonts w:ascii="Arial" w:hAnsi="Arial" w:cs="Arial"/>
                <w:strike/>
                <w:sz w:val="24"/>
                <w:szCs w:val="24"/>
              </w:rPr>
              <w:t>$2.80</w:t>
            </w:r>
          </w:p>
        </w:tc>
        <w:tc>
          <w:tcPr>
            <w:tcW w:w="1923" w:type="dxa"/>
            <w:noWrap/>
            <w:vAlign w:val="center"/>
            <w:hideMark/>
          </w:tcPr>
          <w:p w14:paraId="11ED16D9" w14:textId="77777777" w:rsidR="00F32BBA" w:rsidRPr="00DC58B9" w:rsidRDefault="00F32BBA" w:rsidP="004662B9">
            <w:pPr>
              <w:keepNext/>
              <w:keepLines/>
              <w:jc w:val="center"/>
              <w:rPr>
                <w:rFonts w:ascii="Arial" w:hAnsi="Arial" w:cs="Arial"/>
                <w:strike/>
                <w:sz w:val="24"/>
                <w:szCs w:val="24"/>
              </w:rPr>
            </w:pPr>
            <w:r w:rsidRPr="00DC58B9">
              <w:rPr>
                <w:rFonts w:ascii="Arial" w:hAnsi="Arial" w:cs="Arial"/>
                <w:strike/>
                <w:sz w:val="24"/>
                <w:szCs w:val="24"/>
              </w:rPr>
              <w:t>$1.49</w:t>
            </w:r>
          </w:p>
        </w:tc>
        <w:tc>
          <w:tcPr>
            <w:tcW w:w="1923" w:type="dxa"/>
            <w:noWrap/>
            <w:vAlign w:val="center"/>
            <w:hideMark/>
          </w:tcPr>
          <w:p w14:paraId="4F924764" w14:textId="77777777" w:rsidR="00F32BBA" w:rsidRPr="00DC58B9" w:rsidRDefault="00F32BBA" w:rsidP="004662B9">
            <w:pPr>
              <w:keepNext/>
              <w:keepLines/>
              <w:jc w:val="center"/>
              <w:rPr>
                <w:rFonts w:ascii="Arial" w:hAnsi="Arial" w:cs="Arial"/>
                <w:strike/>
                <w:sz w:val="24"/>
                <w:szCs w:val="24"/>
              </w:rPr>
            </w:pPr>
            <w:r w:rsidRPr="00DC58B9">
              <w:rPr>
                <w:rFonts w:ascii="Arial" w:hAnsi="Arial" w:cs="Arial"/>
                <w:strike/>
                <w:sz w:val="24"/>
                <w:szCs w:val="24"/>
              </w:rPr>
              <w:t>$8.96</w:t>
            </w:r>
          </w:p>
        </w:tc>
      </w:tr>
      <w:tr w:rsidR="00F32BBA" w:rsidRPr="00FF0DF8" w14:paraId="06C0A92E" w14:textId="77777777" w:rsidTr="004662B9">
        <w:trPr>
          <w:trHeight w:hRule="exact" w:val="658"/>
        </w:trPr>
        <w:tc>
          <w:tcPr>
            <w:tcW w:w="3793" w:type="dxa"/>
            <w:vAlign w:val="center"/>
          </w:tcPr>
          <w:p w14:paraId="0860D2FA" w14:textId="77777777" w:rsidR="00F32BBA" w:rsidRPr="00DC58B9" w:rsidRDefault="00F32BBA" w:rsidP="004662B9">
            <w:pPr>
              <w:keepNext/>
              <w:keepLines/>
              <w:rPr>
                <w:rFonts w:ascii="Arial" w:hAnsi="Arial" w:cs="Arial"/>
                <w:bCs/>
                <w:strike/>
                <w:sz w:val="24"/>
                <w:szCs w:val="24"/>
              </w:rPr>
            </w:pPr>
            <w:r w:rsidRPr="00DC58B9">
              <w:rPr>
                <w:rFonts w:ascii="Arial" w:hAnsi="Arial" w:cs="Arial"/>
                <w:bCs/>
                <w:strike/>
                <w:sz w:val="24"/>
                <w:szCs w:val="24"/>
              </w:rPr>
              <w:t>Estimated Cost per Water System</w:t>
            </w:r>
          </w:p>
        </w:tc>
        <w:tc>
          <w:tcPr>
            <w:tcW w:w="1921" w:type="dxa"/>
            <w:vAlign w:val="center"/>
          </w:tcPr>
          <w:p w14:paraId="058A7161" w14:textId="77777777" w:rsidR="00F32BBA" w:rsidRPr="00DC58B9" w:rsidRDefault="00F32BBA" w:rsidP="004662B9">
            <w:pPr>
              <w:keepNext/>
              <w:keepLines/>
              <w:jc w:val="center"/>
              <w:rPr>
                <w:rFonts w:ascii="Arial" w:hAnsi="Arial" w:cs="Arial"/>
                <w:strike/>
                <w:sz w:val="24"/>
                <w:szCs w:val="24"/>
              </w:rPr>
            </w:pPr>
            <w:r w:rsidRPr="00DC58B9">
              <w:rPr>
                <w:rFonts w:ascii="Arial" w:hAnsi="Arial" w:cs="Arial"/>
                <w:strike/>
                <w:sz w:val="24"/>
                <w:szCs w:val="24"/>
              </w:rPr>
              <w:t>$682.89</w:t>
            </w:r>
          </w:p>
        </w:tc>
        <w:tc>
          <w:tcPr>
            <w:tcW w:w="1923" w:type="dxa"/>
            <w:noWrap/>
            <w:vAlign w:val="center"/>
          </w:tcPr>
          <w:p w14:paraId="2B2C3E54" w14:textId="77777777" w:rsidR="00F32BBA" w:rsidRPr="00DC58B9" w:rsidRDefault="00F32BBA" w:rsidP="004662B9">
            <w:pPr>
              <w:keepNext/>
              <w:keepLines/>
              <w:jc w:val="center"/>
              <w:rPr>
                <w:rFonts w:ascii="Arial" w:hAnsi="Arial" w:cs="Arial"/>
                <w:strike/>
                <w:sz w:val="24"/>
                <w:szCs w:val="24"/>
              </w:rPr>
            </w:pPr>
            <w:r w:rsidRPr="00DC58B9">
              <w:rPr>
                <w:rFonts w:ascii="Arial" w:hAnsi="Arial" w:cs="Arial"/>
                <w:strike/>
                <w:sz w:val="24"/>
                <w:szCs w:val="24"/>
              </w:rPr>
              <w:t>$224.00</w:t>
            </w:r>
          </w:p>
        </w:tc>
        <w:tc>
          <w:tcPr>
            <w:tcW w:w="1923" w:type="dxa"/>
            <w:noWrap/>
            <w:vAlign w:val="center"/>
          </w:tcPr>
          <w:p w14:paraId="5B5FD6CF" w14:textId="77777777" w:rsidR="00F32BBA" w:rsidRPr="00DC58B9" w:rsidRDefault="00F32BBA" w:rsidP="004662B9">
            <w:pPr>
              <w:keepNext/>
              <w:keepLines/>
              <w:jc w:val="center"/>
              <w:rPr>
                <w:rFonts w:ascii="Arial" w:hAnsi="Arial" w:cs="Arial"/>
                <w:strike/>
                <w:sz w:val="24"/>
                <w:szCs w:val="24"/>
              </w:rPr>
            </w:pPr>
            <w:r w:rsidRPr="00DC58B9">
              <w:rPr>
                <w:rFonts w:ascii="Arial" w:hAnsi="Arial" w:cs="Arial"/>
                <w:strike/>
                <w:sz w:val="24"/>
                <w:szCs w:val="24"/>
              </w:rPr>
              <w:t>$224.00</w:t>
            </w:r>
          </w:p>
        </w:tc>
      </w:tr>
    </w:tbl>
    <w:p w14:paraId="2827055B" w14:textId="1A39DC75" w:rsidR="00F32BBA" w:rsidRDefault="00F32BBA" w:rsidP="00F32BBA">
      <w:pPr>
        <w:keepNext/>
        <w:spacing w:after="120"/>
        <w:rPr>
          <w:rFonts w:ascii="Arial" w:hAnsi="Arial" w:cs="Arial"/>
          <w:iCs/>
          <w:sz w:val="24"/>
          <w:szCs w:val="24"/>
        </w:rPr>
      </w:pPr>
    </w:p>
    <w:p w14:paraId="652595B7" w14:textId="77777777" w:rsidR="00FF0DF8" w:rsidRPr="00DC58B9" w:rsidRDefault="00FF0DF8" w:rsidP="00FF0DF8">
      <w:pPr>
        <w:pStyle w:val="Caption"/>
        <w:keepNext/>
        <w:keepLines/>
        <w:spacing w:after="120"/>
        <w:rPr>
          <w:rFonts w:ascii="Arial" w:hAnsi="Arial" w:cs="Arial"/>
          <w:color w:val="auto"/>
          <w:sz w:val="24"/>
          <w:szCs w:val="24"/>
          <w:u w:val="single"/>
        </w:rPr>
      </w:pPr>
      <w:r w:rsidRPr="00DC58B9">
        <w:rPr>
          <w:rFonts w:ascii="Arial" w:hAnsi="Arial" w:cs="Arial"/>
          <w:color w:val="auto"/>
          <w:sz w:val="24"/>
          <w:szCs w:val="24"/>
          <w:u w:val="single"/>
        </w:rPr>
        <w:t>Table 4 – Highest Statewide Annual Average Costs per Person and Water System for Impacted Water Systems during Phase I and Phase II</w:t>
      </w:r>
    </w:p>
    <w:tbl>
      <w:tblPr>
        <w:tblStyle w:val="TableGrid"/>
        <w:tblW w:w="9560" w:type="dxa"/>
        <w:tblLayout w:type="fixed"/>
        <w:tblLook w:val="04A0" w:firstRow="1" w:lastRow="0" w:firstColumn="1" w:lastColumn="0" w:noHBand="0" w:noVBand="1"/>
      </w:tblPr>
      <w:tblGrid>
        <w:gridCol w:w="3793"/>
        <w:gridCol w:w="1921"/>
        <w:gridCol w:w="1923"/>
        <w:gridCol w:w="1923"/>
      </w:tblGrid>
      <w:tr w:rsidR="00FF0DF8" w:rsidRPr="00FF0DF8" w14:paraId="7424E4B2" w14:textId="77777777" w:rsidTr="0017580B">
        <w:trPr>
          <w:trHeight w:val="638"/>
          <w:tblHeader/>
        </w:trPr>
        <w:tc>
          <w:tcPr>
            <w:tcW w:w="3793" w:type="dxa"/>
            <w:vAlign w:val="center"/>
            <w:hideMark/>
          </w:tcPr>
          <w:p w14:paraId="6DED7C72" w14:textId="77777777" w:rsidR="00FF0DF8" w:rsidRPr="00DC58B9" w:rsidRDefault="00FF0DF8" w:rsidP="0017580B">
            <w:pPr>
              <w:keepNext/>
              <w:keepLines/>
              <w:rPr>
                <w:rFonts w:ascii="Arial" w:hAnsi="Arial" w:cs="Arial"/>
                <w:sz w:val="24"/>
                <w:szCs w:val="24"/>
                <w:u w:val="single"/>
              </w:rPr>
            </w:pPr>
          </w:p>
        </w:tc>
        <w:tc>
          <w:tcPr>
            <w:tcW w:w="1921" w:type="dxa"/>
            <w:vAlign w:val="center"/>
            <w:hideMark/>
          </w:tcPr>
          <w:p w14:paraId="4ACC21FE" w14:textId="22286F69" w:rsidR="00FF0DF8" w:rsidRPr="00DC58B9" w:rsidRDefault="00FF0DF8" w:rsidP="0017580B">
            <w:pPr>
              <w:keepNext/>
              <w:keepLines/>
              <w:jc w:val="center"/>
              <w:rPr>
                <w:rFonts w:ascii="Arial" w:hAnsi="Arial" w:cs="Arial"/>
                <w:bCs/>
                <w:sz w:val="24"/>
                <w:szCs w:val="24"/>
                <w:u w:val="single"/>
              </w:rPr>
            </w:pPr>
            <w:r w:rsidRPr="00DC58B9">
              <w:rPr>
                <w:rFonts w:ascii="Arial" w:hAnsi="Arial" w:cs="Arial"/>
                <w:bCs/>
                <w:sz w:val="24"/>
                <w:szCs w:val="24"/>
                <w:u w:val="single"/>
              </w:rPr>
              <w:t>Mean</w:t>
            </w:r>
            <w:r w:rsidR="0049454E">
              <w:rPr>
                <w:rStyle w:val="FootnoteReference"/>
                <w:rFonts w:ascii="Arial" w:hAnsi="Arial" w:cs="Arial"/>
                <w:bCs/>
                <w:sz w:val="24"/>
                <w:szCs w:val="24"/>
                <w:u w:val="single"/>
              </w:rPr>
              <w:footnoteReference w:customMarkFollows="1" w:id="4"/>
              <w:t>3</w:t>
            </w:r>
            <w:r w:rsidRPr="00DC58B9">
              <w:rPr>
                <w:rFonts w:ascii="Arial" w:hAnsi="Arial" w:cs="Arial"/>
                <w:bCs/>
                <w:sz w:val="24"/>
                <w:szCs w:val="24"/>
                <w:u w:val="single"/>
              </w:rPr>
              <w:t xml:space="preserve"> </w:t>
            </w:r>
          </w:p>
        </w:tc>
        <w:tc>
          <w:tcPr>
            <w:tcW w:w="1923" w:type="dxa"/>
            <w:vAlign w:val="center"/>
            <w:hideMark/>
          </w:tcPr>
          <w:p w14:paraId="1440DB6D" w14:textId="77777777" w:rsidR="00FF0DF8" w:rsidRPr="00DC58B9" w:rsidRDefault="00FF0DF8" w:rsidP="0017580B">
            <w:pPr>
              <w:keepNext/>
              <w:keepLines/>
              <w:jc w:val="center"/>
              <w:rPr>
                <w:rFonts w:ascii="Arial" w:hAnsi="Arial" w:cs="Arial"/>
                <w:bCs/>
                <w:sz w:val="24"/>
                <w:szCs w:val="24"/>
                <w:u w:val="single"/>
              </w:rPr>
            </w:pPr>
            <w:r w:rsidRPr="00DC58B9">
              <w:rPr>
                <w:rFonts w:ascii="Arial" w:hAnsi="Arial" w:cs="Arial"/>
                <w:bCs/>
                <w:sz w:val="24"/>
                <w:szCs w:val="24"/>
                <w:u w:val="single"/>
              </w:rPr>
              <w:t>Median</w:t>
            </w:r>
          </w:p>
        </w:tc>
        <w:tc>
          <w:tcPr>
            <w:tcW w:w="1923" w:type="dxa"/>
            <w:vAlign w:val="center"/>
            <w:hideMark/>
          </w:tcPr>
          <w:p w14:paraId="172EA962" w14:textId="77777777" w:rsidR="00FF0DF8" w:rsidRPr="00DC58B9" w:rsidRDefault="00FF0DF8" w:rsidP="0017580B">
            <w:pPr>
              <w:keepNext/>
              <w:keepLines/>
              <w:jc w:val="center"/>
              <w:rPr>
                <w:rFonts w:ascii="Arial" w:hAnsi="Arial" w:cs="Arial"/>
                <w:bCs/>
                <w:sz w:val="24"/>
                <w:szCs w:val="24"/>
                <w:u w:val="single"/>
              </w:rPr>
            </w:pPr>
            <w:r w:rsidRPr="00DC58B9">
              <w:rPr>
                <w:rFonts w:ascii="Arial" w:hAnsi="Arial" w:cs="Arial"/>
                <w:bCs/>
                <w:sz w:val="24"/>
                <w:szCs w:val="24"/>
                <w:u w:val="single"/>
              </w:rPr>
              <w:t>Mode</w:t>
            </w:r>
          </w:p>
        </w:tc>
      </w:tr>
      <w:tr w:rsidR="00FF0DF8" w:rsidRPr="00FF0DF8" w14:paraId="0087B5C9" w14:textId="77777777" w:rsidTr="0017580B">
        <w:trPr>
          <w:trHeight w:hRule="exact" w:val="658"/>
        </w:trPr>
        <w:tc>
          <w:tcPr>
            <w:tcW w:w="3793" w:type="dxa"/>
            <w:vAlign w:val="center"/>
            <w:hideMark/>
          </w:tcPr>
          <w:p w14:paraId="46668789" w14:textId="77777777" w:rsidR="00FF0DF8" w:rsidRPr="00DC58B9" w:rsidRDefault="00FF0DF8" w:rsidP="0017580B">
            <w:pPr>
              <w:keepNext/>
              <w:keepLines/>
              <w:rPr>
                <w:rFonts w:ascii="Arial" w:hAnsi="Arial" w:cs="Arial"/>
                <w:bCs/>
                <w:sz w:val="24"/>
                <w:szCs w:val="24"/>
                <w:u w:val="single"/>
              </w:rPr>
            </w:pPr>
            <w:r w:rsidRPr="00DC58B9">
              <w:rPr>
                <w:rFonts w:ascii="Arial" w:hAnsi="Arial" w:cs="Arial"/>
                <w:bCs/>
                <w:sz w:val="24"/>
                <w:szCs w:val="24"/>
                <w:u w:val="single"/>
              </w:rPr>
              <w:t>Estimated Cost per Person – Phase 1 (January 1, 2021- 2024)</w:t>
            </w:r>
          </w:p>
        </w:tc>
        <w:tc>
          <w:tcPr>
            <w:tcW w:w="1921" w:type="dxa"/>
            <w:vAlign w:val="center"/>
            <w:hideMark/>
          </w:tcPr>
          <w:p w14:paraId="666A6ACF" w14:textId="77777777" w:rsidR="00FF0DF8" w:rsidRPr="00DC58B9" w:rsidRDefault="00FF0DF8" w:rsidP="0017580B">
            <w:pPr>
              <w:keepNext/>
              <w:keepLines/>
              <w:jc w:val="center"/>
              <w:rPr>
                <w:rFonts w:ascii="Arial" w:hAnsi="Arial" w:cs="Arial"/>
                <w:sz w:val="24"/>
                <w:szCs w:val="24"/>
                <w:u w:val="single"/>
              </w:rPr>
            </w:pPr>
            <w:r w:rsidRPr="00DC58B9">
              <w:rPr>
                <w:rFonts w:ascii="Arial" w:hAnsi="Arial" w:cs="Arial"/>
                <w:sz w:val="24"/>
                <w:szCs w:val="24"/>
                <w:u w:val="single"/>
              </w:rPr>
              <w:t>$2.80</w:t>
            </w:r>
          </w:p>
        </w:tc>
        <w:tc>
          <w:tcPr>
            <w:tcW w:w="1923" w:type="dxa"/>
            <w:noWrap/>
            <w:vAlign w:val="center"/>
            <w:hideMark/>
          </w:tcPr>
          <w:p w14:paraId="1B907173" w14:textId="77777777" w:rsidR="00FF0DF8" w:rsidRPr="00DC58B9" w:rsidRDefault="00FF0DF8" w:rsidP="0017580B">
            <w:pPr>
              <w:keepNext/>
              <w:keepLines/>
              <w:jc w:val="center"/>
              <w:rPr>
                <w:rFonts w:ascii="Arial" w:hAnsi="Arial" w:cs="Arial"/>
                <w:sz w:val="24"/>
                <w:szCs w:val="24"/>
                <w:u w:val="single"/>
              </w:rPr>
            </w:pPr>
            <w:r w:rsidRPr="00DC58B9">
              <w:rPr>
                <w:rFonts w:ascii="Arial" w:hAnsi="Arial" w:cs="Arial"/>
                <w:sz w:val="24"/>
                <w:szCs w:val="24"/>
                <w:u w:val="single"/>
              </w:rPr>
              <w:t>$1.49</w:t>
            </w:r>
          </w:p>
        </w:tc>
        <w:tc>
          <w:tcPr>
            <w:tcW w:w="1923" w:type="dxa"/>
            <w:noWrap/>
            <w:vAlign w:val="center"/>
            <w:hideMark/>
          </w:tcPr>
          <w:p w14:paraId="0F5D11FC" w14:textId="77777777" w:rsidR="00FF0DF8" w:rsidRPr="00DC58B9" w:rsidRDefault="00FF0DF8" w:rsidP="0017580B">
            <w:pPr>
              <w:keepNext/>
              <w:keepLines/>
              <w:jc w:val="center"/>
              <w:rPr>
                <w:rFonts w:ascii="Arial" w:hAnsi="Arial" w:cs="Arial"/>
                <w:sz w:val="24"/>
                <w:szCs w:val="24"/>
                <w:u w:val="single"/>
              </w:rPr>
            </w:pPr>
            <w:r w:rsidRPr="00DC58B9">
              <w:rPr>
                <w:rFonts w:ascii="Arial" w:hAnsi="Arial" w:cs="Arial"/>
                <w:sz w:val="24"/>
                <w:szCs w:val="24"/>
                <w:u w:val="single"/>
              </w:rPr>
              <w:t>$8.96</w:t>
            </w:r>
          </w:p>
        </w:tc>
      </w:tr>
      <w:tr w:rsidR="00FF0DF8" w:rsidRPr="00FF0DF8" w14:paraId="5681BA6B" w14:textId="77777777" w:rsidTr="0017580B">
        <w:trPr>
          <w:trHeight w:hRule="exact" w:val="892"/>
        </w:trPr>
        <w:tc>
          <w:tcPr>
            <w:tcW w:w="3793" w:type="dxa"/>
            <w:vAlign w:val="center"/>
          </w:tcPr>
          <w:p w14:paraId="71558D33" w14:textId="77777777" w:rsidR="00FF0DF8" w:rsidRPr="00DC58B9" w:rsidRDefault="00FF0DF8" w:rsidP="0017580B">
            <w:pPr>
              <w:keepNext/>
              <w:keepLines/>
              <w:rPr>
                <w:rFonts w:ascii="Arial" w:hAnsi="Arial" w:cs="Arial"/>
                <w:bCs/>
                <w:sz w:val="24"/>
                <w:szCs w:val="24"/>
                <w:u w:val="single"/>
              </w:rPr>
            </w:pPr>
            <w:r w:rsidRPr="00DC58B9">
              <w:rPr>
                <w:rFonts w:ascii="Arial" w:hAnsi="Arial" w:cs="Arial"/>
                <w:bCs/>
                <w:sz w:val="24"/>
                <w:szCs w:val="24"/>
                <w:u w:val="single"/>
              </w:rPr>
              <w:t>Estimated Cost per Water System – Phase 1 (January 1, 2021- 2024)</w:t>
            </w:r>
          </w:p>
        </w:tc>
        <w:tc>
          <w:tcPr>
            <w:tcW w:w="1921" w:type="dxa"/>
            <w:vAlign w:val="center"/>
          </w:tcPr>
          <w:p w14:paraId="7A16CBAB" w14:textId="77777777" w:rsidR="00FF0DF8" w:rsidRPr="00DC58B9" w:rsidRDefault="00FF0DF8" w:rsidP="0017580B">
            <w:pPr>
              <w:keepNext/>
              <w:keepLines/>
              <w:jc w:val="center"/>
              <w:rPr>
                <w:rFonts w:ascii="Arial" w:hAnsi="Arial" w:cs="Arial"/>
                <w:sz w:val="24"/>
                <w:szCs w:val="24"/>
                <w:u w:val="single"/>
              </w:rPr>
            </w:pPr>
            <w:r w:rsidRPr="00DC58B9">
              <w:rPr>
                <w:rFonts w:ascii="Arial" w:hAnsi="Arial" w:cs="Arial"/>
                <w:sz w:val="24"/>
                <w:szCs w:val="24"/>
                <w:u w:val="single"/>
              </w:rPr>
              <w:t>$682.89</w:t>
            </w:r>
          </w:p>
        </w:tc>
        <w:tc>
          <w:tcPr>
            <w:tcW w:w="1923" w:type="dxa"/>
            <w:noWrap/>
            <w:vAlign w:val="center"/>
          </w:tcPr>
          <w:p w14:paraId="57906B50" w14:textId="77777777" w:rsidR="00FF0DF8" w:rsidRPr="00DC58B9" w:rsidRDefault="00FF0DF8" w:rsidP="0017580B">
            <w:pPr>
              <w:keepNext/>
              <w:keepLines/>
              <w:jc w:val="center"/>
              <w:rPr>
                <w:rFonts w:ascii="Arial" w:hAnsi="Arial" w:cs="Arial"/>
                <w:sz w:val="24"/>
                <w:szCs w:val="24"/>
                <w:u w:val="single"/>
              </w:rPr>
            </w:pPr>
            <w:r w:rsidRPr="00DC58B9">
              <w:rPr>
                <w:rFonts w:ascii="Arial" w:hAnsi="Arial" w:cs="Arial"/>
                <w:sz w:val="24"/>
                <w:szCs w:val="24"/>
                <w:u w:val="single"/>
              </w:rPr>
              <w:t>$224.00</w:t>
            </w:r>
          </w:p>
        </w:tc>
        <w:tc>
          <w:tcPr>
            <w:tcW w:w="1923" w:type="dxa"/>
            <w:noWrap/>
            <w:vAlign w:val="center"/>
          </w:tcPr>
          <w:p w14:paraId="5A71B035" w14:textId="77777777" w:rsidR="00FF0DF8" w:rsidRPr="00DC58B9" w:rsidRDefault="00FF0DF8" w:rsidP="0017580B">
            <w:pPr>
              <w:keepNext/>
              <w:keepLines/>
              <w:jc w:val="center"/>
              <w:rPr>
                <w:rFonts w:ascii="Arial" w:hAnsi="Arial" w:cs="Arial"/>
                <w:sz w:val="24"/>
                <w:szCs w:val="24"/>
                <w:u w:val="single"/>
              </w:rPr>
            </w:pPr>
            <w:r w:rsidRPr="00DC58B9">
              <w:rPr>
                <w:rFonts w:ascii="Arial" w:hAnsi="Arial" w:cs="Arial"/>
                <w:sz w:val="24"/>
                <w:szCs w:val="24"/>
                <w:u w:val="single"/>
              </w:rPr>
              <w:t>$224.00</w:t>
            </w:r>
          </w:p>
        </w:tc>
      </w:tr>
      <w:tr w:rsidR="00FF0DF8" w:rsidRPr="00FF0DF8" w14:paraId="6F937010" w14:textId="77777777" w:rsidTr="0017580B">
        <w:trPr>
          <w:trHeight w:hRule="exact" w:val="658"/>
        </w:trPr>
        <w:tc>
          <w:tcPr>
            <w:tcW w:w="3793" w:type="dxa"/>
            <w:vAlign w:val="center"/>
          </w:tcPr>
          <w:p w14:paraId="49D97A8E" w14:textId="77777777" w:rsidR="00FF0DF8" w:rsidRPr="00DC58B9" w:rsidRDefault="00FF0DF8" w:rsidP="0017580B">
            <w:pPr>
              <w:keepNext/>
              <w:keepLines/>
              <w:rPr>
                <w:rFonts w:ascii="Arial" w:hAnsi="Arial" w:cs="Arial"/>
                <w:bCs/>
                <w:sz w:val="24"/>
                <w:szCs w:val="24"/>
                <w:u w:val="single"/>
              </w:rPr>
            </w:pPr>
            <w:r w:rsidRPr="00DC58B9">
              <w:rPr>
                <w:rFonts w:ascii="Arial" w:hAnsi="Arial" w:cs="Arial"/>
                <w:bCs/>
                <w:sz w:val="24"/>
                <w:szCs w:val="24"/>
                <w:u w:val="single"/>
              </w:rPr>
              <w:t>Estimated Cost per Person – Phase 2 (January 1, 2024 - )</w:t>
            </w:r>
          </w:p>
        </w:tc>
        <w:tc>
          <w:tcPr>
            <w:tcW w:w="1921" w:type="dxa"/>
            <w:vAlign w:val="center"/>
          </w:tcPr>
          <w:p w14:paraId="373F71B4" w14:textId="77777777" w:rsidR="00FF0DF8" w:rsidRPr="00DC58B9" w:rsidRDefault="00FF0DF8" w:rsidP="0017580B">
            <w:pPr>
              <w:keepNext/>
              <w:keepLines/>
              <w:jc w:val="center"/>
              <w:rPr>
                <w:rFonts w:ascii="Arial" w:hAnsi="Arial" w:cs="Arial"/>
                <w:sz w:val="24"/>
                <w:szCs w:val="24"/>
                <w:u w:val="single"/>
              </w:rPr>
            </w:pPr>
            <w:r w:rsidRPr="00DC58B9">
              <w:rPr>
                <w:rFonts w:ascii="Arial" w:hAnsi="Arial" w:cs="Arial"/>
                <w:sz w:val="24"/>
                <w:szCs w:val="24"/>
                <w:u w:val="single"/>
              </w:rPr>
              <w:t>$11.20</w:t>
            </w:r>
          </w:p>
        </w:tc>
        <w:tc>
          <w:tcPr>
            <w:tcW w:w="1923" w:type="dxa"/>
            <w:noWrap/>
            <w:vAlign w:val="center"/>
          </w:tcPr>
          <w:p w14:paraId="17F9D13F" w14:textId="77777777" w:rsidR="00FF0DF8" w:rsidRPr="00DC58B9" w:rsidRDefault="00FF0DF8" w:rsidP="0017580B">
            <w:pPr>
              <w:keepNext/>
              <w:keepLines/>
              <w:jc w:val="center"/>
              <w:rPr>
                <w:rFonts w:ascii="Arial" w:hAnsi="Arial" w:cs="Arial"/>
                <w:sz w:val="24"/>
                <w:szCs w:val="24"/>
                <w:u w:val="single"/>
              </w:rPr>
            </w:pPr>
            <w:r w:rsidRPr="00DC58B9">
              <w:rPr>
                <w:rFonts w:ascii="Arial" w:hAnsi="Arial" w:cs="Arial"/>
                <w:sz w:val="24"/>
                <w:szCs w:val="24"/>
                <w:u w:val="single"/>
              </w:rPr>
              <w:t>$5.96</w:t>
            </w:r>
          </w:p>
        </w:tc>
        <w:tc>
          <w:tcPr>
            <w:tcW w:w="1923" w:type="dxa"/>
            <w:noWrap/>
            <w:vAlign w:val="center"/>
          </w:tcPr>
          <w:p w14:paraId="65DD22F8" w14:textId="77777777" w:rsidR="00FF0DF8" w:rsidRPr="00DC58B9" w:rsidRDefault="00FF0DF8" w:rsidP="0017580B">
            <w:pPr>
              <w:keepNext/>
              <w:keepLines/>
              <w:jc w:val="center"/>
              <w:rPr>
                <w:rFonts w:ascii="Arial" w:hAnsi="Arial" w:cs="Arial"/>
                <w:sz w:val="24"/>
                <w:szCs w:val="24"/>
                <w:u w:val="single"/>
              </w:rPr>
            </w:pPr>
            <w:r w:rsidRPr="00DC58B9">
              <w:rPr>
                <w:rFonts w:ascii="Arial" w:hAnsi="Arial" w:cs="Arial"/>
                <w:sz w:val="24"/>
                <w:szCs w:val="24"/>
                <w:u w:val="single"/>
              </w:rPr>
              <w:t>$35.84</w:t>
            </w:r>
          </w:p>
        </w:tc>
      </w:tr>
      <w:tr w:rsidR="00FF0DF8" w:rsidRPr="00FF0DF8" w14:paraId="59E2AEA0" w14:textId="77777777" w:rsidTr="0017580B">
        <w:trPr>
          <w:trHeight w:hRule="exact" w:val="973"/>
        </w:trPr>
        <w:tc>
          <w:tcPr>
            <w:tcW w:w="3793" w:type="dxa"/>
            <w:vAlign w:val="center"/>
          </w:tcPr>
          <w:p w14:paraId="063F0C34" w14:textId="77777777" w:rsidR="00FF0DF8" w:rsidRPr="00DC58B9" w:rsidRDefault="00FF0DF8" w:rsidP="0017580B">
            <w:pPr>
              <w:keepNext/>
              <w:keepLines/>
              <w:rPr>
                <w:rFonts w:ascii="Arial" w:hAnsi="Arial" w:cs="Arial"/>
                <w:bCs/>
                <w:sz w:val="24"/>
                <w:szCs w:val="24"/>
                <w:u w:val="single"/>
              </w:rPr>
            </w:pPr>
            <w:r w:rsidRPr="00DC58B9">
              <w:rPr>
                <w:rFonts w:ascii="Arial" w:hAnsi="Arial" w:cs="Arial"/>
                <w:bCs/>
                <w:sz w:val="24"/>
                <w:szCs w:val="24"/>
                <w:u w:val="single"/>
              </w:rPr>
              <w:t>Estimated Cost per Water System – Phase 2 (January 1, 2024 - )</w:t>
            </w:r>
          </w:p>
        </w:tc>
        <w:tc>
          <w:tcPr>
            <w:tcW w:w="1921" w:type="dxa"/>
            <w:vAlign w:val="center"/>
          </w:tcPr>
          <w:p w14:paraId="3BC3DA11" w14:textId="77777777" w:rsidR="00FF0DF8" w:rsidRPr="00DC58B9" w:rsidRDefault="00FF0DF8" w:rsidP="0017580B">
            <w:pPr>
              <w:keepNext/>
              <w:keepLines/>
              <w:jc w:val="center"/>
              <w:rPr>
                <w:rFonts w:ascii="Arial" w:hAnsi="Arial" w:cs="Arial"/>
                <w:sz w:val="24"/>
                <w:szCs w:val="24"/>
                <w:u w:val="single"/>
              </w:rPr>
            </w:pPr>
            <w:r w:rsidRPr="00DC58B9">
              <w:rPr>
                <w:rFonts w:ascii="Arial" w:hAnsi="Arial" w:cs="Arial"/>
                <w:sz w:val="24"/>
                <w:szCs w:val="24"/>
                <w:u w:val="single"/>
              </w:rPr>
              <w:t>$2,731.56</w:t>
            </w:r>
          </w:p>
        </w:tc>
        <w:tc>
          <w:tcPr>
            <w:tcW w:w="1923" w:type="dxa"/>
            <w:noWrap/>
            <w:vAlign w:val="center"/>
          </w:tcPr>
          <w:p w14:paraId="63919A56" w14:textId="77777777" w:rsidR="00FF0DF8" w:rsidRPr="00DC58B9" w:rsidRDefault="00FF0DF8" w:rsidP="0017580B">
            <w:pPr>
              <w:keepNext/>
              <w:keepLines/>
              <w:jc w:val="center"/>
              <w:rPr>
                <w:rFonts w:ascii="Arial" w:hAnsi="Arial" w:cs="Arial"/>
                <w:sz w:val="24"/>
                <w:szCs w:val="24"/>
                <w:u w:val="single"/>
              </w:rPr>
            </w:pPr>
            <w:r w:rsidRPr="00DC58B9">
              <w:rPr>
                <w:rFonts w:ascii="Arial" w:hAnsi="Arial" w:cs="Arial"/>
                <w:sz w:val="24"/>
                <w:szCs w:val="24"/>
                <w:u w:val="single"/>
              </w:rPr>
              <w:t>$896.00</w:t>
            </w:r>
          </w:p>
        </w:tc>
        <w:tc>
          <w:tcPr>
            <w:tcW w:w="1923" w:type="dxa"/>
            <w:noWrap/>
            <w:vAlign w:val="center"/>
          </w:tcPr>
          <w:p w14:paraId="63DABF1D" w14:textId="77777777" w:rsidR="00FF0DF8" w:rsidRPr="00DC58B9" w:rsidRDefault="00FF0DF8" w:rsidP="0017580B">
            <w:pPr>
              <w:keepNext/>
              <w:keepLines/>
              <w:jc w:val="center"/>
              <w:rPr>
                <w:rFonts w:ascii="Arial" w:hAnsi="Arial" w:cs="Arial"/>
                <w:sz w:val="24"/>
                <w:szCs w:val="24"/>
                <w:u w:val="single"/>
              </w:rPr>
            </w:pPr>
            <w:r w:rsidRPr="00DC58B9">
              <w:rPr>
                <w:rFonts w:ascii="Arial" w:hAnsi="Arial" w:cs="Arial"/>
                <w:sz w:val="24"/>
                <w:szCs w:val="24"/>
                <w:u w:val="single"/>
              </w:rPr>
              <w:t>$896.00</w:t>
            </w:r>
          </w:p>
        </w:tc>
      </w:tr>
    </w:tbl>
    <w:p w14:paraId="38CB2A61" w14:textId="77777777" w:rsidR="00FF0DF8" w:rsidRPr="00DC58B9" w:rsidRDefault="00FF0DF8" w:rsidP="00F32BBA">
      <w:pPr>
        <w:keepNext/>
        <w:spacing w:after="120"/>
        <w:rPr>
          <w:rFonts w:ascii="Arial" w:hAnsi="Arial" w:cs="Arial"/>
          <w:iCs/>
          <w:sz w:val="24"/>
          <w:szCs w:val="24"/>
          <w:u w:val="single"/>
        </w:rPr>
      </w:pPr>
    </w:p>
    <w:p w14:paraId="7C053E02" w14:textId="77777777" w:rsidR="00F32BBA" w:rsidRPr="00DA5EE2" w:rsidRDefault="00F32BBA" w:rsidP="00F32BBA">
      <w:pPr>
        <w:pStyle w:val="ListParagraph"/>
        <w:keepNext/>
        <w:numPr>
          <w:ilvl w:val="0"/>
          <w:numId w:val="21"/>
        </w:numPr>
        <w:spacing w:after="120" w:line="240" w:lineRule="auto"/>
        <w:rPr>
          <w:rFonts w:ascii="Arial" w:eastAsiaTheme="minorHAnsi" w:hAnsi="Arial" w:cs="Arial"/>
          <w:i/>
          <w:sz w:val="24"/>
          <w:szCs w:val="24"/>
          <w:u w:val="single"/>
        </w:rPr>
      </w:pPr>
      <w:r w:rsidRPr="00DA5EE2">
        <w:rPr>
          <w:rFonts w:ascii="Arial" w:eastAsiaTheme="minorHAnsi" w:hAnsi="Arial" w:cs="Arial"/>
          <w:i/>
          <w:sz w:val="24"/>
          <w:szCs w:val="24"/>
          <w:u w:val="single"/>
        </w:rPr>
        <w:t>Estimated Annual Cost per Water System</w:t>
      </w:r>
    </w:p>
    <w:p w14:paraId="7028DDA4" w14:textId="4E291656" w:rsidR="00F32BBA" w:rsidRPr="00DC58B9" w:rsidRDefault="00F32BBA" w:rsidP="00F32BBA">
      <w:pPr>
        <w:rPr>
          <w:rFonts w:ascii="Arial" w:hAnsi="Arial" w:cs="Arial"/>
          <w:sz w:val="24"/>
          <w:szCs w:val="24"/>
          <w:u w:val="single"/>
        </w:rPr>
      </w:pPr>
      <w:r w:rsidRPr="009F386E">
        <w:rPr>
          <w:rFonts w:ascii="Arial" w:hAnsi="Arial" w:cs="Arial"/>
          <w:sz w:val="24"/>
          <w:szCs w:val="24"/>
        </w:rPr>
        <w:t>Because more than 50% of the water systems have only a single source, the State Water Board conservatively assumed that the mode was the most representative estimated cost per system.  The estimated annual cost is approximately $224.00/year</w:t>
      </w:r>
      <w:r w:rsidR="00A56221">
        <w:rPr>
          <w:rFonts w:ascii="Arial" w:hAnsi="Arial" w:cs="Arial"/>
          <w:sz w:val="24"/>
          <w:szCs w:val="24"/>
        </w:rPr>
        <w:t xml:space="preserve"> </w:t>
      </w:r>
      <w:r w:rsidR="00A56221" w:rsidRPr="00DC58B9">
        <w:rPr>
          <w:rFonts w:ascii="Arial" w:hAnsi="Arial" w:cs="Arial"/>
          <w:sz w:val="24"/>
          <w:szCs w:val="24"/>
          <w:u w:val="single"/>
        </w:rPr>
        <w:t>and $896.00/year</w:t>
      </w:r>
      <w:r w:rsidRPr="009F386E">
        <w:rPr>
          <w:rFonts w:ascii="Arial" w:hAnsi="Arial" w:cs="Arial"/>
          <w:sz w:val="24"/>
          <w:szCs w:val="24"/>
        </w:rPr>
        <w:t xml:space="preserve"> for systems with one drinking water source</w:t>
      </w:r>
      <w:r w:rsidR="00A56221" w:rsidRPr="00A56221">
        <w:rPr>
          <w:rFonts w:ascii="Arial" w:hAnsi="Arial" w:cs="Arial"/>
          <w:sz w:val="24"/>
          <w:szCs w:val="24"/>
        </w:rPr>
        <w:t xml:space="preserve"> </w:t>
      </w:r>
      <w:r w:rsidR="00A56221" w:rsidRPr="00DC58B9">
        <w:rPr>
          <w:rFonts w:ascii="Arial" w:hAnsi="Arial" w:cs="Arial"/>
          <w:sz w:val="24"/>
          <w:szCs w:val="24"/>
          <w:u w:val="single"/>
        </w:rPr>
        <w:t>during Phase I and Phase II, respectively.</w:t>
      </w:r>
    </w:p>
    <w:p w14:paraId="6ACBD3C9" w14:textId="77777777" w:rsidR="00F32BBA" w:rsidRPr="00DA5EE2" w:rsidRDefault="00F32BBA" w:rsidP="00F32BBA">
      <w:pPr>
        <w:pStyle w:val="ListParagraph"/>
        <w:keepNext/>
        <w:numPr>
          <w:ilvl w:val="0"/>
          <w:numId w:val="21"/>
        </w:numPr>
        <w:spacing w:after="120" w:line="240" w:lineRule="auto"/>
        <w:rPr>
          <w:rFonts w:ascii="Arial" w:eastAsiaTheme="minorHAnsi" w:hAnsi="Arial" w:cs="Arial"/>
          <w:i/>
          <w:sz w:val="24"/>
          <w:szCs w:val="24"/>
          <w:u w:val="single"/>
        </w:rPr>
      </w:pPr>
      <w:r w:rsidRPr="00DA5EE2">
        <w:rPr>
          <w:rFonts w:ascii="Arial" w:eastAsiaTheme="minorHAnsi" w:hAnsi="Arial" w:cs="Arial"/>
          <w:i/>
          <w:sz w:val="24"/>
          <w:szCs w:val="24"/>
          <w:u w:val="single"/>
        </w:rPr>
        <w:t>Estimated Annual Cost per Person</w:t>
      </w:r>
    </w:p>
    <w:p w14:paraId="2888C5ED" w14:textId="0F61548D" w:rsidR="00F32BBA" w:rsidRPr="009F386E" w:rsidRDefault="00F32BBA" w:rsidP="00F32BBA">
      <w:pPr>
        <w:rPr>
          <w:rFonts w:ascii="Arial" w:hAnsi="Arial" w:cs="Arial"/>
          <w:sz w:val="24"/>
          <w:szCs w:val="24"/>
        </w:rPr>
      </w:pPr>
      <w:r w:rsidRPr="00D47FE8">
        <w:rPr>
          <w:rFonts w:ascii="Arial" w:hAnsi="Arial" w:cs="Arial"/>
          <w:sz w:val="24"/>
          <w:szCs w:val="24"/>
        </w:rPr>
        <w:t>For the proposed DLR o</w:t>
      </w:r>
      <w:r>
        <w:rPr>
          <w:rFonts w:ascii="Arial" w:hAnsi="Arial" w:cs="Arial"/>
          <w:sz w:val="24"/>
          <w:szCs w:val="24"/>
        </w:rPr>
        <w:t>f</w:t>
      </w:r>
      <w:r w:rsidRPr="00D47FE8">
        <w:rPr>
          <w:rFonts w:ascii="Arial" w:hAnsi="Arial" w:cs="Arial"/>
          <w:sz w:val="24"/>
          <w:szCs w:val="24"/>
        </w:rPr>
        <w:t xml:space="preserve"> 0.002 mg/L</w:t>
      </w:r>
      <w:r w:rsidR="00A56221">
        <w:rPr>
          <w:rFonts w:ascii="Arial" w:hAnsi="Arial" w:cs="Arial"/>
          <w:sz w:val="24"/>
          <w:szCs w:val="24"/>
        </w:rPr>
        <w:t xml:space="preserve"> </w:t>
      </w:r>
      <w:r w:rsidR="00A56221" w:rsidRPr="00DC58B9">
        <w:rPr>
          <w:rFonts w:ascii="Arial" w:hAnsi="Arial" w:cs="Arial"/>
          <w:sz w:val="24"/>
          <w:szCs w:val="24"/>
          <w:u w:val="single"/>
        </w:rPr>
        <w:t>for Phase I</w:t>
      </w:r>
      <w:r w:rsidRPr="00D47FE8">
        <w:rPr>
          <w:rFonts w:ascii="Arial" w:hAnsi="Arial" w:cs="Arial"/>
          <w:sz w:val="24"/>
          <w:szCs w:val="24"/>
        </w:rPr>
        <w:t xml:space="preserve">, the </w:t>
      </w:r>
      <w:r>
        <w:rPr>
          <w:rFonts w:ascii="Arial" w:hAnsi="Arial" w:cs="Arial"/>
          <w:sz w:val="24"/>
          <w:szCs w:val="24"/>
        </w:rPr>
        <w:t xml:space="preserve">State Water Board made the conservative assumption that using the mode per water system cost and distributing this cost over the smallest population typically served by a public water system (25 people) </w:t>
      </w:r>
      <w:r>
        <w:rPr>
          <w:rFonts w:ascii="Arial" w:hAnsi="Arial" w:cs="Arial"/>
          <w:sz w:val="24"/>
          <w:szCs w:val="24"/>
        </w:rPr>
        <w:lastRenderedPageBreak/>
        <w:t xml:space="preserve">was a conservative representative estimated </w:t>
      </w:r>
      <w:r w:rsidRPr="00D47FE8">
        <w:rPr>
          <w:rFonts w:ascii="Arial" w:hAnsi="Arial" w:cs="Arial"/>
          <w:sz w:val="24"/>
          <w:szCs w:val="24"/>
        </w:rPr>
        <w:t xml:space="preserve">cost per </w:t>
      </w:r>
      <w:r>
        <w:rPr>
          <w:rFonts w:ascii="Arial" w:hAnsi="Arial" w:cs="Arial"/>
          <w:sz w:val="24"/>
          <w:szCs w:val="24"/>
        </w:rPr>
        <w:t xml:space="preserve">individual. </w:t>
      </w:r>
      <w:r w:rsidRPr="00D47FE8">
        <w:rPr>
          <w:rFonts w:ascii="Arial" w:hAnsi="Arial" w:cs="Arial"/>
          <w:sz w:val="24"/>
          <w:szCs w:val="24"/>
        </w:rPr>
        <w:t xml:space="preserve"> </w:t>
      </w:r>
      <w:r w:rsidRPr="009F386E">
        <w:rPr>
          <w:rFonts w:ascii="Arial" w:hAnsi="Arial" w:cs="Arial"/>
          <w:sz w:val="24"/>
          <w:szCs w:val="24"/>
        </w:rPr>
        <w:t xml:space="preserve">This is approximately </w:t>
      </w:r>
      <w:r>
        <w:rPr>
          <w:rFonts w:ascii="Arial" w:hAnsi="Arial" w:cs="Arial"/>
          <w:sz w:val="24"/>
          <w:szCs w:val="24"/>
        </w:rPr>
        <w:br/>
      </w:r>
      <w:r w:rsidRPr="009F386E">
        <w:rPr>
          <w:rFonts w:ascii="Arial" w:hAnsi="Arial" w:cs="Arial"/>
          <w:sz w:val="24"/>
          <w:szCs w:val="24"/>
        </w:rPr>
        <w:t>$9.00/ year.</w:t>
      </w:r>
      <w:r w:rsidR="00A56221">
        <w:rPr>
          <w:rFonts w:ascii="Arial" w:hAnsi="Arial" w:cs="Arial"/>
          <w:sz w:val="24"/>
          <w:szCs w:val="24"/>
        </w:rPr>
        <w:t xml:space="preserve">  </w:t>
      </w:r>
      <w:r w:rsidR="00A56221" w:rsidRPr="00DC58B9">
        <w:rPr>
          <w:rFonts w:ascii="Arial" w:hAnsi="Arial" w:cs="Arial"/>
          <w:sz w:val="24"/>
          <w:szCs w:val="24"/>
          <w:u w:val="single"/>
        </w:rPr>
        <w:t>During Phase II, the highest estimated cost per individual for the proposed DLR of 0.001 mg/L is approximately $36.00/year.</w:t>
      </w:r>
    </w:p>
    <w:p w14:paraId="221DCAF9" w14:textId="77777777" w:rsidR="00F32BBA" w:rsidRPr="009F386E" w:rsidRDefault="00F32BBA" w:rsidP="00DC58B9">
      <w:pPr>
        <w:keepNext/>
        <w:numPr>
          <w:ilvl w:val="0"/>
          <w:numId w:val="31"/>
        </w:numPr>
        <w:spacing w:before="120"/>
        <w:rPr>
          <w:rFonts w:ascii="Arial" w:hAnsi="Arial" w:cs="Arial"/>
          <w:b/>
          <w:sz w:val="24"/>
          <w:szCs w:val="24"/>
        </w:rPr>
      </w:pPr>
      <w:r w:rsidRPr="009F386E">
        <w:rPr>
          <w:rFonts w:ascii="Arial" w:hAnsi="Arial" w:cs="Arial"/>
          <w:b/>
          <w:sz w:val="24"/>
          <w:szCs w:val="24"/>
        </w:rPr>
        <w:t>REASONABLE ALTERNATIVES CONSIDERED AND REJECTED</w:t>
      </w:r>
    </w:p>
    <w:p w14:paraId="6C007CEF" w14:textId="745043D9" w:rsidR="00F32BBA" w:rsidRPr="00DC58B9" w:rsidRDefault="00F32BBA" w:rsidP="00F32BBA">
      <w:pPr>
        <w:rPr>
          <w:rFonts w:ascii="Arial" w:hAnsi="Arial" w:cs="Arial"/>
          <w:sz w:val="24"/>
          <w:szCs w:val="24"/>
          <w:u w:val="single"/>
        </w:rPr>
      </w:pPr>
      <w:r w:rsidRPr="009F386E">
        <w:rPr>
          <w:rFonts w:ascii="Arial" w:hAnsi="Arial" w:cs="Arial"/>
          <w:sz w:val="24"/>
          <w:szCs w:val="24"/>
        </w:rPr>
        <w:t xml:space="preserve">Government Code section 11346.2(b)(4) requires that the State Water Board consider reasonable alternatives to the regulation and the agency’s reasons for rejecting those alternatives.  </w:t>
      </w:r>
      <w:r w:rsidRPr="001F1FBF">
        <w:rPr>
          <w:rFonts w:ascii="Arial" w:hAnsi="Arial" w:cs="Arial"/>
          <w:sz w:val="24"/>
          <w:szCs w:val="24"/>
        </w:rPr>
        <w:t xml:space="preserve">Because </w:t>
      </w:r>
      <w:r w:rsidR="001F1FBF" w:rsidRPr="001F1FBF">
        <w:rPr>
          <w:rFonts w:ascii="Arial" w:hAnsi="Arial" w:cs="Arial"/>
          <w:sz w:val="24"/>
          <w:szCs w:val="24"/>
          <w:u w:val="single"/>
        </w:rPr>
        <w:t>Phase I of</w:t>
      </w:r>
      <w:r w:rsidR="001F1FBF">
        <w:rPr>
          <w:rFonts w:ascii="Arial" w:hAnsi="Arial" w:cs="Arial"/>
          <w:sz w:val="24"/>
          <w:szCs w:val="24"/>
        </w:rPr>
        <w:t xml:space="preserve"> </w:t>
      </w:r>
      <w:r w:rsidRPr="001F1FBF">
        <w:rPr>
          <w:rFonts w:ascii="Arial" w:hAnsi="Arial" w:cs="Arial"/>
          <w:sz w:val="24"/>
          <w:szCs w:val="24"/>
        </w:rPr>
        <w:t>the proposed regulation could be met through use of the current methods used by laboratories and would not result in significant costs to businesses, public water systems, or the individuals served by the public water systems, the</w:t>
      </w:r>
      <w:r w:rsidR="00A56221" w:rsidRPr="001F1FBF">
        <w:rPr>
          <w:rFonts w:ascii="Arial" w:hAnsi="Arial" w:cs="Arial"/>
          <w:sz w:val="24"/>
          <w:szCs w:val="24"/>
        </w:rPr>
        <w:t xml:space="preserve"> </w:t>
      </w:r>
      <w:r w:rsidRPr="001F1FBF">
        <w:rPr>
          <w:rFonts w:ascii="Arial" w:hAnsi="Arial" w:cs="Arial"/>
          <w:sz w:val="24"/>
          <w:szCs w:val="24"/>
        </w:rPr>
        <w:t>State Water Board did not evaluate any less stringent DLR than the proposed value of 0.002 mg/L, as any less stringent DLR would detract from the intended purpose.</w:t>
      </w:r>
    </w:p>
    <w:p w14:paraId="69C5CBCA" w14:textId="31ACDE77" w:rsidR="00F32BBA" w:rsidRPr="00197293" w:rsidRDefault="00F32BBA" w:rsidP="00F32BBA">
      <w:pPr>
        <w:rPr>
          <w:rFonts w:ascii="Arial" w:hAnsi="Arial" w:cs="Arial"/>
          <w:strike/>
          <w:sz w:val="24"/>
          <w:szCs w:val="24"/>
        </w:rPr>
      </w:pPr>
      <w:r w:rsidRPr="001F1FBF">
        <w:rPr>
          <w:rFonts w:ascii="Arial" w:hAnsi="Arial" w:cs="Arial"/>
          <w:sz w:val="24"/>
          <w:szCs w:val="24"/>
        </w:rPr>
        <w:t>The State Water Board did evaluate one more stringent alternative.  This alternative examined a DLR at or below the public health goal of 0.001 mg/L</w:t>
      </w:r>
      <w:r w:rsidR="00197293">
        <w:rPr>
          <w:rFonts w:ascii="Arial" w:hAnsi="Arial" w:cs="Arial"/>
          <w:sz w:val="24"/>
          <w:szCs w:val="24"/>
        </w:rPr>
        <w:t xml:space="preserve"> </w:t>
      </w:r>
      <w:r w:rsidR="00197293" w:rsidRPr="00197293">
        <w:rPr>
          <w:rFonts w:ascii="Arial" w:hAnsi="Arial" w:cs="Arial"/>
          <w:sz w:val="24"/>
          <w:szCs w:val="24"/>
          <w:u w:val="single"/>
        </w:rPr>
        <w:t>at an earlier date</w:t>
      </w:r>
      <w:r w:rsidR="00197293">
        <w:rPr>
          <w:rFonts w:ascii="Arial" w:hAnsi="Arial" w:cs="Arial"/>
          <w:sz w:val="24"/>
          <w:szCs w:val="24"/>
          <w:u w:val="single"/>
        </w:rPr>
        <w:t>.</w:t>
      </w:r>
      <w:r w:rsidRPr="001F1FBF">
        <w:rPr>
          <w:rFonts w:ascii="Arial" w:hAnsi="Arial" w:cs="Arial"/>
          <w:sz w:val="24"/>
          <w:szCs w:val="24"/>
        </w:rPr>
        <w:t xml:space="preserve">  The State Water Board rejected the alternative because adequate laboratory capacity does not currently exist.  The State Water Board has found that there are only 11 ELAP-accredited laboratories capable of performing perchlorate analyses for all of the community and non-transient, non-community water systems that would need testing performed with a method that could reach a DLR lower than 0.001 mg/L.  Therefore, the expected demand from increased monitoring requirements cannot be met by the </w:t>
      </w:r>
      <w:r w:rsidRPr="00197293">
        <w:rPr>
          <w:rFonts w:ascii="Arial" w:hAnsi="Arial" w:cs="Arial"/>
          <w:strike/>
          <w:sz w:val="24"/>
          <w:szCs w:val="24"/>
        </w:rPr>
        <w:t>few</w:t>
      </w:r>
      <w:r w:rsidRPr="001F1FBF">
        <w:rPr>
          <w:rFonts w:ascii="Arial" w:hAnsi="Arial" w:cs="Arial"/>
          <w:sz w:val="24"/>
          <w:szCs w:val="24"/>
        </w:rPr>
        <w:t xml:space="preserve"> </w:t>
      </w:r>
      <w:r w:rsidR="001F1FBF">
        <w:rPr>
          <w:rFonts w:ascii="Arial" w:hAnsi="Arial" w:cs="Arial"/>
          <w:sz w:val="24"/>
          <w:szCs w:val="24"/>
        </w:rPr>
        <w:t xml:space="preserve">existing </w:t>
      </w:r>
      <w:r w:rsidRPr="001F1FBF">
        <w:rPr>
          <w:rFonts w:ascii="Arial" w:hAnsi="Arial" w:cs="Arial"/>
          <w:sz w:val="24"/>
          <w:szCs w:val="24"/>
        </w:rPr>
        <w:t>laboratories currently accredited for more sensitive analytical methods</w:t>
      </w:r>
      <w:r w:rsidR="00197293">
        <w:rPr>
          <w:rFonts w:ascii="Arial" w:hAnsi="Arial" w:cs="Arial"/>
          <w:sz w:val="24"/>
          <w:szCs w:val="24"/>
        </w:rPr>
        <w:t xml:space="preserve"> </w:t>
      </w:r>
      <w:r w:rsidR="00197293" w:rsidRPr="00197293">
        <w:rPr>
          <w:rFonts w:ascii="Arial" w:hAnsi="Arial" w:cs="Arial"/>
          <w:sz w:val="24"/>
          <w:szCs w:val="24"/>
          <w:u w:val="single"/>
        </w:rPr>
        <w:t>at this time</w:t>
      </w:r>
      <w:r w:rsidRPr="001F1FBF">
        <w:rPr>
          <w:rFonts w:ascii="Arial" w:hAnsi="Arial" w:cs="Arial"/>
          <w:sz w:val="24"/>
          <w:szCs w:val="24"/>
        </w:rPr>
        <w:t xml:space="preserve">.  </w:t>
      </w:r>
      <w:r w:rsidRPr="00197293">
        <w:rPr>
          <w:rFonts w:ascii="Arial" w:hAnsi="Arial" w:cs="Arial"/>
          <w:strike/>
          <w:sz w:val="24"/>
          <w:szCs w:val="24"/>
        </w:rPr>
        <w:t>In addition, requiring the use of a method that could reach a DLR of 0.001 mg/L would result in costs of approximately four times the cost of the proposed regulation.</w:t>
      </w:r>
    </w:p>
    <w:p w14:paraId="59F1BA33" w14:textId="77777777" w:rsidR="001358E5" w:rsidRPr="001F1FBF" w:rsidRDefault="00F32BBA" w:rsidP="00F32BBA">
      <w:pPr>
        <w:spacing w:before="240"/>
        <w:rPr>
          <w:rFonts w:ascii="Arial" w:hAnsi="Arial" w:cs="Arial"/>
          <w:sz w:val="24"/>
          <w:szCs w:val="24"/>
        </w:rPr>
      </w:pPr>
      <w:r w:rsidRPr="001F1FBF">
        <w:rPr>
          <w:rFonts w:ascii="Arial" w:hAnsi="Arial" w:cs="Arial"/>
          <w:sz w:val="24"/>
          <w:szCs w:val="24"/>
        </w:rPr>
        <w:t xml:space="preserve">No less burdensome and equally effective alternative has been proposed to the State Water Board for consideration. </w:t>
      </w:r>
    </w:p>
    <w:p w14:paraId="6E55FF63" w14:textId="77777777" w:rsidR="00F32BBA" w:rsidRPr="00A34F45" w:rsidRDefault="00F32BBA" w:rsidP="00DC58B9">
      <w:pPr>
        <w:keepNext/>
        <w:numPr>
          <w:ilvl w:val="0"/>
          <w:numId w:val="31"/>
        </w:numPr>
        <w:rPr>
          <w:rFonts w:ascii="Arial" w:hAnsi="Arial" w:cs="Arial"/>
          <w:b/>
          <w:sz w:val="24"/>
          <w:szCs w:val="24"/>
        </w:rPr>
      </w:pPr>
      <w:r>
        <w:rPr>
          <w:rFonts w:ascii="Arial" w:hAnsi="Arial" w:cs="Arial"/>
          <w:b/>
          <w:bCs/>
          <w:sz w:val="24"/>
          <w:szCs w:val="24"/>
        </w:rPr>
        <w:t>PERFORMANCE STANDARD vs. PRESCRIPTIVE STANDARD</w:t>
      </w:r>
    </w:p>
    <w:p w14:paraId="74335FFD" w14:textId="77777777" w:rsidR="00F32BBA" w:rsidRPr="00DC58B9" w:rsidRDefault="00F32BBA" w:rsidP="00F32BBA">
      <w:pPr>
        <w:spacing w:before="240"/>
        <w:rPr>
          <w:rFonts w:ascii="Arial" w:hAnsi="Arial" w:cs="Arial"/>
          <w:strike/>
          <w:sz w:val="24"/>
          <w:szCs w:val="24"/>
        </w:rPr>
      </w:pPr>
      <w:r w:rsidRPr="00DC58B9">
        <w:rPr>
          <w:rFonts w:ascii="Arial" w:hAnsi="Arial" w:cs="Arial"/>
          <w:strike/>
          <w:sz w:val="24"/>
          <w:szCs w:val="24"/>
        </w:rPr>
        <w:t>The proposed regulation would impose a performance standard of 0.002 mg/L for the determination of perchlorate in drinking water.</w:t>
      </w:r>
    </w:p>
    <w:p w14:paraId="19C4CFF2" w14:textId="73BDF2C8" w:rsidR="00F32BBA" w:rsidRDefault="001358E5" w:rsidP="001358E5">
      <w:pPr>
        <w:spacing w:before="240"/>
        <w:rPr>
          <w:rFonts w:ascii="Arial" w:hAnsi="Arial" w:cs="Arial"/>
          <w:sz w:val="24"/>
          <w:szCs w:val="24"/>
          <w:u w:val="single"/>
        </w:rPr>
      </w:pPr>
      <w:r w:rsidRPr="00DC58B9">
        <w:rPr>
          <w:rFonts w:ascii="Arial" w:hAnsi="Arial" w:cs="Arial"/>
          <w:sz w:val="24"/>
          <w:szCs w:val="24"/>
          <w:u w:val="single"/>
        </w:rPr>
        <w:t>The proposed regulation would impose two performance standards of 0.002 mg/L and 0.001 mg/L for the determination of perchlorate in drinking water for Phase I and Phase II, respectively.</w:t>
      </w:r>
    </w:p>
    <w:p w14:paraId="3835518C" w14:textId="29CF09CA" w:rsidR="00815DB2" w:rsidRPr="009F386E" w:rsidRDefault="001358E5" w:rsidP="00197293">
      <w:pPr>
        <w:rPr>
          <w:rFonts w:ascii="Arial" w:hAnsi="Arial" w:cs="Arial"/>
          <w:strike/>
          <w:sz w:val="24"/>
          <w:szCs w:val="24"/>
        </w:rPr>
      </w:pPr>
      <w:r w:rsidRPr="0017580B">
        <w:rPr>
          <w:rFonts w:ascii="Arial" w:hAnsi="Arial" w:cs="Arial"/>
          <w:sz w:val="24"/>
          <w:szCs w:val="24"/>
        </w:rPr>
        <w:t>(No change</w:t>
      </w:r>
      <w:r>
        <w:rPr>
          <w:rFonts w:ascii="Arial" w:hAnsi="Arial" w:cs="Arial"/>
          <w:sz w:val="24"/>
          <w:szCs w:val="24"/>
        </w:rPr>
        <w:t>s</w:t>
      </w:r>
      <w:r w:rsidRPr="0017580B">
        <w:rPr>
          <w:rFonts w:ascii="Arial" w:hAnsi="Arial" w:cs="Arial"/>
          <w:sz w:val="24"/>
          <w:szCs w:val="24"/>
        </w:rPr>
        <w:t xml:space="preserve"> for the remainder </w:t>
      </w:r>
      <w:r>
        <w:rPr>
          <w:rFonts w:ascii="Arial" w:hAnsi="Arial" w:cs="Arial"/>
          <w:sz w:val="24"/>
          <w:szCs w:val="24"/>
        </w:rPr>
        <w:t>the ISR</w:t>
      </w:r>
      <w:r w:rsidRPr="0017580B">
        <w:rPr>
          <w:rFonts w:ascii="Arial" w:hAnsi="Arial" w:cs="Arial"/>
          <w:sz w:val="24"/>
          <w:szCs w:val="24"/>
        </w:rPr>
        <w:t>)</w:t>
      </w:r>
      <w:bookmarkEnd w:id="0"/>
      <w:bookmarkEnd w:id="1"/>
      <w:bookmarkEnd w:id="2"/>
      <w:bookmarkEnd w:id="3"/>
      <w:bookmarkEnd w:id="4"/>
      <w:bookmarkEnd w:id="5"/>
      <w:bookmarkEnd w:id="6"/>
      <w:bookmarkEnd w:id="7"/>
    </w:p>
    <w:sectPr w:rsidR="00815DB2" w:rsidRPr="009F386E" w:rsidSect="009D1F8C">
      <w:headerReference w:type="even" r:id="rId8"/>
      <w:headerReference w:type="default" r:id="rId9"/>
      <w:footerReference w:type="even" r:id="rId10"/>
      <w:footerReference w:type="default" r:id="rId11"/>
      <w:pgSz w:w="12240" w:h="15840" w:code="1"/>
      <w:pgMar w:top="1440" w:right="1440" w:bottom="1440" w:left="1440" w:header="720" w:footer="432"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2B1DA" w16cex:dateUtc="2020-07-10T16:22:00Z"/>
  <w16cex:commentExtensible w16cex:durableId="22B2B2EC" w16cex:dateUtc="2020-07-10T16:2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9C699" w14:textId="77777777" w:rsidR="007B0CE3" w:rsidRDefault="007B0CE3">
      <w:pPr>
        <w:spacing w:after="0"/>
      </w:pPr>
      <w:r>
        <w:separator/>
      </w:r>
    </w:p>
  </w:endnote>
  <w:endnote w:type="continuationSeparator" w:id="0">
    <w:p w14:paraId="2F4F2BBD" w14:textId="77777777" w:rsidR="007B0CE3" w:rsidRDefault="007B0C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981AB" w14:textId="77777777" w:rsidR="004662B9" w:rsidRDefault="004662B9">
    <w:pPr>
      <w:pStyle w:val="Footer"/>
    </w:pPr>
  </w:p>
  <w:p w14:paraId="1E30547D" w14:textId="77777777" w:rsidR="004662B9" w:rsidRDefault="004662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2CBA2" w14:textId="257719F1" w:rsidR="004662B9" w:rsidRPr="00B522ED" w:rsidRDefault="004662B9" w:rsidP="0048771A">
    <w:pPr>
      <w:tabs>
        <w:tab w:val="center" w:pos="4680"/>
      </w:tabs>
      <w:spacing w:after="0"/>
      <w:rPr>
        <w:rFonts w:ascii="Arial" w:hAnsi="Arial" w:cs="Arial"/>
        <w:iCs/>
        <w:sz w:val="24"/>
        <w:szCs w:val="24"/>
      </w:rPr>
    </w:pPr>
    <w:r w:rsidRPr="00505161">
      <w:rPr>
        <w:rFonts w:ascii="Arial" w:hAnsi="Arial" w:cs="Arial"/>
        <w:iCs/>
        <w:sz w:val="22"/>
        <w:szCs w:val="22"/>
      </w:rPr>
      <w:t>I</w:t>
    </w:r>
    <w:r w:rsidRPr="00B522ED">
      <w:rPr>
        <w:rFonts w:ascii="Arial" w:hAnsi="Arial" w:cs="Arial"/>
        <w:iCs/>
        <w:sz w:val="24"/>
        <w:szCs w:val="24"/>
      </w:rPr>
      <w:t>nitial Statement of Reasons</w:t>
    </w:r>
    <w:r w:rsidRPr="00B522ED">
      <w:rPr>
        <w:rFonts w:ascii="Arial" w:hAnsi="Arial" w:cs="Arial"/>
        <w:iCs/>
        <w:sz w:val="24"/>
        <w:szCs w:val="24"/>
      </w:rPr>
      <w:tab/>
    </w:r>
    <w:r w:rsidRPr="00B522ED">
      <w:rPr>
        <w:rStyle w:val="PageNumber"/>
        <w:rFonts w:ascii="Arial" w:hAnsi="Arial" w:cs="Arial"/>
        <w:sz w:val="24"/>
        <w:szCs w:val="24"/>
      </w:rPr>
      <w:fldChar w:fldCharType="begin"/>
    </w:r>
    <w:r w:rsidRPr="00B522ED">
      <w:rPr>
        <w:rStyle w:val="PageNumber"/>
        <w:rFonts w:ascii="Arial" w:hAnsi="Arial" w:cs="Arial"/>
        <w:sz w:val="24"/>
        <w:szCs w:val="24"/>
      </w:rPr>
      <w:instrText xml:space="preserve"> PAGE </w:instrText>
    </w:r>
    <w:r w:rsidRPr="00B522ED">
      <w:rPr>
        <w:rStyle w:val="PageNumber"/>
        <w:rFonts w:ascii="Arial" w:hAnsi="Arial" w:cs="Arial"/>
        <w:sz w:val="24"/>
        <w:szCs w:val="24"/>
      </w:rPr>
      <w:fldChar w:fldCharType="separate"/>
    </w:r>
    <w:r w:rsidR="009733C8" w:rsidRPr="00B522ED">
      <w:rPr>
        <w:rStyle w:val="PageNumber"/>
        <w:rFonts w:ascii="Arial" w:hAnsi="Arial" w:cs="Arial"/>
        <w:noProof/>
        <w:sz w:val="24"/>
        <w:szCs w:val="24"/>
      </w:rPr>
      <w:t>15</w:t>
    </w:r>
    <w:r w:rsidRPr="00B522ED">
      <w:rPr>
        <w:rStyle w:val="PageNumber"/>
        <w:rFonts w:ascii="Arial" w:hAnsi="Arial" w:cs="Arial"/>
        <w:sz w:val="24"/>
        <w:szCs w:val="24"/>
      </w:rPr>
      <w:fldChar w:fldCharType="end"/>
    </w:r>
    <w:r w:rsidRPr="00B522ED">
      <w:rPr>
        <w:rStyle w:val="PageNumber"/>
        <w:rFonts w:ascii="Arial" w:hAnsi="Arial" w:cs="Arial"/>
        <w:sz w:val="24"/>
        <w:szCs w:val="24"/>
      </w:rPr>
      <w:t xml:space="preserve"> of </w:t>
    </w:r>
    <w:r w:rsidRPr="00B522ED">
      <w:rPr>
        <w:rStyle w:val="PageNumber"/>
        <w:rFonts w:ascii="Arial" w:hAnsi="Arial" w:cs="Arial"/>
        <w:sz w:val="24"/>
        <w:szCs w:val="24"/>
      </w:rPr>
      <w:fldChar w:fldCharType="begin"/>
    </w:r>
    <w:r w:rsidRPr="00B522ED">
      <w:rPr>
        <w:rStyle w:val="PageNumber"/>
        <w:rFonts w:ascii="Arial" w:hAnsi="Arial" w:cs="Arial"/>
        <w:sz w:val="24"/>
        <w:szCs w:val="24"/>
      </w:rPr>
      <w:instrText xml:space="preserve"> NUMPAGES </w:instrText>
    </w:r>
    <w:r w:rsidRPr="00B522ED">
      <w:rPr>
        <w:rStyle w:val="PageNumber"/>
        <w:rFonts w:ascii="Arial" w:hAnsi="Arial" w:cs="Arial"/>
        <w:sz w:val="24"/>
        <w:szCs w:val="24"/>
      </w:rPr>
      <w:fldChar w:fldCharType="separate"/>
    </w:r>
    <w:r w:rsidR="009733C8" w:rsidRPr="00B522ED">
      <w:rPr>
        <w:rStyle w:val="PageNumber"/>
        <w:rFonts w:ascii="Arial" w:hAnsi="Arial" w:cs="Arial"/>
        <w:noProof/>
        <w:sz w:val="24"/>
        <w:szCs w:val="24"/>
      </w:rPr>
      <w:t>15</w:t>
    </w:r>
    <w:r w:rsidRPr="00B522ED">
      <w:rPr>
        <w:rStyle w:val="PageNumber"/>
        <w:rFonts w:ascii="Arial" w:hAnsi="Arial" w:cs="Arial"/>
        <w:sz w:val="24"/>
        <w:szCs w:val="24"/>
      </w:rPr>
      <w:fldChar w:fldCharType="end"/>
    </w:r>
    <w:r w:rsidR="004E30A5" w:rsidRPr="00B522ED">
      <w:rPr>
        <w:rStyle w:val="PageNumber"/>
        <w:rFonts w:ascii="Arial" w:hAnsi="Arial" w:cs="Arial"/>
        <w:sz w:val="24"/>
        <w:szCs w:val="24"/>
      </w:rPr>
      <w:tab/>
    </w:r>
    <w:r w:rsidR="004E30A5" w:rsidRPr="00B522ED">
      <w:rPr>
        <w:rStyle w:val="PageNumber"/>
        <w:rFonts w:ascii="Arial" w:hAnsi="Arial" w:cs="Arial"/>
        <w:sz w:val="24"/>
        <w:szCs w:val="24"/>
      </w:rPr>
      <w:tab/>
    </w:r>
    <w:r w:rsidR="004E30A5" w:rsidRPr="00B522ED">
      <w:rPr>
        <w:rStyle w:val="PageNumber"/>
        <w:rFonts w:ascii="Arial" w:hAnsi="Arial" w:cs="Arial"/>
        <w:sz w:val="24"/>
        <w:szCs w:val="24"/>
      </w:rPr>
      <w:tab/>
    </w:r>
    <w:r w:rsidR="004E30A5" w:rsidRPr="00B522ED">
      <w:rPr>
        <w:rStyle w:val="PageNumber"/>
        <w:rFonts w:ascii="Arial" w:hAnsi="Arial" w:cs="Arial"/>
        <w:sz w:val="24"/>
        <w:szCs w:val="24"/>
      </w:rPr>
      <w:tab/>
      <w:t>Addendum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2077B" w14:textId="77777777" w:rsidR="007B0CE3" w:rsidRDefault="007B0CE3">
      <w:pPr>
        <w:spacing w:after="0"/>
      </w:pPr>
      <w:r>
        <w:separator/>
      </w:r>
    </w:p>
  </w:footnote>
  <w:footnote w:type="continuationSeparator" w:id="0">
    <w:p w14:paraId="26CEF902" w14:textId="77777777" w:rsidR="007B0CE3" w:rsidRDefault="007B0CE3">
      <w:pPr>
        <w:spacing w:after="0"/>
      </w:pPr>
      <w:r>
        <w:continuationSeparator/>
      </w:r>
    </w:p>
  </w:footnote>
  <w:footnote w:id="1">
    <w:p w14:paraId="71F663D2" w14:textId="77777777" w:rsidR="004662B9" w:rsidRPr="00C30D7E" w:rsidRDefault="004662B9" w:rsidP="00F32BBA">
      <w:pPr>
        <w:pStyle w:val="FootnoteText"/>
        <w:rPr>
          <w:rFonts w:ascii="Arial" w:hAnsi="Arial" w:cs="Arial"/>
          <w:sz w:val="24"/>
          <w:szCs w:val="24"/>
        </w:rPr>
      </w:pPr>
      <w:r w:rsidRPr="00C30D7E">
        <w:rPr>
          <w:rStyle w:val="FootnoteReference"/>
          <w:rFonts w:ascii="Arial" w:hAnsi="Arial" w:cs="Arial"/>
          <w:sz w:val="24"/>
          <w:szCs w:val="24"/>
        </w:rPr>
        <w:footnoteRef/>
      </w:r>
      <w:r w:rsidRPr="00C30D7E">
        <w:rPr>
          <w:rFonts w:ascii="Arial" w:hAnsi="Arial" w:cs="Arial"/>
          <w:sz w:val="24"/>
          <w:szCs w:val="24"/>
        </w:rPr>
        <w:t xml:space="preserve"> Some businesses may not rely on a public water system, but rather have a well that serves their business.  If the business regularly serves at least 25 of the same persons over six months per year, it would be a PWS subject to the monitoring requirements in this regulation.</w:t>
      </w:r>
    </w:p>
  </w:footnote>
  <w:footnote w:id="2">
    <w:p w14:paraId="14605352" w14:textId="77777777" w:rsidR="004662B9" w:rsidRPr="00C30D7E" w:rsidRDefault="004662B9" w:rsidP="00F32BBA">
      <w:pPr>
        <w:pStyle w:val="FootnoteText"/>
        <w:rPr>
          <w:sz w:val="24"/>
          <w:szCs w:val="24"/>
        </w:rPr>
      </w:pPr>
      <w:r w:rsidRPr="00C30D7E">
        <w:rPr>
          <w:rStyle w:val="FootnoteReference"/>
          <w:sz w:val="24"/>
          <w:szCs w:val="24"/>
        </w:rPr>
        <w:footnoteRef/>
      </w:r>
      <w:r w:rsidRPr="00C30D7E">
        <w:rPr>
          <w:sz w:val="24"/>
          <w:szCs w:val="24"/>
        </w:rPr>
        <w:t xml:space="preserve"> </w:t>
      </w:r>
      <w:r w:rsidRPr="00C30D7E">
        <w:rPr>
          <w:rFonts w:ascii="Arial" w:hAnsi="Arial" w:cs="Arial"/>
          <w:sz w:val="24"/>
          <w:szCs w:val="24"/>
        </w:rPr>
        <w:t>Affected Sources and Affected Systems are those sources and systems for which routine monitoring is consistent with the current regulations, but which may be affected by the lower DLR proposed by the new regulations because these systems might now have to monitor these sources quarterly.</w:t>
      </w:r>
      <w:r w:rsidRPr="00C30D7E">
        <w:rPr>
          <w:sz w:val="24"/>
          <w:szCs w:val="24"/>
        </w:rPr>
        <w:t xml:space="preserve">  </w:t>
      </w:r>
    </w:p>
  </w:footnote>
  <w:footnote w:id="3">
    <w:p w14:paraId="4E693725" w14:textId="77777777" w:rsidR="004662B9" w:rsidRPr="0049454E" w:rsidRDefault="004662B9" w:rsidP="00F32BBA">
      <w:pPr>
        <w:pStyle w:val="FootnoteText"/>
        <w:rPr>
          <w:strike/>
          <w:sz w:val="24"/>
          <w:szCs w:val="24"/>
        </w:rPr>
      </w:pPr>
      <w:r w:rsidRPr="0049454E">
        <w:rPr>
          <w:rStyle w:val="FootnoteReference"/>
          <w:strike/>
          <w:sz w:val="24"/>
          <w:szCs w:val="24"/>
        </w:rPr>
        <w:footnoteRef/>
      </w:r>
      <w:r w:rsidRPr="0049454E">
        <w:rPr>
          <w:strike/>
          <w:sz w:val="24"/>
          <w:szCs w:val="24"/>
        </w:rPr>
        <w:t xml:space="preserve"> </w:t>
      </w:r>
      <w:r w:rsidRPr="0049454E">
        <w:rPr>
          <w:rFonts w:ascii="Arial" w:hAnsi="Arial" w:cs="Arial"/>
          <w:strike/>
          <w:sz w:val="24"/>
          <w:szCs w:val="24"/>
        </w:rPr>
        <w:t>The mean is the average; the median is the middle value between the extremes, and the mode is the most commonly occurring value.</w:t>
      </w:r>
      <w:r w:rsidRPr="0049454E">
        <w:rPr>
          <w:strike/>
          <w:sz w:val="24"/>
          <w:szCs w:val="24"/>
        </w:rPr>
        <w:t xml:space="preserve"> </w:t>
      </w:r>
    </w:p>
  </w:footnote>
  <w:footnote w:id="4">
    <w:p w14:paraId="089FE611" w14:textId="2EB2A53D" w:rsidR="0049454E" w:rsidRPr="00E6035F" w:rsidRDefault="0049454E" w:rsidP="00FF0DF8">
      <w:pPr>
        <w:pStyle w:val="FootnoteText"/>
        <w:rPr>
          <w:sz w:val="24"/>
          <w:szCs w:val="24"/>
          <w:u w:val="single"/>
        </w:rPr>
      </w:pPr>
      <w:r w:rsidRPr="00E6035F">
        <w:rPr>
          <w:rStyle w:val="FootnoteReference"/>
          <w:u w:val="single"/>
        </w:rPr>
        <w:t>3</w:t>
      </w:r>
      <w:r w:rsidRPr="00E6035F">
        <w:rPr>
          <w:u w:val="single"/>
        </w:rPr>
        <w:t xml:space="preserve"> </w:t>
      </w:r>
      <w:r w:rsidRPr="00E6035F">
        <w:rPr>
          <w:rFonts w:ascii="Arial" w:hAnsi="Arial" w:cs="Arial"/>
          <w:sz w:val="24"/>
          <w:szCs w:val="24"/>
          <w:u w:val="single"/>
        </w:rPr>
        <w:t>The mean is the average; the median is the middle value between the extremes, and the mode is the most commonly occurring value.</w:t>
      </w:r>
      <w:r w:rsidRPr="00E6035F">
        <w:rPr>
          <w:sz w:val="24"/>
          <w:szCs w:val="24"/>
          <w:u w:val="singl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355B8" w14:textId="77777777" w:rsidR="004662B9" w:rsidRDefault="004662B9">
    <w:pPr>
      <w:pStyle w:val="Header"/>
    </w:pPr>
  </w:p>
  <w:p w14:paraId="589C33C2" w14:textId="77777777" w:rsidR="004662B9" w:rsidRDefault="004662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DA01C" w14:textId="2B76D52C" w:rsidR="004662B9" w:rsidRPr="00B522ED" w:rsidRDefault="004662B9" w:rsidP="00DB7C0F">
    <w:pPr>
      <w:pStyle w:val="NormalWeb"/>
      <w:tabs>
        <w:tab w:val="right" w:pos="9360"/>
      </w:tabs>
      <w:spacing w:before="0" w:beforeAutospacing="0" w:after="0" w:afterAutospacing="0"/>
      <w:jc w:val="right"/>
      <w:rPr>
        <w:rFonts w:ascii="Arial" w:eastAsia="Times New Roman" w:hAnsi="Arial" w:cs="Arial"/>
        <w:bCs/>
        <w:sz w:val="24"/>
        <w:szCs w:val="24"/>
      </w:rPr>
    </w:pPr>
    <w:r>
      <w:rPr>
        <w:rFonts w:ascii="Arial" w:eastAsia="Times New Roman" w:hAnsi="Arial" w:cs="Arial"/>
        <w:bCs/>
      </w:rPr>
      <w:tab/>
    </w:r>
    <w:r w:rsidRPr="00B522ED">
      <w:rPr>
        <w:rFonts w:ascii="Arial" w:eastAsia="Times New Roman" w:hAnsi="Arial" w:cs="Arial"/>
        <w:bCs/>
        <w:sz w:val="24"/>
        <w:szCs w:val="24"/>
      </w:rPr>
      <w:t>SBDDW-20-001</w:t>
    </w:r>
  </w:p>
  <w:p w14:paraId="740411EF" w14:textId="77777777" w:rsidR="004662B9" w:rsidRPr="00B522ED" w:rsidRDefault="004662B9" w:rsidP="00DB7C0F">
    <w:pPr>
      <w:pStyle w:val="NormalWeb"/>
      <w:tabs>
        <w:tab w:val="right" w:pos="9360"/>
      </w:tabs>
      <w:spacing w:before="0" w:beforeAutospacing="0" w:after="0" w:afterAutospacing="0"/>
      <w:jc w:val="right"/>
      <w:rPr>
        <w:rFonts w:ascii="Arial" w:eastAsia="Times New Roman" w:hAnsi="Arial" w:cs="Arial"/>
        <w:b/>
        <w:i/>
        <w:iCs/>
        <w:sz w:val="24"/>
        <w:szCs w:val="24"/>
      </w:rPr>
    </w:pPr>
    <w:r w:rsidRPr="00B522ED">
      <w:rPr>
        <w:rFonts w:ascii="Arial" w:eastAsia="Times New Roman" w:hAnsi="Arial" w:cs="Arial"/>
        <w:bCs/>
        <w:sz w:val="24"/>
        <w:szCs w:val="24"/>
      </w:rPr>
      <w:tab/>
      <w:t>Perchlorate DLR</w:t>
    </w:r>
  </w:p>
  <w:p w14:paraId="5B30EDC4" w14:textId="6C5B5303" w:rsidR="004662B9" w:rsidRPr="00B522ED" w:rsidRDefault="004662B9" w:rsidP="00DB7C0F">
    <w:pPr>
      <w:pStyle w:val="NormalWeb"/>
      <w:tabs>
        <w:tab w:val="left" w:pos="2685"/>
        <w:tab w:val="left" w:pos="5055"/>
        <w:tab w:val="right" w:pos="9360"/>
      </w:tabs>
      <w:spacing w:before="0" w:beforeAutospacing="0" w:after="240" w:afterAutospacing="0"/>
      <w:jc w:val="right"/>
      <w:rPr>
        <w:rFonts w:ascii="Arial" w:eastAsia="Times New Roman" w:hAnsi="Arial" w:cs="Arial"/>
        <w:b/>
        <w:i/>
        <w:iCs/>
        <w:sz w:val="24"/>
        <w:szCs w:val="24"/>
      </w:rPr>
    </w:pPr>
    <w:r w:rsidRPr="00B522ED">
      <w:rPr>
        <w:rFonts w:ascii="Arial" w:eastAsia="Times New Roman" w:hAnsi="Arial" w:cs="Arial"/>
        <w:bCs/>
        <w:sz w:val="24"/>
        <w:szCs w:val="24"/>
      </w:rPr>
      <w:tab/>
    </w:r>
    <w:r w:rsidR="00DC58B9" w:rsidRPr="00B522ED">
      <w:rPr>
        <w:rFonts w:ascii="Arial" w:eastAsia="Times New Roman" w:hAnsi="Arial" w:cs="Arial"/>
        <w:bCs/>
        <w:sz w:val="24"/>
        <w:szCs w:val="24"/>
      </w:rPr>
      <w:tab/>
    </w:r>
    <w:r w:rsidR="00DC58B9" w:rsidRPr="00B522ED">
      <w:rPr>
        <w:rFonts w:ascii="Arial" w:eastAsia="Times New Roman" w:hAnsi="Arial" w:cs="Arial"/>
        <w:bCs/>
        <w:sz w:val="24"/>
        <w:szCs w:val="24"/>
      </w:rPr>
      <w:tab/>
      <w:t>July</w:t>
    </w:r>
    <w:r w:rsidR="007B04B9">
      <w:rPr>
        <w:rFonts w:ascii="Arial" w:eastAsia="Times New Roman" w:hAnsi="Arial" w:cs="Arial"/>
        <w:bCs/>
        <w:sz w:val="24"/>
        <w:szCs w:val="24"/>
      </w:rPr>
      <w:t xml:space="preserve"> 8,</w:t>
    </w:r>
    <w:r w:rsidR="00DC58B9" w:rsidRPr="00B522ED">
      <w:rPr>
        <w:rFonts w:ascii="Arial" w:eastAsia="Times New Roman" w:hAnsi="Arial" w:cs="Arial"/>
        <w:bCs/>
        <w:sz w:val="24"/>
        <w:szCs w:val="24"/>
      </w:rPr>
      <w:t xml:space="preserve"> </w:t>
    </w:r>
    <w:r w:rsidRPr="00B522ED">
      <w:rPr>
        <w:rFonts w:ascii="Arial" w:eastAsia="Times New Roman" w:hAnsi="Arial" w:cs="Arial"/>
        <w:bCs/>
        <w:sz w:val="24"/>
        <w:szCs w:val="24"/>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C1272"/>
    <w:multiLevelType w:val="hybridMultilevel"/>
    <w:tmpl w:val="9D2C3BEA"/>
    <w:lvl w:ilvl="0" w:tplc="EC3C73EC">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05E8F"/>
    <w:multiLevelType w:val="hybridMultilevel"/>
    <w:tmpl w:val="AE5A4F4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1B35B6"/>
    <w:multiLevelType w:val="hybridMultilevel"/>
    <w:tmpl w:val="86921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E67AF"/>
    <w:multiLevelType w:val="hybridMultilevel"/>
    <w:tmpl w:val="ACD286D8"/>
    <w:lvl w:ilvl="0" w:tplc="629210BE">
      <w:start w:val="5"/>
      <w:numFmt w:val="bullet"/>
      <w:lvlText w:val=""/>
      <w:lvlJc w:val="left"/>
      <w:pPr>
        <w:ind w:left="720" w:hanging="360"/>
      </w:pPr>
      <w:rPr>
        <w:rFonts w:ascii="Symbol" w:eastAsiaTheme="minorHAnsi"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C599A"/>
    <w:multiLevelType w:val="hybridMultilevel"/>
    <w:tmpl w:val="6AB05400"/>
    <w:lvl w:ilvl="0" w:tplc="EC3C73EC">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750D4"/>
    <w:multiLevelType w:val="hybridMultilevel"/>
    <w:tmpl w:val="57C464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226AD3"/>
    <w:multiLevelType w:val="hybridMultilevel"/>
    <w:tmpl w:val="6602E980"/>
    <w:lvl w:ilvl="0" w:tplc="A44C7F8A">
      <w:start w:val="5"/>
      <w:numFmt w:val="bullet"/>
      <w:lvlText w:val=""/>
      <w:lvlJc w:val="left"/>
      <w:pPr>
        <w:ind w:left="720" w:hanging="360"/>
      </w:pPr>
      <w:rPr>
        <w:rFonts w:ascii="Symbol" w:eastAsiaTheme="minorHAnsi"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D489E"/>
    <w:multiLevelType w:val="hybridMultilevel"/>
    <w:tmpl w:val="57C800CA"/>
    <w:lvl w:ilvl="0" w:tplc="A5B21EEE">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1773C"/>
    <w:multiLevelType w:val="hybridMultilevel"/>
    <w:tmpl w:val="0E182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747246"/>
    <w:multiLevelType w:val="hybridMultilevel"/>
    <w:tmpl w:val="B70236DA"/>
    <w:lvl w:ilvl="0" w:tplc="A5B21EEE">
      <w:numFmt w:val="bullet"/>
      <w:lvlText w:val=""/>
      <w:lvlJc w:val="left"/>
      <w:pPr>
        <w:tabs>
          <w:tab w:val="num" w:pos="360"/>
        </w:tabs>
        <w:ind w:left="360" w:firstLine="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B220FCA0">
      <w:start w:val="1"/>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A274B9"/>
    <w:multiLevelType w:val="hybridMultilevel"/>
    <w:tmpl w:val="727A2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3E139A"/>
    <w:multiLevelType w:val="hybridMultilevel"/>
    <w:tmpl w:val="70CA6F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66191"/>
    <w:multiLevelType w:val="hybridMultilevel"/>
    <w:tmpl w:val="8E2CD1D0"/>
    <w:lvl w:ilvl="0" w:tplc="762C0438">
      <w:start w:val="3"/>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EB31EF"/>
    <w:multiLevelType w:val="hybridMultilevel"/>
    <w:tmpl w:val="6C068010"/>
    <w:lvl w:ilvl="0" w:tplc="A5B21EEE">
      <w:numFmt w:val="bullet"/>
      <w:lvlText w:val=""/>
      <w:lvlJc w:val="left"/>
      <w:pPr>
        <w:ind w:left="720" w:hanging="360"/>
      </w:pPr>
      <w:rPr>
        <w:rFonts w:ascii="Symbol" w:hAnsi="Symbol" w:hint="default"/>
      </w:rPr>
    </w:lvl>
    <w:lvl w:ilvl="1" w:tplc="A5B21EEE">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C67F2"/>
    <w:multiLevelType w:val="hybridMultilevel"/>
    <w:tmpl w:val="E7241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742709"/>
    <w:multiLevelType w:val="hybridMultilevel"/>
    <w:tmpl w:val="B3FC6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4F29C7"/>
    <w:multiLevelType w:val="hybridMultilevel"/>
    <w:tmpl w:val="3EACDA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F4017"/>
    <w:multiLevelType w:val="hybridMultilevel"/>
    <w:tmpl w:val="ECCA917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ED12EE"/>
    <w:multiLevelType w:val="hybridMultilevel"/>
    <w:tmpl w:val="CCF44DFE"/>
    <w:lvl w:ilvl="0" w:tplc="0409000F">
      <w:start w:val="1"/>
      <w:numFmt w:val="decimal"/>
      <w:lvlText w:val="%1."/>
      <w:lvlJc w:val="left"/>
      <w:pPr>
        <w:ind w:left="720" w:hanging="360"/>
      </w:pPr>
      <w:rPr>
        <w:rFonts w:hint="default"/>
      </w:rPr>
    </w:lvl>
    <w:lvl w:ilvl="1" w:tplc="A154889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362A0"/>
    <w:multiLevelType w:val="hybridMultilevel"/>
    <w:tmpl w:val="C8947274"/>
    <w:lvl w:ilvl="0" w:tplc="60BCABF8">
      <w:start w:val="5"/>
      <w:numFmt w:val="bullet"/>
      <w:lvlText w:val=""/>
      <w:lvlJc w:val="left"/>
      <w:pPr>
        <w:ind w:left="720" w:hanging="360"/>
      </w:pPr>
      <w:rPr>
        <w:rFonts w:ascii="Symbol" w:eastAsiaTheme="minorHAnsi" w:hAnsi="Symbol"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1548CF"/>
    <w:multiLevelType w:val="hybridMultilevel"/>
    <w:tmpl w:val="42C03C40"/>
    <w:lvl w:ilvl="0" w:tplc="C9683908">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956F38"/>
    <w:multiLevelType w:val="hybridMultilevel"/>
    <w:tmpl w:val="068CA0B2"/>
    <w:lvl w:ilvl="0" w:tplc="04090003">
      <w:start w:val="1"/>
      <w:numFmt w:val="bullet"/>
      <w:lvlText w:val="o"/>
      <w:lvlJc w:val="left"/>
      <w:pPr>
        <w:tabs>
          <w:tab w:val="num" w:pos="504"/>
        </w:tabs>
        <w:ind w:left="72" w:firstLine="72"/>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E97198"/>
    <w:multiLevelType w:val="hybridMultilevel"/>
    <w:tmpl w:val="50008E66"/>
    <w:lvl w:ilvl="0" w:tplc="91E6A5B4">
      <w:start w:val="4"/>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451885"/>
    <w:multiLevelType w:val="hybridMultilevel"/>
    <w:tmpl w:val="E4B6BEBE"/>
    <w:lvl w:ilvl="0" w:tplc="6D16611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A735B94"/>
    <w:multiLevelType w:val="hybridMultilevel"/>
    <w:tmpl w:val="FF1ED44E"/>
    <w:lvl w:ilvl="0" w:tplc="569C1F70">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13641B"/>
    <w:multiLevelType w:val="hybridMultilevel"/>
    <w:tmpl w:val="6CC07F06"/>
    <w:lvl w:ilvl="0" w:tplc="1E945DC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3B23A2"/>
    <w:multiLevelType w:val="hybridMultilevel"/>
    <w:tmpl w:val="8F704E0C"/>
    <w:lvl w:ilvl="0" w:tplc="A5B21EEE">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701A8F"/>
    <w:multiLevelType w:val="hybridMultilevel"/>
    <w:tmpl w:val="2D44154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8" w15:restartNumberingAfterBreak="0">
    <w:nsid w:val="741E7EFE"/>
    <w:multiLevelType w:val="hybridMultilevel"/>
    <w:tmpl w:val="D472C8E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30283D"/>
    <w:multiLevelType w:val="hybridMultilevel"/>
    <w:tmpl w:val="E39E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991772"/>
    <w:multiLevelType w:val="hybridMultilevel"/>
    <w:tmpl w:val="C01CA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23"/>
  </w:num>
  <w:num w:numId="5">
    <w:abstractNumId w:val="28"/>
  </w:num>
  <w:num w:numId="6">
    <w:abstractNumId w:val="25"/>
  </w:num>
  <w:num w:numId="7">
    <w:abstractNumId w:val="21"/>
  </w:num>
  <w:num w:numId="8">
    <w:abstractNumId w:val="17"/>
  </w:num>
  <w:num w:numId="9">
    <w:abstractNumId w:val="27"/>
  </w:num>
  <w:num w:numId="10">
    <w:abstractNumId w:val="20"/>
  </w:num>
  <w:num w:numId="11">
    <w:abstractNumId w:val="6"/>
  </w:num>
  <w:num w:numId="12">
    <w:abstractNumId w:val="3"/>
  </w:num>
  <w:num w:numId="13">
    <w:abstractNumId w:val="19"/>
  </w:num>
  <w:num w:numId="14">
    <w:abstractNumId w:val="29"/>
  </w:num>
  <w:num w:numId="15">
    <w:abstractNumId w:val="15"/>
  </w:num>
  <w:num w:numId="16">
    <w:abstractNumId w:val="16"/>
  </w:num>
  <w:num w:numId="17">
    <w:abstractNumId w:val="26"/>
  </w:num>
  <w:num w:numId="18">
    <w:abstractNumId w:val="13"/>
  </w:num>
  <w:num w:numId="19">
    <w:abstractNumId w:val="0"/>
  </w:num>
  <w:num w:numId="20">
    <w:abstractNumId w:val="18"/>
  </w:num>
  <w:num w:numId="21">
    <w:abstractNumId w:val="30"/>
  </w:num>
  <w:num w:numId="22">
    <w:abstractNumId w:val="7"/>
  </w:num>
  <w:num w:numId="23">
    <w:abstractNumId w:val="5"/>
  </w:num>
  <w:num w:numId="24">
    <w:abstractNumId w:val="1"/>
  </w:num>
  <w:num w:numId="25">
    <w:abstractNumId w:val="8"/>
  </w:num>
  <w:num w:numId="26">
    <w:abstractNumId w:val="11"/>
  </w:num>
  <w:num w:numId="27">
    <w:abstractNumId w:val="14"/>
  </w:num>
  <w:num w:numId="28">
    <w:abstractNumId w:val="10"/>
  </w:num>
  <w:num w:numId="29">
    <w:abstractNumId w:val="12"/>
  </w:num>
  <w:num w:numId="30">
    <w:abstractNumId w:val="2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B2"/>
    <w:rsid w:val="00004516"/>
    <w:rsid w:val="00010CE5"/>
    <w:rsid w:val="00011E30"/>
    <w:rsid w:val="00013214"/>
    <w:rsid w:val="00017541"/>
    <w:rsid w:val="00020F3F"/>
    <w:rsid w:val="0002157F"/>
    <w:rsid w:val="00025C5B"/>
    <w:rsid w:val="00031B47"/>
    <w:rsid w:val="000350E3"/>
    <w:rsid w:val="00036CB0"/>
    <w:rsid w:val="0004182E"/>
    <w:rsid w:val="0004582F"/>
    <w:rsid w:val="000500E1"/>
    <w:rsid w:val="00055589"/>
    <w:rsid w:val="00056C99"/>
    <w:rsid w:val="00056FE4"/>
    <w:rsid w:val="00057A9A"/>
    <w:rsid w:val="0006349A"/>
    <w:rsid w:val="00063B87"/>
    <w:rsid w:val="0006606D"/>
    <w:rsid w:val="0007219A"/>
    <w:rsid w:val="00073BDE"/>
    <w:rsid w:val="00074103"/>
    <w:rsid w:val="00074147"/>
    <w:rsid w:val="0008531B"/>
    <w:rsid w:val="00085AF0"/>
    <w:rsid w:val="00087D96"/>
    <w:rsid w:val="00090C2A"/>
    <w:rsid w:val="000927AF"/>
    <w:rsid w:val="0009482D"/>
    <w:rsid w:val="00097E5B"/>
    <w:rsid w:val="000A0D83"/>
    <w:rsid w:val="000A3504"/>
    <w:rsid w:val="000A56F6"/>
    <w:rsid w:val="000A5E29"/>
    <w:rsid w:val="000A6A65"/>
    <w:rsid w:val="000B0762"/>
    <w:rsid w:val="000B3B7A"/>
    <w:rsid w:val="000C2CDB"/>
    <w:rsid w:val="000C30F0"/>
    <w:rsid w:val="000C4906"/>
    <w:rsid w:val="000D63AF"/>
    <w:rsid w:val="000D7718"/>
    <w:rsid w:val="000F10B6"/>
    <w:rsid w:val="000F2412"/>
    <w:rsid w:val="000F3292"/>
    <w:rsid w:val="000F514E"/>
    <w:rsid w:val="00101AA0"/>
    <w:rsid w:val="001047E4"/>
    <w:rsid w:val="00110393"/>
    <w:rsid w:val="00113407"/>
    <w:rsid w:val="001218E5"/>
    <w:rsid w:val="00122933"/>
    <w:rsid w:val="001247F8"/>
    <w:rsid w:val="00125B83"/>
    <w:rsid w:val="001263E1"/>
    <w:rsid w:val="00127DE2"/>
    <w:rsid w:val="00132228"/>
    <w:rsid w:val="0013301B"/>
    <w:rsid w:val="001358E5"/>
    <w:rsid w:val="00137755"/>
    <w:rsid w:val="00140478"/>
    <w:rsid w:val="00142A42"/>
    <w:rsid w:val="0014390A"/>
    <w:rsid w:val="00145555"/>
    <w:rsid w:val="00151DDD"/>
    <w:rsid w:val="00155A64"/>
    <w:rsid w:val="00162185"/>
    <w:rsid w:val="001639CE"/>
    <w:rsid w:val="00163CBC"/>
    <w:rsid w:val="00163F67"/>
    <w:rsid w:val="001641C0"/>
    <w:rsid w:val="001715F4"/>
    <w:rsid w:val="001716BA"/>
    <w:rsid w:val="00173594"/>
    <w:rsid w:val="00181D71"/>
    <w:rsid w:val="001840D0"/>
    <w:rsid w:val="00190BAC"/>
    <w:rsid w:val="001918E6"/>
    <w:rsid w:val="001963EC"/>
    <w:rsid w:val="00197293"/>
    <w:rsid w:val="00197B21"/>
    <w:rsid w:val="001A1122"/>
    <w:rsid w:val="001A5A57"/>
    <w:rsid w:val="001A5C22"/>
    <w:rsid w:val="001A75AB"/>
    <w:rsid w:val="001B503D"/>
    <w:rsid w:val="001B53E2"/>
    <w:rsid w:val="001C07E0"/>
    <w:rsid w:val="001E0489"/>
    <w:rsid w:val="001E0895"/>
    <w:rsid w:val="001F1A7E"/>
    <w:rsid w:val="001F1FBF"/>
    <w:rsid w:val="001F391F"/>
    <w:rsid w:val="001F4746"/>
    <w:rsid w:val="001F70BA"/>
    <w:rsid w:val="001F7470"/>
    <w:rsid w:val="00204AB5"/>
    <w:rsid w:val="002061B6"/>
    <w:rsid w:val="00206CC8"/>
    <w:rsid w:val="002072A3"/>
    <w:rsid w:val="00221535"/>
    <w:rsid w:val="00224E6A"/>
    <w:rsid w:val="0022508C"/>
    <w:rsid w:val="00226618"/>
    <w:rsid w:val="00227C52"/>
    <w:rsid w:val="00230E83"/>
    <w:rsid w:val="00231F7A"/>
    <w:rsid w:val="0024468C"/>
    <w:rsid w:val="002514C5"/>
    <w:rsid w:val="00256645"/>
    <w:rsid w:val="00261AB6"/>
    <w:rsid w:val="00262C50"/>
    <w:rsid w:val="00266C67"/>
    <w:rsid w:val="002720A7"/>
    <w:rsid w:val="0027225E"/>
    <w:rsid w:val="00272C34"/>
    <w:rsid w:val="002744B9"/>
    <w:rsid w:val="00276897"/>
    <w:rsid w:val="00282E53"/>
    <w:rsid w:val="002847A7"/>
    <w:rsid w:val="00287974"/>
    <w:rsid w:val="002921BE"/>
    <w:rsid w:val="00295042"/>
    <w:rsid w:val="002960EF"/>
    <w:rsid w:val="00296B71"/>
    <w:rsid w:val="002B1923"/>
    <w:rsid w:val="002B5B5E"/>
    <w:rsid w:val="002B7A3B"/>
    <w:rsid w:val="002C0C89"/>
    <w:rsid w:val="002C63C7"/>
    <w:rsid w:val="002D4DB3"/>
    <w:rsid w:val="002E5B4B"/>
    <w:rsid w:val="002E61F8"/>
    <w:rsid w:val="002E7E9E"/>
    <w:rsid w:val="002F3C3C"/>
    <w:rsid w:val="002F7B38"/>
    <w:rsid w:val="002F7F1B"/>
    <w:rsid w:val="0030489E"/>
    <w:rsid w:val="0030559A"/>
    <w:rsid w:val="00305E4E"/>
    <w:rsid w:val="003118C7"/>
    <w:rsid w:val="003119EA"/>
    <w:rsid w:val="0031559C"/>
    <w:rsid w:val="00320E8E"/>
    <w:rsid w:val="003256A2"/>
    <w:rsid w:val="00332AFF"/>
    <w:rsid w:val="0033642F"/>
    <w:rsid w:val="0033701A"/>
    <w:rsid w:val="00337FEE"/>
    <w:rsid w:val="00343601"/>
    <w:rsid w:val="00344058"/>
    <w:rsid w:val="00345343"/>
    <w:rsid w:val="0035124D"/>
    <w:rsid w:val="00360799"/>
    <w:rsid w:val="00364534"/>
    <w:rsid w:val="003660CC"/>
    <w:rsid w:val="00372AC6"/>
    <w:rsid w:val="00373E11"/>
    <w:rsid w:val="00373EEB"/>
    <w:rsid w:val="003841B1"/>
    <w:rsid w:val="003844A2"/>
    <w:rsid w:val="00386C0E"/>
    <w:rsid w:val="003A34FF"/>
    <w:rsid w:val="003B26AB"/>
    <w:rsid w:val="003B6EEC"/>
    <w:rsid w:val="003C13FA"/>
    <w:rsid w:val="003C2F6A"/>
    <w:rsid w:val="003C3DED"/>
    <w:rsid w:val="003C7A7E"/>
    <w:rsid w:val="003D0173"/>
    <w:rsid w:val="003D0A80"/>
    <w:rsid w:val="003D6294"/>
    <w:rsid w:val="003D71EC"/>
    <w:rsid w:val="003E049C"/>
    <w:rsid w:val="003E0BE4"/>
    <w:rsid w:val="003E2F91"/>
    <w:rsid w:val="003E4537"/>
    <w:rsid w:val="003E509B"/>
    <w:rsid w:val="003F00A7"/>
    <w:rsid w:val="003F666A"/>
    <w:rsid w:val="0040165D"/>
    <w:rsid w:val="00407FAC"/>
    <w:rsid w:val="0041044D"/>
    <w:rsid w:val="004104B8"/>
    <w:rsid w:val="004116C4"/>
    <w:rsid w:val="0041226D"/>
    <w:rsid w:val="00412C1B"/>
    <w:rsid w:val="00414F5F"/>
    <w:rsid w:val="00416CEB"/>
    <w:rsid w:val="00422562"/>
    <w:rsid w:val="0042482D"/>
    <w:rsid w:val="00424C6E"/>
    <w:rsid w:val="004258C7"/>
    <w:rsid w:val="00426526"/>
    <w:rsid w:val="00426CC9"/>
    <w:rsid w:val="00430E33"/>
    <w:rsid w:val="00431E38"/>
    <w:rsid w:val="004357EA"/>
    <w:rsid w:val="00435E31"/>
    <w:rsid w:val="00436692"/>
    <w:rsid w:val="004368B3"/>
    <w:rsid w:val="00441703"/>
    <w:rsid w:val="004424DA"/>
    <w:rsid w:val="00442765"/>
    <w:rsid w:val="0044283D"/>
    <w:rsid w:val="0044292D"/>
    <w:rsid w:val="004532A5"/>
    <w:rsid w:val="004564DC"/>
    <w:rsid w:val="004566DB"/>
    <w:rsid w:val="00461C39"/>
    <w:rsid w:val="00461D39"/>
    <w:rsid w:val="004629AC"/>
    <w:rsid w:val="00462D22"/>
    <w:rsid w:val="0046310D"/>
    <w:rsid w:val="004662B9"/>
    <w:rsid w:val="004714B1"/>
    <w:rsid w:val="004743F9"/>
    <w:rsid w:val="00480731"/>
    <w:rsid w:val="00481D14"/>
    <w:rsid w:val="00481D63"/>
    <w:rsid w:val="00482514"/>
    <w:rsid w:val="0048771A"/>
    <w:rsid w:val="00490097"/>
    <w:rsid w:val="00490633"/>
    <w:rsid w:val="00491108"/>
    <w:rsid w:val="00493799"/>
    <w:rsid w:val="0049454E"/>
    <w:rsid w:val="004A1E4C"/>
    <w:rsid w:val="004A59F7"/>
    <w:rsid w:val="004A5AD3"/>
    <w:rsid w:val="004A6434"/>
    <w:rsid w:val="004B2244"/>
    <w:rsid w:val="004B3B5F"/>
    <w:rsid w:val="004B574F"/>
    <w:rsid w:val="004C0244"/>
    <w:rsid w:val="004C3C32"/>
    <w:rsid w:val="004C570B"/>
    <w:rsid w:val="004D19BC"/>
    <w:rsid w:val="004D20C6"/>
    <w:rsid w:val="004D79B1"/>
    <w:rsid w:val="004D79E4"/>
    <w:rsid w:val="004E23F9"/>
    <w:rsid w:val="004E30A5"/>
    <w:rsid w:val="004E32B5"/>
    <w:rsid w:val="004F1316"/>
    <w:rsid w:val="004F419A"/>
    <w:rsid w:val="004F54AC"/>
    <w:rsid w:val="004F62A6"/>
    <w:rsid w:val="004F6B87"/>
    <w:rsid w:val="00501237"/>
    <w:rsid w:val="005036A4"/>
    <w:rsid w:val="00504998"/>
    <w:rsid w:val="0051129C"/>
    <w:rsid w:val="00514250"/>
    <w:rsid w:val="0052402F"/>
    <w:rsid w:val="00532E72"/>
    <w:rsid w:val="005356FD"/>
    <w:rsid w:val="00535995"/>
    <w:rsid w:val="005373C2"/>
    <w:rsid w:val="00545153"/>
    <w:rsid w:val="00545DF9"/>
    <w:rsid w:val="00554E85"/>
    <w:rsid w:val="0056347E"/>
    <w:rsid w:val="00563DA8"/>
    <w:rsid w:val="00573182"/>
    <w:rsid w:val="00575803"/>
    <w:rsid w:val="00575B65"/>
    <w:rsid w:val="00576268"/>
    <w:rsid w:val="005840AF"/>
    <w:rsid w:val="00591C14"/>
    <w:rsid w:val="005978DD"/>
    <w:rsid w:val="005A410B"/>
    <w:rsid w:val="005B5005"/>
    <w:rsid w:val="005B5381"/>
    <w:rsid w:val="005B549A"/>
    <w:rsid w:val="005B5706"/>
    <w:rsid w:val="005B6D7E"/>
    <w:rsid w:val="005C02DA"/>
    <w:rsid w:val="005C079D"/>
    <w:rsid w:val="005C23A8"/>
    <w:rsid w:val="005C27D9"/>
    <w:rsid w:val="005C3A13"/>
    <w:rsid w:val="005C43BC"/>
    <w:rsid w:val="005C4BE4"/>
    <w:rsid w:val="005C7171"/>
    <w:rsid w:val="005D1BCC"/>
    <w:rsid w:val="005D1CDA"/>
    <w:rsid w:val="005D42BF"/>
    <w:rsid w:val="006018BD"/>
    <w:rsid w:val="00606C49"/>
    <w:rsid w:val="00610CB0"/>
    <w:rsid w:val="00616193"/>
    <w:rsid w:val="00616AAC"/>
    <w:rsid w:val="0062135D"/>
    <w:rsid w:val="00624F40"/>
    <w:rsid w:val="00632E3A"/>
    <w:rsid w:val="00633B06"/>
    <w:rsid w:val="0064755A"/>
    <w:rsid w:val="006502C1"/>
    <w:rsid w:val="00651A3B"/>
    <w:rsid w:val="00652017"/>
    <w:rsid w:val="006528EF"/>
    <w:rsid w:val="0065657E"/>
    <w:rsid w:val="00656A58"/>
    <w:rsid w:val="0066056F"/>
    <w:rsid w:val="00673549"/>
    <w:rsid w:val="00675174"/>
    <w:rsid w:val="00690EAB"/>
    <w:rsid w:val="006918B0"/>
    <w:rsid w:val="00691F59"/>
    <w:rsid w:val="0069336A"/>
    <w:rsid w:val="0069538A"/>
    <w:rsid w:val="00695C4F"/>
    <w:rsid w:val="006A1797"/>
    <w:rsid w:val="006B1B9E"/>
    <w:rsid w:val="006B4820"/>
    <w:rsid w:val="006C25F4"/>
    <w:rsid w:val="006C4D16"/>
    <w:rsid w:val="006D0F40"/>
    <w:rsid w:val="006D2411"/>
    <w:rsid w:val="006D3037"/>
    <w:rsid w:val="006D3AF5"/>
    <w:rsid w:val="006D4EAD"/>
    <w:rsid w:val="006E0446"/>
    <w:rsid w:val="006E39C1"/>
    <w:rsid w:val="006E3F01"/>
    <w:rsid w:val="006E45EB"/>
    <w:rsid w:val="006E560F"/>
    <w:rsid w:val="006E6057"/>
    <w:rsid w:val="00701A5C"/>
    <w:rsid w:val="00702EE3"/>
    <w:rsid w:val="00703B1F"/>
    <w:rsid w:val="0071094B"/>
    <w:rsid w:val="00711A2B"/>
    <w:rsid w:val="00715334"/>
    <w:rsid w:val="00716E86"/>
    <w:rsid w:val="00716EF0"/>
    <w:rsid w:val="007175E9"/>
    <w:rsid w:val="0072246B"/>
    <w:rsid w:val="00725AD8"/>
    <w:rsid w:val="00732A3B"/>
    <w:rsid w:val="00734B0C"/>
    <w:rsid w:val="00736089"/>
    <w:rsid w:val="00736561"/>
    <w:rsid w:val="00744CEE"/>
    <w:rsid w:val="0074567E"/>
    <w:rsid w:val="00747AEA"/>
    <w:rsid w:val="007549ED"/>
    <w:rsid w:val="00757DEE"/>
    <w:rsid w:val="00760757"/>
    <w:rsid w:val="00762EEB"/>
    <w:rsid w:val="0076440F"/>
    <w:rsid w:val="00764F61"/>
    <w:rsid w:val="00770934"/>
    <w:rsid w:val="0078270C"/>
    <w:rsid w:val="007875A4"/>
    <w:rsid w:val="007878E6"/>
    <w:rsid w:val="00797B2D"/>
    <w:rsid w:val="007A11C0"/>
    <w:rsid w:val="007A144E"/>
    <w:rsid w:val="007A186C"/>
    <w:rsid w:val="007A64DE"/>
    <w:rsid w:val="007A7DB8"/>
    <w:rsid w:val="007B04B9"/>
    <w:rsid w:val="007B0CE3"/>
    <w:rsid w:val="007B672F"/>
    <w:rsid w:val="007C2487"/>
    <w:rsid w:val="007C36FD"/>
    <w:rsid w:val="007C3E7D"/>
    <w:rsid w:val="007C6498"/>
    <w:rsid w:val="007C7A9B"/>
    <w:rsid w:val="007D05C9"/>
    <w:rsid w:val="007D2751"/>
    <w:rsid w:val="007D6B70"/>
    <w:rsid w:val="007D774E"/>
    <w:rsid w:val="007E0168"/>
    <w:rsid w:val="007E5B94"/>
    <w:rsid w:val="007E6905"/>
    <w:rsid w:val="007F23D2"/>
    <w:rsid w:val="007F2B1C"/>
    <w:rsid w:val="00800D36"/>
    <w:rsid w:val="0080111C"/>
    <w:rsid w:val="008145EC"/>
    <w:rsid w:val="00815DB2"/>
    <w:rsid w:val="00816DE4"/>
    <w:rsid w:val="00822438"/>
    <w:rsid w:val="00822AA6"/>
    <w:rsid w:val="008235D4"/>
    <w:rsid w:val="0082550F"/>
    <w:rsid w:val="0082795F"/>
    <w:rsid w:val="008331F7"/>
    <w:rsid w:val="00836182"/>
    <w:rsid w:val="00837ACD"/>
    <w:rsid w:val="00840A68"/>
    <w:rsid w:val="00840B27"/>
    <w:rsid w:val="00842892"/>
    <w:rsid w:val="00844516"/>
    <w:rsid w:val="008452BC"/>
    <w:rsid w:val="0084754C"/>
    <w:rsid w:val="00855D4B"/>
    <w:rsid w:val="008562A0"/>
    <w:rsid w:val="00860B56"/>
    <w:rsid w:val="00862019"/>
    <w:rsid w:val="008645AD"/>
    <w:rsid w:val="00866055"/>
    <w:rsid w:val="00870A3E"/>
    <w:rsid w:val="00872A17"/>
    <w:rsid w:val="00874255"/>
    <w:rsid w:val="00875DCD"/>
    <w:rsid w:val="0087663E"/>
    <w:rsid w:val="008873E0"/>
    <w:rsid w:val="00890572"/>
    <w:rsid w:val="00895352"/>
    <w:rsid w:val="008A6891"/>
    <w:rsid w:val="008B250A"/>
    <w:rsid w:val="008B5E47"/>
    <w:rsid w:val="008B666A"/>
    <w:rsid w:val="008B7CCC"/>
    <w:rsid w:val="008C1B9A"/>
    <w:rsid w:val="008D2829"/>
    <w:rsid w:val="008D787A"/>
    <w:rsid w:val="008E0C49"/>
    <w:rsid w:val="008E32C8"/>
    <w:rsid w:val="008E3A11"/>
    <w:rsid w:val="008E64B6"/>
    <w:rsid w:val="008F01C2"/>
    <w:rsid w:val="008F385F"/>
    <w:rsid w:val="008F7C6A"/>
    <w:rsid w:val="00904DA3"/>
    <w:rsid w:val="00906F31"/>
    <w:rsid w:val="00911A84"/>
    <w:rsid w:val="00914480"/>
    <w:rsid w:val="009151AE"/>
    <w:rsid w:val="00920778"/>
    <w:rsid w:val="00921571"/>
    <w:rsid w:val="00924190"/>
    <w:rsid w:val="00936A15"/>
    <w:rsid w:val="00936BA0"/>
    <w:rsid w:val="00937044"/>
    <w:rsid w:val="00937680"/>
    <w:rsid w:val="009474B4"/>
    <w:rsid w:val="00947BA9"/>
    <w:rsid w:val="0095043F"/>
    <w:rsid w:val="00950446"/>
    <w:rsid w:val="0095242B"/>
    <w:rsid w:val="009538AE"/>
    <w:rsid w:val="00957F0B"/>
    <w:rsid w:val="009637D8"/>
    <w:rsid w:val="00972C64"/>
    <w:rsid w:val="009733C8"/>
    <w:rsid w:val="00973EC2"/>
    <w:rsid w:val="00974952"/>
    <w:rsid w:val="00974A9C"/>
    <w:rsid w:val="00975BD5"/>
    <w:rsid w:val="00977629"/>
    <w:rsid w:val="00981CD5"/>
    <w:rsid w:val="009843A5"/>
    <w:rsid w:val="009A4E7A"/>
    <w:rsid w:val="009A4F5E"/>
    <w:rsid w:val="009A7316"/>
    <w:rsid w:val="009B27CE"/>
    <w:rsid w:val="009B2919"/>
    <w:rsid w:val="009B4EAA"/>
    <w:rsid w:val="009B57E7"/>
    <w:rsid w:val="009B636C"/>
    <w:rsid w:val="009C0F66"/>
    <w:rsid w:val="009C1617"/>
    <w:rsid w:val="009C2EE3"/>
    <w:rsid w:val="009C40B9"/>
    <w:rsid w:val="009C56D3"/>
    <w:rsid w:val="009C59A4"/>
    <w:rsid w:val="009C7181"/>
    <w:rsid w:val="009D1F8C"/>
    <w:rsid w:val="009D488F"/>
    <w:rsid w:val="009D596B"/>
    <w:rsid w:val="009E024A"/>
    <w:rsid w:val="009E272E"/>
    <w:rsid w:val="009E4458"/>
    <w:rsid w:val="009F386E"/>
    <w:rsid w:val="009F4772"/>
    <w:rsid w:val="009F4EDC"/>
    <w:rsid w:val="009F7F45"/>
    <w:rsid w:val="00A01D9D"/>
    <w:rsid w:val="00A03106"/>
    <w:rsid w:val="00A10810"/>
    <w:rsid w:val="00A1111F"/>
    <w:rsid w:val="00A148B8"/>
    <w:rsid w:val="00A20D23"/>
    <w:rsid w:val="00A22470"/>
    <w:rsid w:val="00A22807"/>
    <w:rsid w:val="00A22A7A"/>
    <w:rsid w:val="00A26A60"/>
    <w:rsid w:val="00A27649"/>
    <w:rsid w:val="00A34F45"/>
    <w:rsid w:val="00A37364"/>
    <w:rsid w:val="00A40C13"/>
    <w:rsid w:val="00A45787"/>
    <w:rsid w:val="00A45A2B"/>
    <w:rsid w:val="00A5247F"/>
    <w:rsid w:val="00A56221"/>
    <w:rsid w:val="00A60C78"/>
    <w:rsid w:val="00A64686"/>
    <w:rsid w:val="00A65C52"/>
    <w:rsid w:val="00A72394"/>
    <w:rsid w:val="00A75DC4"/>
    <w:rsid w:val="00A76529"/>
    <w:rsid w:val="00A805E3"/>
    <w:rsid w:val="00A877AE"/>
    <w:rsid w:val="00A97DE2"/>
    <w:rsid w:val="00AA4E31"/>
    <w:rsid w:val="00AB15C1"/>
    <w:rsid w:val="00AB163F"/>
    <w:rsid w:val="00AB235C"/>
    <w:rsid w:val="00AB5819"/>
    <w:rsid w:val="00AB6E64"/>
    <w:rsid w:val="00AC7545"/>
    <w:rsid w:val="00AC79DD"/>
    <w:rsid w:val="00AC7CA2"/>
    <w:rsid w:val="00AD007B"/>
    <w:rsid w:val="00AD4F05"/>
    <w:rsid w:val="00AE25C5"/>
    <w:rsid w:val="00AE4354"/>
    <w:rsid w:val="00AE6AE5"/>
    <w:rsid w:val="00AF358C"/>
    <w:rsid w:val="00B00CA5"/>
    <w:rsid w:val="00B04013"/>
    <w:rsid w:val="00B058CE"/>
    <w:rsid w:val="00B07922"/>
    <w:rsid w:val="00B079C1"/>
    <w:rsid w:val="00B14E7D"/>
    <w:rsid w:val="00B15F76"/>
    <w:rsid w:val="00B16523"/>
    <w:rsid w:val="00B1736F"/>
    <w:rsid w:val="00B1765B"/>
    <w:rsid w:val="00B17BDF"/>
    <w:rsid w:val="00B21FA6"/>
    <w:rsid w:val="00B222DF"/>
    <w:rsid w:val="00B226FA"/>
    <w:rsid w:val="00B23743"/>
    <w:rsid w:val="00B24778"/>
    <w:rsid w:val="00B26AC4"/>
    <w:rsid w:val="00B27E46"/>
    <w:rsid w:val="00B323DF"/>
    <w:rsid w:val="00B36AB7"/>
    <w:rsid w:val="00B401D2"/>
    <w:rsid w:val="00B47C82"/>
    <w:rsid w:val="00B522ED"/>
    <w:rsid w:val="00B52A19"/>
    <w:rsid w:val="00B5466A"/>
    <w:rsid w:val="00B55F46"/>
    <w:rsid w:val="00B60BE4"/>
    <w:rsid w:val="00B60BE5"/>
    <w:rsid w:val="00B62622"/>
    <w:rsid w:val="00B73E2B"/>
    <w:rsid w:val="00B75551"/>
    <w:rsid w:val="00B75B95"/>
    <w:rsid w:val="00B81589"/>
    <w:rsid w:val="00B87817"/>
    <w:rsid w:val="00B95018"/>
    <w:rsid w:val="00BA2C62"/>
    <w:rsid w:val="00BA3D82"/>
    <w:rsid w:val="00BB1861"/>
    <w:rsid w:val="00BB20DD"/>
    <w:rsid w:val="00BB23E3"/>
    <w:rsid w:val="00BB3172"/>
    <w:rsid w:val="00BB5159"/>
    <w:rsid w:val="00BB56B8"/>
    <w:rsid w:val="00BB5D94"/>
    <w:rsid w:val="00BB5FB8"/>
    <w:rsid w:val="00BB614F"/>
    <w:rsid w:val="00BB78FC"/>
    <w:rsid w:val="00BC0AD5"/>
    <w:rsid w:val="00BC6FB0"/>
    <w:rsid w:val="00BD14CE"/>
    <w:rsid w:val="00BD3155"/>
    <w:rsid w:val="00BD7F8D"/>
    <w:rsid w:val="00BE0B2E"/>
    <w:rsid w:val="00BE10C6"/>
    <w:rsid w:val="00BE34C4"/>
    <w:rsid w:val="00BE360D"/>
    <w:rsid w:val="00BE40E0"/>
    <w:rsid w:val="00BE5CC6"/>
    <w:rsid w:val="00BE67A7"/>
    <w:rsid w:val="00BF4DB7"/>
    <w:rsid w:val="00C012E9"/>
    <w:rsid w:val="00C025A6"/>
    <w:rsid w:val="00C040D2"/>
    <w:rsid w:val="00C13DDD"/>
    <w:rsid w:val="00C148A6"/>
    <w:rsid w:val="00C14972"/>
    <w:rsid w:val="00C203C2"/>
    <w:rsid w:val="00C2639F"/>
    <w:rsid w:val="00C2771A"/>
    <w:rsid w:val="00C2796B"/>
    <w:rsid w:val="00C27EED"/>
    <w:rsid w:val="00C300D2"/>
    <w:rsid w:val="00C314AA"/>
    <w:rsid w:val="00C316E9"/>
    <w:rsid w:val="00C35706"/>
    <w:rsid w:val="00C3774E"/>
    <w:rsid w:val="00C41504"/>
    <w:rsid w:val="00C5196A"/>
    <w:rsid w:val="00C53ADA"/>
    <w:rsid w:val="00C5569F"/>
    <w:rsid w:val="00C5632D"/>
    <w:rsid w:val="00C605C9"/>
    <w:rsid w:val="00C6114C"/>
    <w:rsid w:val="00C6214C"/>
    <w:rsid w:val="00C63DFC"/>
    <w:rsid w:val="00C645E7"/>
    <w:rsid w:val="00C67944"/>
    <w:rsid w:val="00C70653"/>
    <w:rsid w:val="00C75976"/>
    <w:rsid w:val="00C8206E"/>
    <w:rsid w:val="00C826BE"/>
    <w:rsid w:val="00C84D01"/>
    <w:rsid w:val="00C86FCB"/>
    <w:rsid w:val="00C87CF7"/>
    <w:rsid w:val="00C926AC"/>
    <w:rsid w:val="00C97C4B"/>
    <w:rsid w:val="00CA0ADA"/>
    <w:rsid w:val="00CA0D89"/>
    <w:rsid w:val="00CA17BF"/>
    <w:rsid w:val="00CA2D90"/>
    <w:rsid w:val="00CA5DAE"/>
    <w:rsid w:val="00CA704F"/>
    <w:rsid w:val="00CB1BE5"/>
    <w:rsid w:val="00CB2CE6"/>
    <w:rsid w:val="00CB4B24"/>
    <w:rsid w:val="00CC11CB"/>
    <w:rsid w:val="00CC2332"/>
    <w:rsid w:val="00CD7806"/>
    <w:rsid w:val="00CE0F5E"/>
    <w:rsid w:val="00CE6CC7"/>
    <w:rsid w:val="00CF5400"/>
    <w:rsid w:val="00CF7DFC"/>
    <w:rsid w:val="00D00E9D"/>
    <w:rsid w:val="00D020E5"/>
    <w:rsid w:val="00D05676"/>
    <w:rsid w:val="00D06376"/>
    <w:rsid w:val="00D13D5D"/>
    <w:rsid w:val="00D172BC"/>
    <w:rsid w:val="00D2035A"/>
    <w:rsid w:val="00D25D88"/>
    <w:rsid w:val="00D2605D"/>
    <w:rsid w:val="00D27451"/>
    <w:rsid w:val="00D30827"/>
    <w:rsid w:val="00D32947"/>
    <w:rsid w:val="00D358D3"/>
    <w:rsid w:val="00D36D19"/>
    <w:rsid w:val="00D50650"/>
    <w:rsid w:val="00D51F6A"/>
    <w:rsid w:val="00D52562"/>
    <w:rsid w:val="00D52BCB"/>
    <w:rsid w:val="00D545D1"/>
    <w:rsid w:val="00D5497D"/>
    <w:rsid w:val="00D56F7B"/>
    <w:rsid w:val="00D60620"/>
    <w:rsid w:val="00D63EC0"/>
    <w:rsid w:val="00D67179"/>
    <w:rsid w:val="00D67BE8"/>
    <w:rsid w:val="00D71039"/>
    <w:rsid w:val="00D733DB"/>
    <w:rsid w:val="00D7398F"/>
    <w:rsid w:val="00D804D3"/>
    <w:rsid w:val="00D85BE5"/>
    <w:rsid w:val="00D90B50"/>
    <w:rsid w:val="00D90C58"/>
    <w:rsid w:val="00D93A9F"/>
    <w:rsid w:val="00D94B8D"/>
    <w:rsid w:val="00DA38B6"/>
    <w:rsid w:val="00DA3927"/>
    <w:rsid w:val="00DA5EE2"/>
    <w:rsid w:val="00DA619A"/>
    <w:rsid w:val="00DA7CE2"/>
    <w:rsid w:val="00DB0B7F"/>
    <w:rsid w:val="00DB14A1"/>
    <w:rsid w:val="00DB1D6F"/>
    <w:rsid w:val="00DB1FFC"/>
    <w:rsid w:val="00DB6AAF"/>
    <w:rsid w:val="00DB77D8"/>
    <w:rsid w:val="00DB7C0F"/>
    <w:rsid w:val="00DC0186"/>
    <w:rsid w:val="00DC1590"/>
    <w:rsid w:val="00DC4824"/>
    <w:rsid w:val="00DC58B9"/>
    <w:rsid w:val="00DD0CD2"/>
    <w:rsid w:val="00DD55F6"/>
    <w:rsid w:val="00DD6235"/>
    <w:rsid w:val="00DD654E"/>
    <w:rsid w:val="00DE1B17"/>
    <w:rsid w:val="00DE1FA0"/>
    <w:rsid w:val="00DE2CEE"/>
    <w:rsid w:val="00DF1BD0"/>
    <w:rsid w:val="00DF2499"/>
    <w:rsid w:val="00DF2CEF"/>
    <w:rsid w:val="00DF5511"/>
    <w:rsid w:val="00DF700B"/>
    <w:rsid w:val="00E021FD"/>
    <w:rsid w:val="00E0504F"/>
    <w:rsid w:val="00E12828"/>
    <w:rsid w:val="00E13BBA"/>
    <w:rsid w:val="00E144B7"/>
    <w:rsid w:val="00E161A0"/>
    <w:rsid w:val="00E21A20"/>
    <w:rsid w:val="00E27DB7"/>
    <w:rsid w:val="00E353A1"/>
    <w:rsid w:val="00E40FB8"/>
    <w:rsid w:val="00E4208A"/>
    <w:rsid w:val="00E4383C"/>
    <w:rsid w:val="00E43DED"/>
    <w:rsid w:val="00E4573B"/>
    <w:rsid w:val="00E51686"/>
    <w:rsid w:val="00E6035F"/>
    <w:rsid w:val="00E630F1"/>
    <w:rsid w:val="00E65A74"/>
    <w:rsid w:val="00E77B45"/>
    <w:rsid w:val="00E80FFE"/>
    <w:rsid w:val="00E84AA1"/>
    <w:rsid w:val="00E91F3D"/>
    <w:rsid w:val="00E93632"/>
    <w:rsid w:val="00E94AA5"/>
    <w:rsid w:val="00E97059"/>
    <w:rsid w:val="00EA0FB3"/>
    <w:rsid w:val="00EA13E9"/>
    <w:rsid w:val="00EA1D1B"/>
    <w:rsid w:val="00EB77CC"/>
    <w:rsid w:val="00EC7A64"/>
    <w:rsid w:val="00ED0F03"/>
    <w:rsid w:val="00ED1875"/>
    <w:rsid w:val="00ED3FA0"/>
    <w:rsid w:val="00ED5EC6"/>
    <w:rsid w:val="00EE03F1"/>
    <w:rsid w:val="00EE3831"/>
    <w:rsid w:val="00EE3DB1"/>
    <w:rsid w:val="00EE4A45"/>
    <w:rsid w:val="00EE63EF"/>
    <w:rsid w:val="00EF3311"/>
    <w:rsid w:val="00EF78EA"/>
    <w:rsid w:val="00EF7C5F"/>
    <w:rsid w:val="00EF7DE8"/>
    <w:rsid w:val="00F01905"/>
    <w:rsid w:val="00F10E16"/>
    <w:rsid w:val="00F13653"/>
    <w:rsid w:val="00F21FFE"/>
    <w:rsid w:val="00F24032"/>
    <w:rsid w:val="00F255AD"/>
    <w:rsid w:val="00F30B41"/>
    <w:rsid w:val="00F31D4B"/>
    <w:rsid w:val="00F32BBA"/>
    <w:rsid w:val="00F33D14"/>
    <w:rsid w:val="00F34C91"/>
    <w:rsid w:val="00F4315D"/>
    <w:rsid w:val="00F43779"/>
    <w:rsid w:val="00F43F76"/>
    <w:rsid w:val="00F44339"/>
    <w:rsid w:val="00F44F89"/>
    <w:rsid w:val="00F45FF7"/>
    <w:rsid w:val="00F50B3C"/>
    <w:rsid w:val="00F53509"/>
    <w:rsid w:val="00F5559F"/>
    <w:rsid w:val="00F56D8C"/>
    <w:rsid w:val="00F603B4"/>
    <w:rsid w:val="00F63D57"/>
    <w:rsid w:val="00F649D8"/>
    <w:rsid w:val="00F64B18"/>
    <w:rsid w:val="00F710D3"/>
    <w:rsid w:val="00F73C3E"/>
    <w:rsid w:val="00F75147"/>
    <w:rsid w:val="00F757F1"/>
    <w:rsid w:val="00F82FF3"/>
    <w:rsid w:val="00F84B4A"/>
    <w:rsid w:val="00FA058C"/>
    <w:rsid w:val="00FB4D9C"/>
    <w:rsid w:val="00FB7EA8"/>
    <w:rsid w:val="00FD10C6"/>
    <w:rsid w:val="00FD304B"/>
    <w:rsid w:val="00FE4242"/>
    <w:rsid w:val="00FF0DF8"/>
    <w:rsid w:val="00FF122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7A9A76"/>
  <w15:docId w15:val="{59BF90F4-ADB4-48D1-9F9C-5E80DF3C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5DB2"/>
    <w:pPr>
      <w:spacing w:after="24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15DB2"/>
    <w:pPr>
      <w:keepNext/>
      <w:outlineLvl w:val="1"/>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5DB2"/>
    <w:rPr>
      <w:rFonts w:ascii="Arial" w:eastAsia="Times New Roman" w:hAnsi="Arial" w:cs="Times New Roman"/>
      <w:b/>
      <w:sz w:val="28"/>
      <w:szCs w:val="20"/>
    </w:rPr>
  </w:style>
  <w:style w:type="paragraph" w:styleId="NormalWeb">
    <w:name w:val="Normal (Web)"/>
    <w:basedOn w:val="Normal"/>
    <w:uiPriority w:val="99"/>
    <w:rsid w:val="00815DB2"/>
    <w:pPr>
      <w:spacing w:before="100" w:beforeAutospacing="1" w:after="100" w:afterAutospacing="1"/>
    </w:pPr>
    <w:rPr>
      <w:rFonts w:ascii="Yu Gothic" w:eastAsia="Yu Gothic" w:hAnsi="Yu Gothic" w:cs="Yu Gothic"/>
    </w:rPr>
  </w:style>
  <w:style w:type="character" w:styleId="PageNumber">
    <w:name w:val="page number"/>
    <w:basedOn w:val="DefaultParagraphFont"/>
    <w:rsid w:val="00815DB2"/>
  </w:style>
  <w:style w:type="character" w:styleId="Hyperlink">
    <w:name w:val="Hyperlink"/>
    <w:uiPriority w:val="99"/>
    <w:rsid w:val="00815DB2"/>
    <w:rPr>
      <w:color w:val="0000FF"/>
      <w:u w:val="single"/>
    </w:rPr>
  </w:style>
  <w:style w:type="paragraph" w:styleId="Header">
    <w:name w:val="header"/>
    <w:basedOn w:val="Normal"/>
    <w:link w:val="HeaderChar"/>
    <w:uiPriority w:val="99"/>
    <w:rsid w:val="00815DB2"/>
    <w:pPr>
      <w:tabs>
        <w:tab w:val="center" w:pos="4320"/>
        <w:tab w:val="right" w:pos="8640"/>
      </w:tabs>
      <w:jc w:val="center"/>
    </w:pPr>
    <w:rPr>
      <w:b/>
      <w:lang w:val="x-none" w:eastAsia="x-none"/>
    </w:rPr>
  </w:style>
  <w:style w:type="character" w:customStyle="1" w:styleId="HeaderChar">
    <w:name w:val="Header Char"/>
    <w:basedOn w:val="DefaultParagraphFont"/>
    <w:link w:val="Header"/>
    <w:uiPriority w:val="99"/>
    <w:rsid w:val="00815DB2"/>
    <w:rPr>
      <w:rFonts w:ascii="Times New Roman" w:eastAsia="Times New Roman" w:hAnsi="Times New Roman" w:cs="Times New Roman"/>
      <w:b/>
      <w:sz w:val="20"/>
      <w:szCs w:val="20"/>
      <w:lang w:val="x-none" w:eastAsia="x-none"/>
    </w:rPr>
  </w:style>
  <w:style w:type="paragraph" w:styleId="Footer">
    <w:name w:val="footer"/>
    <w:basedOn w:val="Normal"/>
    <w:link w:val="FooterChar"/>
    <w:uiPriority w:val="99"/>
    <w:rsid w:val="00815DB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815DB2"/>
    <w:rPr>
      <w:rFonts w:ascii="Times New Roman" w:eastAsia="Times New Roman" w:hAnsi="Times New Roman" w:cs="Times New Roman"/>
      <w:sz w:val="20"/>
      <w:szCs w:val="20"/>
      <w:lang w:val="x-none" w:eastAsia="x-none"/>
    </w:rPr>
  </w:style>
  <w:style w:type="paragraph" w:styleId="BodyText">
    <w:name w:val="Body Text"/>
    <w:basedOn w:val="Normal"/>
    <w:link w:val="BodyTextChar"/>
    <w:rsid w:val="00815DB2"/>
    <w:pPr>
      <w:tabs>
        <w:tab w:val="left" w:pos="720"/>
      </w:tabs>
    </w:pPr>
    <w:rPr>
      <w:rFonts w:ascii="Arial" w:hAnsi="Arial" w:cs="Arial"/>
    </w:rPr>
  </w:style>
  <w:style w:type="character" w:customStyle="1" w:styleId="BodyTextChar">
    <w:name w:val="Body Text Char"/>
    <w:basedOn w:val="DefaultParagraphFont"/>
    <w:link w:val="BodyText"/>
    <w:rsid w:val="00815DB2"/>
    <w:rPr>
      <w:rFonts w:ascii="Arial" w:eastAsia="Times New Roman" w:hAnsi="Arial" w:cs="Arial"/>
      <w:sz w:val="20"/>
      <w:szCs w:val="20"/>
    </w:rPr>
  </w:style>
  <w:style w:type="paragraph" w:styleId="Title">
    <w:name w:val="Title"/>
    <w:basedOn w:val="Normal"/>
    <w:link w:val="TitleChar"/>
    <w:qFormat/>
    <w:rsid w:val="00815DB2"/>
    <w:pPr>
      <w:jc w:val="center"/>
    </w:pPr>
    <w:rPr>
      <w:b/>
      <w:bCs/>
    </w:rPr>
  </w:style>
  <w:style w:type="character" w:customStyle="1" w:styleId="TitleChar">
    <w:name w:val="Title Char"/>
    <w:basedOn w:val="DefaultParagraphFont"/>
    <w:link w:val="Title"/>
    <w:rsid w:val="00815DB2"/>
    <w:rPr>
      <w:rFonts w:ascii="Times New Roman" w:eastAsia="Times New Roman" w:hAnsi="Times New Roman" w:cs="Times New Roman"/>
      <w:b/>
      <w:bCs/>
      <w:sz w:val="20"/>
      <w:szCs w:val="20"/>
    </w:rPr>
  </w:style>
  <w:style w:type="character" w:styleId="CommentReference">
    <w:name w:val="annotation reference"/>
    <w:rsid w:val="00815DB2"/>
    <w:rPr>
      <w:sz w:val="16"/>
      <w:szCs w:val="16"/>
    </w:rPr>
  </w:style>
  <w:style w:type="paragraph" w:styleId="CommentText">
    <w:name w:val="annotation text"/>
    <w:basedOn w:val="Normal"/>
    <w:link w:val="CommentTextChar"/>
    <w:rsid w:val="00815DB2"/>
    <w:rPr>
      <w:lang w:val="x-none" w:eastAsia="x-none"/>
    </w:rPr>
  </w:style>
  <w:style w:type="character" w:customStyle="1" w:styleId="CommentTextChar">
    <w:name w:val="Comment Text Char"/>
    <w:basedOn w:val="DefaultParagraphFont"/>
    <w:link w:val="CommentText"/>
    <w:rsid w:val="00815DB2"/>
    <w:rPr>
      <w:rFonts w:ascii="Times New Roman" w:eastAsia="Times New Roman" w:hAnsi="Times New Roman" w:cs="Times New Roman"/>
      <w:sz w:val="20"/>
      <w:szCs w:val="20"/>
      <w:lang w:val="x-none" w:eastAsia="x-none"/>
    </w:rPr>
  </w:style>
  <w:style w:type="paragraph" w:customStyle="1" w:styleId="Default">
    <w:name w:val="Default"/>
    <w:rsid w:val="00815D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15D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DB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3E4537"/>
    <w:rPr>
      <w:b/>
      <w:bCs/>
      <w:lang w:val="en-US" w:eastAsia="en-US"/>
    </w:rPr>
  </w:style>
  <w:style w:type="character" w:customStyle="1" w:styleId="CommentSubjectChar">
    <w:name w:val="Comment Subject Char"/>
    <w:basedOn w:val="CommentTextChar"/>
    <w:link w:val="CommentSubject"/>
    <w:uiPriority w:val="99"/>
    <w:semiHidden/>
    <w:rsid w:val="003E4537"/>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3E4537"/>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B0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F7C5F"/>
    <w:rPr>
      <w:color w:val="954F72"/>
      <w:u w:val="single"/>
    </w:rPr>
  </w:style>
  <w:style w:type="paragraph" w:customStyle="1" w:styleId="msonormal0">
    <w:name w:val="msonormal"/>
    <w:basedOn w:val="Normal"/>
    <w:rsid w:val="00EF7C5F"/>
    <w:pPr>
      <w:spacing w:before="100" w:beforeAutospacing="1" w:after="100" w:afterAutospacing="1"/>
    </w:pPr>
    <w:rPr>
      <w:sz w:val="24"/>
      <w:szCs w:val="24"/>
    </w:rPr>
  </w:style>
  <w:style w:type="paragraph" w:customStyle="1" w:styleId="font0">
    <w:name w:val="font0"/>
    <w:basedOn w:val="Normal"/>
    <w:rsid w:val="00EF7C5F"/>
    <w:pPr>
      <w:spacing w:before="100" w:beforeAutospacing="1" w:after="100" w:afterAutospacing="1"/>
    </w:pPr>
    <w:rPr>
      <w:rFonts w:ascii="Calibri" w:hAnsi="Calibri" w:cs="Calibri"/>
      <w:color w:val="000000"/>
      <w:sz w:val="22"/>
      <w:szCs w:val="22"/>
    </w:rPr>
  </w:style>
  <w:style w:type="paragraph" w:customStyle="1" w:styleId="font5">
    <w:name w:val="font5"/>
    <w:basedOn w:val="Normal"/>
    <w:rsid w:val="00EF7C5F"/>
    <w:pPr>
      <w:spacing w:before="100" w:beforeAutospacing="1" w:after="100" w:afterAutospacing="1"/>
    </w:pPr>
    <w:rPr>
      <w:rFonts w:ascii="Calibri" w:hAnsi="Calibri" w:cs="Calibri"/>
      <w:color w:val="000000"/>
      <w:sz w:val="22"/>
      <w:szCs w:val="22"/>
    </w:rPr>
  </w:style>
  <w:style w:type="paragraph" w:customStyle="1" w:styleId="xl63">
    <w:name w:val="xl63"/>
    <w:basedOn w:val="Normal"/>
    <w:rsid w:val="00EF7C5F"/>
    <w:pPr>
      <w:spacing w:before="100" w:beforeAutospacing="1" w:after="100" w:afterAutospacing="1"/>
      <w:jc w:val="center"/>
    </w:pPr>
    <w:rPr>
      <w:sz w:val="24"/>
      <w:szCs w:val="24"/>
    </w:rPr>
  </w:style>
  <w:style w:type="paragraph" w:customStyle="1" w:styleId="xl64">
    <w:name w:val="xl64"/>
    <w:basedOn w:val="Normal"/>
    <w:rsid w:val="00EF7C5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5">
    <w:name w:val="xl65"/>
    <w:basedOn w:val="Normal"/>
    <w:rsid w:val="00EF7C5F"/>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
    <w:rsid w:val="00EF7C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67">
    <w:name w:val="xl67"/>
    <w:basedOn w:val="Normal"/>
    <w:rsid w:val="00EF7C5F"/>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68">
    <w:name w:val="xl68"/>
    <w:basedOn w:val="Normal"/>
    <w:rsid w:val="00EF7C5F"/>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69">
    <w:name w:val="xl69"/>
    <w:basedOn w:val="Normal"/>
    <w:rsid w:val="00EF7C5F"/>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70">
    <w:name w:val="xl70"/>
    <w:basedOn w:val="Normal"/>
    <w:rsid w:val="00EF7C5F"/>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71">
    <w:name w:val="xl71"/>
    <w:basedOn w:val="Normal"/>
    <w:rsid w:val="00EF7C5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72">
    <w:name w:val="xl72"/>
    <w:basedOn w:val="Normal"/>
    <w:rsid w:val="00EF7C5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73">
    <w:name w:val="xl73"/>
    <w:basedOn w:val="Normal"/>
    <w:rsid w:val="00EF7C5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Normal"/>
    <w:rsid w:val="00EF7C5F"/>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styleId="ListParagraph">
    <w:name w:val="List Paragraph"/>
    <w:basedOn w:val="Normal"/>
    <w:uiPriority w:val="34"/>
    <w:qFormat/>
    <w:rsid w:val="00EF7C5F"/>
    <w:pPr>
      <w:spacing w:after="160" w:line="259" w:lineRule="auto"/>
      <w:ind w:left="720"/>
      <w:contextualSpacing/>
    </w:pPr>
    <w:rPr>
      <w:sz w:val="22"/>
      <w:szCs w:val="22"/>
    </w:rPr>
  </w:style>
  <w:style w:type="paragraph" w:styleId="Caption">
    <w:name w:val="caption"/>
    <w:basedOn w:val="Normal"/>
    <w:next w:val="Normal"/>
    <w:uiPriority w:val="35"/>
    <w:unhideWhenUsed/>
    <w:qFormat/>
    <w:rsid w:val="00036CB0"/>
    <w:pPr>
      <w:spacing w:after="200"/>
    </w:pPr>
    <w:rPr>
      <w:i/>
      <w:iCs/>
      <w:color w:val="44546A" w:themeColor="text2"/>
      <w:sz w:val="18"/>
      <w:szCs w:val="18"/>
    </w:rPr>
  </w:style>
  <w:style w:type="character" w:customStyle="1" w:styleId="UnresolvedMention1">
    <w:name w:val="Unresolved Mention1"/>
    <w:basedOn w:val="DefaultParagraphFont"/>
    <w:uiPriority w:val="99"/>
    <w:semiHidden/>
    <w:unhideWhenUsed/>
    <w:rsid w:val="003C2F6A"/>
    <w:rPr>
      <w:color w:val="605E5C"/>
      <w:shd w:val="clear" w:color="auto" w:fill="E1DFDD"/>
    </w:rPr>
  </w:style>
  <w:style w:type="paragraph" w:styleId="EndnoteText">
    <w:name w:val="endnote text"/>
    <w:basedOn w:val="Normal"/>
    <w:link w:val="EndnoteTextChar"/>
    <w:uiPriority w:val="99"/>
    <w:semiHidden/>
    <w:unhideWhenUsed/>
    <w:rsid w:val="0066056F"/>
    <w:pPr>
      <w:spacing w:after="0"/>
    </w:pPr>
  </w:style>
  <w:style w:type="character" w:customStyle="1" w:styleId="EndnoteTextChar">
    <w:name w:val="Endnote Text Char"/>
    <w:basedOn w:val="DefaultParagraphFont"/>
    <w:link w:val="EndnoteText"/>
    <w:uiPriority w:val="99"/>
    <w:semiHidden/>
    <w:rsid w:val="006605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66056F"/>
    <w:rPr>
      <w:vertAlign w:val="superscript"/>
    </w:rPr>
  </w:style>
  <w:style w:type="paragraph" w:styleId="FootnoteText">
    <w:name w:val="footnote text"/>
    <w:basedOn w:val="Normal"/>
    <w:link w:val="FootnoteTextChar"/>
    <w:uiPriority w:val="99"/>
    <w:semiHidden/>
    <w:unhideWhenUsed/>
    <w:rsid w:val="0066056F"/>
    <w:pPr>
      <w:spacing w:after="0"/>
    </w:pPr>
  </w:style>
  <w:style w:type="character" w:customStyle="1" w:styleId="FootnoteTextChar">
    <w:name w:val="Footnote Text Char"/>
    <w:basedOn w:val="DefaultParagraphFont"/>
    <w:link w:val="FootnoteText"/>
    <w:uiPriority w:val="99"/>
    <w:semiHidden/>
    <w:rsid w:val="0066056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60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6323">
      <w:bodyDiv w:val="1"/>
      <w:marLeft w:val="0"/>
      <w:marRight w:val="0"/>
      <w:marTop w:val="0"/>
      <w:marBottom w:val="0"/>
      <w:divBdr>
        <w:top w:val="none" w:sz="0" w:space="0" w:color="auto"/>
        <w:left w:val="none" w:sz="0" w:space="0" w:color="auto"/>
        <w:bottom w:val="none" w:sz="0" w:space="0" w:color="auto"/>
        <w:right w:val="none" w:sz="0" w:space="0" w:color="auto"/>
      </w:divBdr>
    </w:div>
    <w:div w:id="421799327">
      <w:bodyDiv w:val="1"/>
      <w:marLeft w:val="0"/>
      <w:marRight w:val="0"/>
      <w:marTop w:val="0"/>
      <w:marBottom w:val="0"/>
      <w:divBdr>
        <w:top w:val="none" w:sz="0" w:space="0" w:color="auto"/>
        <w:left w:val="none" w:sz="0" w:space="0" w:color="auto"/>
        <w:bottom w:val="none" w:sz="0" w:space="0" w:color="auto"/>
        <w:right w:val="none" w:sz="0" w:space="0" w:color="auto"/>
      </w:divBdr>
    </w:div>
    <w:div w:id="586118471">
      <w:bodyDiv w:val="1"/>
      <w:marLeft w:val="0"/>
      <w:marRight w:val="0"/>
      <w:marTop w:val="0"/>
      <w:marBottom w:val="0"/>
      <w:divBdr>
        <w:top w:val="none" w:sz="0" w:space="0" w:color="auto"/>
        <w:left w:val="none" w:sz="0" w:space="0" w:color="auto"/>
        <w:bottom w:val="none" w:sz="0" w:space="0" w:color="auto"/>
        <w:right w:val="none" w:sz="0" w:space="0" w:color="auto"/>
      </w:divBdr>
    </w:div>
    <w:div w:id="619536487">
      <w:bodyDiv w:val="1"/>
      <w:marLeft w:val="0"/>
      <w:marRight w:val="0"/>
      <w:marTop w:val="0"/>
      <w:marBottom w:val="0"/>
      <w:divBdr>
        <w:top w:val="none" w:sz="0" w:space="0" w:color="auto"/>
        <w:left w:val="none" w:sz="0" w:space="0" w:color="auto"/>
        <w:bottom w:val="none" w:sz="0" w:space="0" w:color="auto"/>
        <w:right w:val="none" w:sz="0" w:space="0" w:color="auto"/>
      </w:divBdr>
    </w:div>
    <w:div w:id="708267401">
      <w:bodyDiv w:val="1"/>
      <w:marLeft w:val="0"/>
      <w:marRight w:val="0"/>
      <w:marTop w:val="0"/>
      <w:marBottom w:val="0"/>
      <w:divBdr>
        <w:top w:val="none" w:sz="0" w:space="0" w:color="auto"/>
        <w:left w:val="none" w:sz="0" w:space="0" w:color="auto"/>
        <w:bottom w:val="none" w:sz="0" w:space="0" w:color="auto"/>
        <w:right w:val="none" w:sz="0" w:space="0" w:color="auto"/>
      </w:divBdr>
    </w:div>
    <w:div w:id="721028605">
      <w:bodyDiv w:val="1"/>
      <w:marLeft w:val="0"/>
      <w:marRight w:val="0"/>
      <w:marTop w:val="0"/>
      <w:marBottom w:val="0"/>
      <w:divBdr>
        <w:top w:val="none" w:sz="0" w:space="0" w:color="auto"/>
        <w:left w:val="none" w:sz="0" w:space="0" w:color="auto"/>
        <w:bottom w:val="none" w:sz="0" w:space="0" w:color="auto"/>
        <w:right w:val="none" w:sz="0" w:space="0" w:color="auto"/>
      </w:divBdr>
    </w:div>
    <w:div w:id="738673467">
      <w:bodyDiv w:val="1"/>
      <w:marLeft w:val="0"/>
      <w:marRight w:val="0"/>
      <w:marTop w:val="0"/>
      <w:marBottom w:val="0"/>
      <w:divBdr>
        <w:top w:val="none" w:sz="0" w:space="0" w:color="auto"/>
        <w:left w:val="none" w:sz="0" w:space="0" w:color="auto"/>
        <w:bottom w:val="none" w:sz="0" w:space="0" w:color="auto"/>
        <w:right w:val="none" w:sz="0" w:space="0" w:color="auto"/>
      </w:divBdr>
    </w:div>
    <w:div w:id="779378063">
      <w:bodyDiv w:val="1"/>
      <w:marLeft w:val="0"/>
      <w:marRight w:val="0"/>
      <w:marTop w:val="0"/>
      <w:marBottom w:val="0"/>
      <w:divBdr>
        <w:top w:val="none" w:sz="0" w:space="0" w:color="auto"/>
        <w:left w:val="none" w:sz="0" w:space="0" w:color="auto"/>
        <w:bottom w:val="none" w:sz="0" w:space="0" w:color="auto"/>
        <w:right w:val="none" w:sz="0" w:space="0" w:color="auto"/>
      </w:divBdr>
    </w:div>
    <w:div w:id="952172613">
      <w:bodyDiv w:val="1"/>
      <w:marLeft w:val="0"/>
      <w:marRight w:val="0"/>
      <w:marTop w:val="0"/>
      <w:marBottom w:val="0"/>
      <w:divBdr>
        <w:top w:val="none" w:sz="0" w:space="0" w:color="auto"/>
        <w:left w:val="none" w:sz="0" w:space="0" w:color="auto"/>
        <w:bottom w:val="none" w:sz="0" w:space="0" w:color="auto"/>
        <w:right w:val="none" w:sz="0" w:space="0" w:color="auto"/>
      </w:divBdr>
    </w:div>
    <w:div w:id="1004552711">
      <w:bodyDiv w:val="1"/>
      <w:marLeft w:val="0"/>
      <w:marRight w:val="0"/>
      <w:marTop w:val="0"/>
      <w:marBottom w:val="0"/>
      <w:divBdr>
        <w:top w:val="none" w:sz="0" w:space="0" w:color="auto"/>
        <w:left w:val="none" w:sz="0" w:space="0" w:color="auto"/>
        <w:bottom w:val="none" w:sz="0" w:space="0" w:color="auto"/>
        <w:right w:val="none" w:sz="0" w:space="0" w:color="auto"/>
      </w:divBdr>
    </w:div>
    <w:div w:id="1074283370">
      <w:bodyDiv w:val="1"/>
      <w:marLeft w:val="0"/>
      <w:marRight w:val="0"/>
      <w:marTop w:val="0"/>
      <w:marBottom w:val="0"/>
      <w:divBdr>
        <w:top w:val="none" w:sz="0" w:space="0" w:color="auto"/>
        <w:left w:val="none" w:sz="0" w:space="0" w:color="auto"/>
        <w:bottom w:val="none" w:sz="0" w:space="0" w:color="auto"/>
        <w:right w:val="none" w:sz="0" w:space="0" w:color="auto"/>
      </w:divBdr>
    </w:div>
    <w:div w:id="1079523657">
      <w:bodyDiv w:val="1"/>
      <w:marLeft w:val="0"/>
      <w:marRight w:val="0"/>
      <w:marTop w:val="0"/>
      <w:marBottom w:val="0"/>
      <w:divBdr>
        <w:top w:val="none" w:sz="0" w:space="0" w:color="auto"/>
        <w:left w:val="none" w:sz="0" w:space="0" w:color="auto"/>
        <w:bottom w:val="none" w:sz="0" w:space="0" w:color="auto"/>
        <w:right w:val="none" w:sz="0" w:space="0" w:color="auto"/>
      </w:divBdr>
    </w:div>
    <w:div w:id="1649896521">
      <w:bodyDiv w:val="1"/>
      <w:marLeft w:val="0"/>
      <w:marRight w:val="0"/>
      <w:marTop w:val="0"/>
      <w:marBottom w:val="0"/>
      <w:divBdr>
        <w:top w:val="none" w:sz="0" w:space="0" w:color="auto"/>
        <w:left w:val="none" w:sz="0" w:space="0" w:color="auto"/>
        <w:bottom w:val="none" w:sz="0" w:space="0" w:color="auto"/>
        <w:right w:val="none" w:sz="0" w:space="0" w:color="auto"/>
      </w:divBdr>
    </w:div>
    <w:div w:id="1744599405">
      <w:bodyDiv w:val="1"/>
      <w:marLeft w:val="0"/>
      <w:marRight w:val="0"/>
      <w:marTop w:val="0"/>
      <w:marBottom w:val="0"/>
      <w:divBdr>
        <w:top w:val="none" w:sz="0" w:space="0" w:color="auto"/>
        <w:left w:val="none" w:sz="0" w:space="0" w:color="auto"/>
        <w:bottom w:val="none" w:sz="0" w:space="0" w:color="auto"/>
        <w:right w:val="none" w:sz="0" w:space="0" w:color="auto"/>
      </w:divBdr>
    </w:div>
    <w:div w:id="1843202295">
      <w:bodyDiv w:val="1"/>
      <w:marLeft w:val="0"/>
      <w:marRight w:val="0"/>
      <w:marTop w:val="0"/>
      <w:marBottom w:val="0"/>
      <w:divBdr>
        <w:top w:val="none" w:sz="0" w:space="0" w:color="auto"/>
        <w:left w:val="none" w:sz="0" w:space="0" w:color="auto"/>
        <w:bottom w:val="none" w:sz="0" w:space="0" w:color="auto"/>
        <w:right w:val="none" w:sz="0" w:space="0" w:color="auto"/>
      </w:divBdr>
    </w:div>
    <w:div w:id="1858038566">
      <w:bodyDiv w:val="1"/>
      <w:marLeft w:val="0"/>
      <w:marRight w:val="0"/>
      <w:marTop w:val="0"/>
      <w:marBottom w:val="0"/>
      <w:divBdr>
        <w:top w:val="none" w:sz="0" w:space="0" w:color="auto"/>
        <w:left w:val="none" w:sz="0" w:space="0" w:color="auto"/>
        <w:bottom w:val="none" w:sz="0" w:space="0" w:color="auto"/>
        <w:right w:val="none" w:sz="0" w:space="0" w:color="auto"/>
      </w:divBdr>
    </w:div>
    <w:div w:id="1977374647">
      <w:bodyDiv w:val="1"/>
      <w:marLeft w:val="0"/>
      <w:marRight w:val="0"/>
      <w:marTop w:val="0"/>
      <w:marBottom w:val="0"/>
      <w:divBdr>
        <w:top w:val="none" w:sz="0" w:space="0" w:color="auto"/>
        <w:left w:val="none" w:sz="0" w:space="0" w:color="auto"/>
        <w:bottom w:val="none" w:sz="0" w:space="0" w:color="auto"/>
        <w:right w:val="none" w:sz="0" w:space="0" w:color="auto"/>
      </w:divBdr>
    </w:div>
    <w:div w:id="2013145225">
      <w:bodyDiv w:val="1"/>
      <w:marLeft w:val="0"/>
      <w:marRight w:val="0"/>
      <w:marTop w:val="0"/>
      <w:marBottom w:val="0"/>
      <w:divBdr>
        <w:top w:val="none" w:sz="0" w:space="0" w:color="auto"/>
        <w:left w:val="none" w:sz="0" w:space="0" w:color="auto"/>
        <w:bottom w:val="none" w:sz="0" w:space="0" w:color="auto"/>
        <w:right w:val="none" w:sz="0" w:space="0" w:color="auto"/>
      </w:divBdr>
      <w:divsChild>
        <w:div w:id="1271015023">
          <w:marLeft w:val="0"/>
          <w:marRight w:val="0"/>
          <w:marTop w:val="240"/>
          <w:marBottom w:val="0"/>
          <w:divBdr>
            <w:top w:val="none" w:sz="0" w:space="0" w:color="auto"/>
            <w:left w:val="none" w:sz="0" w:space="0" w:color="auto"/>
            <w:bottom w:val="none" w:sz="0" w:space="0" w:color="auto"/>
            <w:right w:val="none" w:sz="0" w:space="0" w:color="auto"/>
          </w:divBdr>
        </w:div>
        <w:div w:id="1933464735">
          <w:marLeft w:val="0"/>
          <w:marRight w:val="0"/>
          <w:marTop w:val="240"/>
          <w:marBottom w:val="0"/>
          <w:divBdr>
            <w:top w:val="none" w:sz="0" w:space="0" w:color="auto"/>
            <w:left w:val="none" w:sz="0" w:space="0" w:color="auto"/>
            <w:bottom w:val="none" w:sz="0" w:space="0" w:color="auto"/>
            <w:right w:val="none" w:sz="0" w:space="0" w:color="auto"/>
          </w:divBdr>
        </w:div>
      </w:divsChild>
    </w:div>
    <w:div w:id="212175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37C17-6981-4AB9-80E2-7D83A77C1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4933</Words>
  <Characters>27208</Characters>
  <Application>Microsoft Office Word</Application>
  <DocSecurity>0</DocSecurity>
  <Lines>676</Lines>
  <Paragraphs>315</Paragraphs>
  <ScaleCrop>false</ScaleCrop>
  <HeadingPairs>
    <vt:vector size="2" baseType="variant">
      <vt:variant>
        <vt:lpstr>Title</vt:lpstr>
      </vt:variant>
      <vt:variant>
        <vt:i4>1</vt:i4>
      </vt:variant>
    </vt:vector>
  </HeadingPairs>
  <TitlesOfParts>
    <vt:vector size="1" baseType="lpstr">
      <vt:lpstr>isr addendum perchlorate</vt:lpstr>
    </vt:vector>
  </TitlesOfParts>
  <Company>HP</Company>
  <LinksUpToDate>false</LinksUpToDate>
  <CharactersWithSpaces>31995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 addendum perchlorate</dc:title>
  <dc:creator>swrcb</dc:creator>
  <cp:lastModifiedBy>Townsend, Jeanine@Waterboards</cp:lastModifiedBy>
  <cp:revision>12</cp:revision>
  <cp:lastPrinted>2020-07-19T22:48:00Z</cp:lastPrinted>
  <dcterms:created xsi:type="dcterms:W3CDTF">2020-07-19T22:27:00Z</dcterms:created>
  <dcterms:modified xsi:type="dcterms:W3CDTF">2020-07-19T22:50:00Z</dcterms:modified>
</cp:coreProperties>
</file>