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0AD0" w14:textId="6F0698ED" w:rsidR="00D560BE" w:rsidRPr="00232A19" w:rsidRDefault="00324228" w:rsidP="00F12EE3">
      <w:pPr>
        <w:pStyle w:val="Heading1"/>
        <w:spacing w:after="240"/>
        <w:jc w:val="center"/>
        <w:rPr>
          <w:b/>
          <w:bCs/>
        </w:rPr>
      </w:pPr>
      <w:r>
        <w:rPr>
          <w:b/>
          <w:bCs/>
        </w:rPr>
        <w:t xml:space="preserve">SPECIAL </w:t>
      </w:r>
      <w:r w:rsidR="007B2BD3">
        <w:rPr>
          <w:b/>
          <w:bCs/>
        </w:rPr>
        <w:t xml:space="preserve">ON-SITE ASSESSMENT WAIVER REQUEST </w:t>
      </w:r>
      <w:r>
        <w:rPr>
          <w:b/>
          <w:bCs/>
        </w:rPr>
        <w:t xml:space="preserve">FOR FIELDS OF ACCREDITATION CHANGED </w:t>
      </w:r>
      <w:r w:rsidR="007B2BD3">
        <w:rPr>
          <w:b/>
          <w:bCs/>
        </w:rPr>
        <w:t xml:space="preserve">BY THE </w:t>
      </w:r>
      <w:r w:rsidR="007B2BD3">
        <w:rPr>
          <w:b/>
          <w:bCs/>
        </w:rPr>
        <w:br/>
      </w:r>
      <w:r>
        <w:rPr>
          <w:b/>
          <w:bCs/>
        </w:rPr>
        <w:t>2021 METHODS UPDATE RULE</w:t>
      </w:r>
      <w:r w:rsidR="00B8476B" w:rsidRPr="00232A19">
        <w:rPr>
          <w:b/>
          <w:bCs/>
        </w:rPr>
        <w:t xml:space="preserve"> </w:t>
      </w:r>
    </w:p>
    <w:p w14:paraId="5532F786" w14:textId="74D32223" w:rsidR="00D560BE" w:rsidRPr="00232A19" w:rsidRDefault="00D560BE" w:rsidP="00232A19">
      <w:pPr>
        <w:pStyle w:val="Heading2"/>
        <w:jc w:val="center"/>
        <w:rPr>
          <w:sz w:val="28"/>
          <w:szCs w:val="28"/>
        </w:rPr>
      </w:pPr>
      <w:r w:rsidRPr="00232A19">
        <w:rPr>
          <w:sz w:val="28"/>
          <w:szCs w:val="28"/>
        </w:rPr>
        <w:t>Environmental Laboratory Accreditation Program</w:t>
      </w:r>
    </w:p>
    <w:p w14:paraId="54E26C0A" w14:textId="12EFB7DD" w:rsidR="00324228" w:rsidRDefault="00396811" w:rsidP="00232A19">
      <w:pPr>
        <w:spacing w:after="0"/>
        <w:rPr>
          <w:rFonts w:ascii="Arial" w:hAnsi="Arial" w:cs="Arial"/>
          <w:iCs/>
          <w:sz w:val="24"/>
          <w:szCs w:val="24"/>
        </w:rPr>
      </w:pPr>
      <w:r w:rsidRPr="00B8476B">
        <w:rPr>
          <w:rFonts w:ascii="Arial" w:hAnsi="Arial" w:cs="Arial"/>
          <w:iCs/>
          <w:sz w:val="24"/>
          <w:szCs w:val="24"/>
        </w:rPr>
        <w:t xml:space="preserve">This </w:t>
      </w:r>
      <w:r w:rsidR="007B1EF7">
        <w:rPr>
          <w:rFonts w:ascii="Arial" w:hAnsi="Arial" w:cs="Arial"/>
          <w:iCs/>
          <w:sz w:val="24"/>
          <w:szCs w:val="24"/>
        </w:rPr>
        <w:t>waiver may be granted to</w:t>
      </w:r>
      <w:r w:rsidR="00B8476B" w:rsidRPr="007B2BD3">
        <w:rPr>
          <w:rFonts w:ascii="Arial" w:hAnsi="Arial" w:cs="Arial"/>
          <w:iCs/>
          <w:sz w:val="24"/>
          <w:szCs w:val="24"/>
        </w:rPr>
        <w:t xml:space="preserve"> </w:t>
      </w:r>
      <w:r w:rsidRPr="007B2BD3">
        <w:rPr>
          <w:rFonts w:ascii="Arial" w:hAnsi="Arial" w:cs="Arial"/>
          <w:iCs/>
          <w:sz w:val="24"/>
          <w:szCs w:val="24"/>
        </w:rPr>
        <w:t>laboratories</w:t>
      </w:r>
      <w:r w:rsidR="00C43FC5" w:rsidRPr="00B8476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D41C60">
        <w:rPr>
          <w:rFonts w:ascii="Arial" w:hAnsi="Arial" w:cs="Arial"/>
          <w:b/>
          <w:bCs/>
          <w:i/>
          <w:sz w:val="24"/>
          <w:szCs w:val="24"/>
        </w:rPr>
        <w:t>seeking</w:t>
      </w:r>
      <w:r w:rsidR="00324228">
        <w:rPr>
          <w:rFonts w:ascii="Arial" w:hAnsi="Arial" w:cs="Arial"/>
          <w:b/>
          <w:bCs/>
          <w:i/>
          <w:sz w:val="24"/>
          <w:szCs w:val="24"/>
        </w:rPr>
        <w:t xml:space="preserve"> to </w:t>
      </w:r>
      <w:r w:rsidR="00AE5199">
        <w:rPr>
          <w:rFonts w:ascii="Arial" w:hAnsi="Arial" w:cs="Arial"/>
          <w:b/>
          <w:bCs/>
          <w:i/>
          <w:sz w:val="24"/>
          <w:szCs w:val="24"/>
        </w:rPr>
        <w:t xml:space="preserve">amend an </w:t>
      </w:r>
      <w:r w:rsidR="00C43FC5" w:rsidRPr="00D41C60">
        <w:rPr>
          <w:rFonts w:ascii="Arial" w:hAnsi="Arial" w:cs="Arial"/>
          <w:b/>
          <w:bCs/>
          <w:i/>
          <w:sz w:val="24"/>
          <w:szCs w:val="24"/>
        </w:rPr>
        <w:t xml:space="preserve">existing </w:t>
      </w:r>
      <w:r w:rsidRPr="00D41C60">
        <w:rPr>
          <w:rFonts w:ascii="Arial" w:hAnsi="Arial" w:cs="Arial"/>
          <w:b/>
          <w:bCs/>
          <w:i/>
          <w:sz w:val="24"/>
          <w:szCs w:val="24"/>
        </w:rPr>
        <w:t>accreditation</w:t>
      </w:r>
      <w:r w:rsidRPr="00B8476B">
        <w:rPr>
          <w:rFonts w:ascii="Arial" w:hAnsi="Arial" w:cs="Arial"/>
          <w:iCs/>
          <w:sz w:val="24"/>
          <w:szCs w:val="24"/>
        </w:rPr>
        <w:t xml:space="preserve"> </w:t>
      </w:r>
      <w:r w:rsidR="00324228">
        <w:rPr>
          <w:rFonts w:ascii="Arial" w:hAnsi="Arial" w:cs="Arial"/>
          <w:iCs/>
          <w:sz w:val="24"/>
          <w:szCs w:val="24"/>
        </w:rPr>
        <w:t>with the</w:t>
      </w:r>
      <w:r w:rsidR="009851A5">
        <w:rPr>
          <w:rFonts w:ascii="Arial" w:hAnsi="Arial" w:cs="Arial"/>
          <w:iCs/>
          <w:sz w:val="24"/>
          <w:szCs w:val="24"/>
        </w:rPr>
        <w:t xml:space="preserve"> new</w:t>
      </w:r>
      <w:r w:rsidR="00324228">
        <w:rPr>
          <w:rFonts w:ascii="Arial" w:hAnsi="Arial" w:cs="Arial"/>
          <w:iCs/>
          <w:sz w:val="24"/>
          <w:szCs w:val="24"/>
        </w:rPr>
        <w:t xml:space="preserve"> </w:t>
      </w:r>
      <w:r w:rsidR="00340445">
        <w:rPr>
          <w:rFonts w:ascii="Arial" w:hAnsi="Arial" w:cs="Arial"/>
          <w:iCs/>
          <w:sz w:val="24"/>
          <w:szCs w:val="24"/>
        </w:rPr>
        <w:t>F</w:t>
      </w:r>
      <w:r w:rsidR="00324228">
        <w:rPr>
          <w:rFonts w:ascii="Arial" w:hAnsi="Arial" w:cs="Arial"/>
          <w:iCs/>
          <w:sz w:val="24"/>
          <w:szCs w:val="24"/>
        </w:rPr>
        <w:t xml:space="preserve">ields of </w:t>
      </w:r>
      <w:r w:rsidR="00340445">
        <w:rPr>
          <w:rFonts w:ascii="Arial" w:hAnsi="Arial" w:cs="Arial"/>
          <w:iCs/>
          <w:sz w:val="24"/>
          <w:szCs w:val="24"/>
        </w:rPr>
        <w:t>A</w:t>
      </w:r>
      <w:r w:rsidR="00324228">
        <w:rPr>
          <w:rFonts w:ascii="Arial" w:hAnsi="Arial" w:cs="Arial"/>
          <w:iCs/>
          <w:sz w:val="24"/>
          <w:szCs w:val="24"/>
        </w:rPr>
        <w:t>ccreditation (FOA</w:t>
      </w:r>
      <w:r w:rsidR="00340445">
        <w:rPr>
          <w:rFonts w:ascii="Arial" w:hAnsi="Arial" w:cs="Arial"/>
          <w:iCs/>
          <w:sz w:val="24"/>
          <w:szCs w:val="24"/>
        </w:rPr>
        <w:t>s</w:t>
      </w:r>
      <w:r w:rsidR="00324228">
        <w:rPr>
          <w:rFonts w:ascii="Arial" w:hAnsi="Arial" w:cs="Arial"/>
          <w:iCs/>
          <w:sz w:val="24"/>
          <w:szCs w:val="24"/>
        </w:rPr>
        <w:t xml:space="preserve">) </w:t>
      </w:r>
      <w:r w:rsidR="009851A5">
        <w:rPr>
          <w:rFonts w:ascii="Arial" w:hAnsi="Arial" w:cs="Arial"/>
          <w:iCs/>
          <w:sz w:val="24"/>
          <w:szCs w:val="24"/>
        </w:rPr>
        <w:t xml:space="preserve">added </w:t>
      </w:r>
      <w:r w:rsidR="00AE5199">
        <w:rPr>
          <w:rFonts w:ascii="Arial" w:hAnsi="Arial" w:cs="Arial"/>
          <w:iCs/>
          <w:sz w:val="24"/>
          <w:szCs w:val="24"/>
        </w:rPr>
        <w:t xml:space="preserve">in </w:t>
      </w:r>
      <w:r w:rsidR="00324228">
        <w:rPr>
          <w:rFonts w:ascii="Arial" w:hAnsi="Arial" w:cs="Arial"/>
          <w:iCs/>
          <w:sz w:val="24"/>
          <w:szCs w:val="24"/>
        </w:rPr>
        <w:t>accordance with the</w:t>
      </w:r>
      <w:r w:rsidR="009851A5">
        <w:rPr>
          <w:rFonts w:ascii="Arial" w:hAnsi="Arial" w:cs="Arial"/>
          <w:iCs/>
          <w:sz w:val="24"/>
          <w:szCs w:val="24"/>
        </w:rPr>
        <w:t xml:space="preserve"> request to incorporate changes made by the</w:t>
      </w:r>
      <w:r w:rsidR="00324228">
        <w:rPr>
          <w:rFonts w:ascii="Arial" w:hAnsi="Arial" w:cs="Arial"/>
          <w:iCs/>
          <w:sz w:val="24"/>
          <w:szCs w:val="24"/>
        </w:rPr>
        <w:t xml:space="preserve"> US EPA’s 2021 Methods Update Rule (2021 MUR). </w:t>
      </w:r>
      <w:r w:rsidR="00340445">
        <w:rPr>
          <w:rFonts w:ascii="Arial" w:hAnsi="Arial" w:cs="Arial"/>
          <w:iCs/>
          <w:sz w:val="24"/>
          <w:szCs w:val="24"/>
        </w:rPr>
        <w:t xml:space="preserve">A detailed changelog of the </w:t>
      </w:r>
      <w:r w:rsidR="00AE5199">
        <w:rPr>
          <w:rFonts w:ascii="Arial" w:hAnsi="Arial" w:cs="Arial"/>
          <w:iCs/>
          <w:sz w:val="24"/>
          <w:szCs w:val="24"/>
        </w:rPr>
        <w:t xml:space="preserve">FOAs </w:t>
      </w:r>
      <w:r w:rsidR="00340445">
        <w:rPr>
          <w:rFonts w:ascii="Arial" w:hAnsi="Arial" w:cs="Arial"/>
          <w:iCs/>
          <w:sz w:val="24"/>
          <w:szCs w:val="24"/>
        </w:rPr>
        <w:t>impacted by the</w:t>
      </w:r>
      <w:r w:rsidR="00AE5199">
        <w:rPr>
          <w:rFonts w:ascii="Arial" w:hAnsi="Arial" w:cs="Arial"/>
          <w:iCs/>
          <w:sz w:val="24"/>
          <w:szCs w:val="24"/>
        </w:rPr>
        <w:t xml:space="preserve"> </w:t>
      </w:r>
      <w:r w:rsidR="00324228">
        <w:rPr>
          <w:rFonts w:ascii="Arial" w:hAnsi="Arial" w:cs="Arial"/>
          <w:iCs/>
          <w:sz w:val="24"/>
          <w:szCs w:val="24"/>
        </w:rPr>
        <w:t xml:space="preserve">2021 MUR are available on </w:t>
      </w:r>
      <w:hyperlink r:id="rId8" w:history="1">
        <w:r w:rsidR="00C050AA" w:rsidRPr="00F53F4B">
          <w:rPr>
            <w:rStyle w:val="Hyperlink"/>
            <w:rFonts w:ascii="Arial" w:hAnsi="Arial" w:cs="Arial"/>
            <w:iCs/>
            <w:sz w:val="24"/>
            <w:szCs w:val="24"/>
          </w:rPr>
          <w:t>ELAP’s MUR website</w:t>
        </w:r>
      </w:hyperlink>
      <w:r w:rsidR="00324228">
        <w:rPr>
          <w:rFonts w:ascii="Arial" w:hAnsi="Arial" w:cs="Arial"/>
          <w:iCs/>
          <w:sz w:val="24"/>
          <w:szCs w:val="24"/>
        </w:rPr>
        <w:t>.</w:t>
      </w:r>
    </w:p>
    <w:p w14:paraId="3A3FFFEE" w14:textId="09FD079F" w:rsidR="00BD3155" w:rsidRDefault="00BD3155" w:rsidP="00232A19">
      <w:pPr>
        <w:spacing w:after="0"/>
        <w:rPr>
          <w:rFonts w:ascii="Arial" w:hAnsi="Arial" w:cs="Arial"/>
          <w:iCs/>
          <w:sz w:val="24"/>
          <w:szCs w:val="24"/>
        </w:rPr>
      </w:pPr>
    </w:p>
    <w:p w14:paraId="4B1A0EA4" w14:textId="625DC80A" w:rsidR="00324228" w:rsidRPr="00324228" w:rsidRDefault="007B2BD3" w:rsidP="00232A19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This </w:t>
      </w:r>
      <w:r w:rsidR="00264DBD">
        <w:rPr>
          <w:rFonts w:ascii="Arial" w:hAnsi="Arial" w:cs="Arial"/>
          <w:iCs/>
          <w:sz w:val="24"/>
          <w:szCs w:val="24"/>
        </w:rPr>
        <w:t>Waiver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41EDF">
        <w:rPr>
          <w:rFonts w:ascii="Arial" w:hAnsi="Arial" w:cs="Arial"/>
          <w:iCs/>
          <w:sz w:val="24"/>
          <w:szCs w:val="24"/>
        </w:rPr>
        <w:t>must</w:t>
      </w:r>
      <w:r>
        <w:rPr>
          <w:rFonts w:ascii="Arial" w:hAnsi="Arial" w:cs="Arial"/>
          <w:iCs/>
          <w:sz w:val="24"/>
          <w:szCs w:val="24"/>
        </w:rPr>
        <w:t xml:space="preserve"> be submitted with the laboratory’s amendment application as a replacement</w:t>
      </w:r>
      <w:r w:rsidR="00AD089B">
        <w:rPr>
          <w:rFonts w:ascii="Arial" w:hAnsi="Arial" w:cs="Arial"/>
          <w:iCs/>
          <w:sz w:val="24"/>
          <w:szCs w:val="24"/>
        </w:rPr>
        <w:t xml:space="preserve"> to</w:t>
      </w:r>
      <w:r>
        <w:rPr>
          <w:rFonts w:ascii="Arial" w:hAnsi="Arial" w:cs="Arial"/>
          <w:iCs/>
          <w:sz w:val="24"/>
          <w:szCs w:val="24"/>
        </w:rPr>
        <w:t xml:space="preserve"> the on-site assessment</w:t>
      </w:r>
      <w:r w:rsidR="00D41EDF">
        <w:rPr>
          <w:rFonts w:ascii="Arial" w:hAnsi="Arial" w:cs="Arial"/>
          <w:iCs/>
          <w:sz w:val="24"/>
          <w:szCs w:val="24"/>
        </w:rPr>
        <w:t xml:space="preserve"> documentation normally required with the amendment application</w:t>
      </w:r>
      <w:r w:rsidR="00837CAA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provided that the laboratory </w:t>
      </w:r>
      <w:r w:rsidR="007B1EF7">
        <w:rPr>
          <w:rFonts w:ascii="Arial" w:hAnsi="Arial" w:cs="Arial"/>
          <w:iCs/>
          <w:sz w:val="24"/>
          <w:szCs w:val="24"/>
        </w:rPr>
        <w:t xml:space="preserve">successfully completes and </w:t>
      </w:r>
      <w:r w:rsidR="00837CAA">
        <w:rPr>
          <w:rFonts w:ascii="Arial" w:hAnsi="Arial" w:cs="Arial"/>
          <w:iCs/>
          <w:sz w:val="24"/>
          <w:szCs w:val="24"/>
        </w:rPr>
        <w:t>understands</w:t>
      </w:r>
      <w:r>
        <w:rPr>
          <w:rFonts w:ascii="Arial" w:hAnsi="Arial" w:cs="Arial"/>
          <w:iCs/>
          <w:sz w:val="24"/>
          <w:szCs w:val="24"/>
        </w:rPr>
        <w:t xml:space="preserve"> all parts of this document.</w:t>
      </w:r>
    </w:p>
    <w:p w14:paraId="0282D9D1" w14:textId="09FC97F6" w:rsidR="00423735" w:rsidRDefault="00DD4C74" w:rsidP="00232A19">
      <w:pPr>
        <w:pStyle w:val="Heading3"/>
        <w:spacing w:before="360"/>
        <w:rPr>
          <w:b/>
          <w:bCs/>
          <w:i w:val="0"/>
          <w:iCs/>
          <w:u w:val="none"/>
        </w:rPr>
      </w:pPr>
      <w:r>
        <w:rPr>
          <w:b/>
          <w:bCs/>
          <w:i w:val="0"/>
          <w:iCs/>
          <w:u w:val="none"/>
        </w:rPr>
        <w:t>ACKNOWLEDGEMENT OF REQUIREMENTS</w:t>
      </w:r>
    </w:p>
    <w:p w14:paraId="483CB2EA" w14:textId="77777777" w:rsidR="00340445" w:rsidRPr="00340445" w:rsidRDefault="00340445" w:rsidP="00340445">
      <w:pPr>
        <w:spacing w:before="60" w:after="120"/>
        <w:rPr>
          <w:rFonts w:ascii="Arial" w:eastAsia="MS Gothic" w:hAnsi="Arial" w:cs="Arial"/>
          <w:i/>
          <w:iCs/>
          <w:sz w:val="24"/>
          <w:szCs w:val="24"/>
          <w:u w:val="single"/>
        </w:rPr>
      </w:pPr>
      <w:r w:rsidRPr="00340445">
        <w:rPr>
          <w:rFonts w:ascii="Arial" w:eastAsia="MS Gothic" w:hAnsi="Arial" w:cs="Arial"/>
          <w:i/>
          <w:iCs/>
          <w:sz w:val="24"/>
          <w:szCs w:val="24"/>
          <w:u w:val="single"/>
        </w:rPr>
        <w:t xml:space="preserve">Read and </w:t>
      </w:r>
      <w:proofErr w:type="gramStart"/>
      <w:r w:rsidRPr="00340445">
        <w:rPr>
          <w:rFonts w:ascii="Arial" w:eastAsia="MS Gothic" w:hAnsi="Arial" w:cs="Arial"/>
          <w:i/>
          <w:iCs/>
          <w:sz w:val="24"/>
          <w:szCs w:val="24"/>
          <w:u w:val="single"/>
        </w:rPr>
        <w:t>Check</w:t>
      </w:r>
      <w:proofErr w:type="gramEnd"/>
      <w:r w:rsidRPr="00340445">
        <w:rPr>
          <w:rFonts w:ascii="Arial" w:eastAsia="MS Gothic" w:hAnsi="Arial" w:cs="Arial"/>
          <w:i/>
          <w:iCs/>
          <w:sz w:val="24"/>
          <w:szCs w:val="24"/>
          <w:u w:val="single"/>
        </w:rPr>
        <w:t xml:space="preserve"> each box:</w:t>
      </w:r>
    </w:p>
    <w:tbl>
      <w:tblPr>
        <w:tblStyle w:val="TableGrid"/>
        <w:tblW w:w="9450" w:type="dxa"/>
        <w:tblInd w:w="8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EC102A" w:rsidRPr="004F6BED" w14:paraId="1068676E" w14:textId="5CF78A28" w:rsidTr="30E67733">
        <w:trPr>
          <w:trHeight w:val="3168"/>
        </w:trPr>
        <w:tc>
          <w:tcPr>
            <w:tcW w:w="9450" w:type="dxa"/>
            <w:vAlign w:val="center"/>
          </w:tcPr>
          <w:p w14:paraId="0186810E" w14:textId="0C77C4A9" w:rsidR="00D41EDF" w:rsidRDefault="006566EC" w:rsidP="002D1D88">
            <w:pPr>
              <w:spacing w:after="120"/>
              <w:ind w:left="426" w:hanging="27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479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D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41EDF" w:rsidRPr="009851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1EDF">
              <w:rPr>
                <w:rFonts w:ascii="Arial" w:hAnsi="Arial" w:cs="Arial"/>
                <w:sz w:val="24"/>
                <w:szCs w:val="24"/>
              </w:rPr>
              <w:t>The Laboratory is physically located in California</w:t>
            </w:r>
          </w:p>
          <w:p w14:paraId="6E1003CC" w14:textId="22572D61" w:rsidR="009851A5" w:rsidRPr="009851A5" w:rsidRDefault="006566EC" w:rsidP="002D1D88">
            <w:pPr>
              <w:spacing w:after="120"/>
              <w:ind w:left="426" w:hanging="27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803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D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41EDF" w:rsidRPr="009851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1A5" w:rsidRPr="009851A5">
              <w:rPr>
                <w:rFonts w:ascii="Arial" w:hAnsi="Arial" w:cs="Arial"/>
                <w:sz w:val="24"/>
                <w:szCs w:val="24"/>
              </w:rPr>
              <w:t xml:space="preserve">The laboratory is </w:t>
            </w:r>
            <w:r w:rsidR="009851A5">
              <w:rPr>
                <w:rFonts w:ascii="Arial" w:hAnsi="Arial" w:cs="Arial"/>
                <w:sz w:val="24"/>
                <w:szCs w:val="24"/>
              </w:rPr>
              <w:t xml:space="preserve">using this </w:t>
            </w:r>
            <w:r w:rsidR="00A74F0D">
              <w:rPr>
                <w:rFonts w:ascii="Arial" w:hAnsi="Arial" w:cs="Arial"/>
                <w:sz w:val="24"/>
                <w:szCs w:val="24"/>
              </w:rPr>
              <w:t>W</w:t>
            </w:r>
            <w:r w:rsidR="009851A5">
              <w:rPr>
                <w:rFonts w:ascii="Arial" w:hAnsi="Arial" w:cs="Arial"/>
                <w:sz w:val="24"/>
                <w:szCs w:val="24"/>
              </w:rPr>
              <w:t>aiver for</w:t>
            </w:r>
            <w:r w:rsidR="00971569">
              <w:rPr>
                <w:rFonts w:ascii="Arial" w:hAnsi="Arial" w:cs="Arial"/>
                <w:sz w:val="24"/>
                <w:szCs w:val="24"/>
              </w:rPr>
              <w:t xml:space="preserve"> accredited</w:t>
            </w:r>
            <w:r w:rsidR="009851A5">
              <w:rPr>
                <w:rFonts w:ascii="Arial" w:hAnsi="Arial" w:cs="Arial"/>
                <w:sz w:val="24"/>
                <w:szCs w:val="24"/>
              </w:rPr>
              <w:t xml:space="preserve"> FOA</w:t>
            </w:r>
            <w:r w:rsidR="00971569">
              <w:rPr>
                <w:rFonts w:ascii="Arial" w:hAnsi="Arial" w:cs="Arial"/>
                <w:sz w:val="24"/>
                <w:szCs w:val="24"/>
              </w:rPr>
              <w:t>s that ha</w:t>
            </w:r>
            <w:r w:rsidR="00A74F0D">
              <w:rPr>
                <w:rFonts w:ascii="Arial" w:hAnsi="Arial" w:cs="Arial"/>
                <w:sz w:val="24"/>
                <w:szCs w:val="24"/>
              </w:rPr>
              <w:t>ve</w:t>
            </w:r>
            <w:r w:rsidR="00971569">
              <w:rPr>
                <w:rFonts w:ascii="Arial" w:hAnsi="Arial" w:cs="Arial"/>
                <w:sz w:val="24"/>
                <w:szCs w:val="24"/>
              </w:rPr>
              <w:t xml:space="preserve"> a replacement, as identified</w:t>
            </w:r>
            <w:r w:rsidR="009851A5"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hyperlink r:id="rId9" w:history="1">
              <w:r w:rsidR="009851A5" w:rsidRPr="006566EC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2021 MUR </w:t>
              </w:r>
              <w:r w:rsidR="009A6EFD" w:rsidRPr="006566EC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FOA </w:t>
              </w:r>
              <w:r w:rsidR="009851A5" w:rsidRPr="006566EC">
                <w:rPr>
                  <w:rStyle w:val="Hyperlink"/>
                  <w:rFonts w:ascii="Arial" w:hAnsi="Arial" w:cs="Arial"/>
                  <w:sz w:val="24"/>
                  <w:szCs w:val="24"/>
                </w:rPr>
                <w:t>changelog</w:t>
              </w:r>
            </w:hyperlink>
            <w:r w:rsidR="009851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1A5">
              <w:rPr>
                <w:rFonts w:ascii="Arial" w:hAnsi="Arial" w:cs="Arial"/>
                <w:iCs/>
                <w:sz w:val="24"/>
                <w:szCs w:val="24"/>
              </w:rPr>
              <w:t xml:space="preserve">on </w:t>
            </w:r>
            <w:hyperlink r:id="rId10" w:history="1">
              <w:r w:rsidR="009851A5" w:rsidRPr="00F53F4B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ELAP’s MUR website</w:t>
              </w:r>
            </w:hyperlink>
            <w:r w:rsidR="009851A5" w:rsidRPr="00F53F4B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369ACD63" w14:textId="72258B92" w:rsidR="00EC102A" w:rsidRDefault="006566EC" w:rsidP="002D1D88">
            <w:pPr>
              <w:spacing w:after="120"/>
              <w:ind w:left="426" w:hanging="27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264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A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C74">
              <w:rPr>
                <w:rFonts w:ascii="Arial" w:hAnsi="Arial" w:cs="Arial"/>
                <w:sz w:val="24"/>
                <w:szCs w:val="24"/>
              </w:rPr>
              <w:t xml:space="preserve">The laboratory completed </w:t>
            </w:r>
            <w:r w:rsidR="007B2BD3">
              <w:rPr>
                <w:rFonts w:ascii="Arial" w:hAnsi="Arial" w:cs="Arial"/>
                <w:sz w:val="24"/>
                <w:szCs w:val="24"/>
              </w:rPr>
              <w:t>th</w:t>
            </w:r>
            <w:r w:rsidR="00A74F0D">
              <w:rPr>
                <w:rFonts w:ascii="Arial" w:hAnsi="Arial" w:cs="Arial"/>
                <w:sz w:val="24"/>
                <w:szCs w:val="24"/>
              </w:rPr>
              <w:t>is</w:t>
            </w:r>
            <w:r w:rsidR="007B2BD3">
              <w:rPr>
                <w:rFonts w:ascii="Arial" w:hAnsi="Arial" w:cs="Arial"/>
                <w:sz w:val="24"/>
                <w:szCs w:val="24"/>
              </w:rPr>
              <w:t xml:space="preserve"> amendment </w:t>
            </w:r>
            <w:r w:rsidR="00DD4C74">
              <w:rPr>
                <w:rFonts w:ascii="Arial" w:hAnsi="Arial" w:cs="Arial"/>
                <w:sz w:val="24"/>
                <w:szCs w:val="24"/>
              </w:rPr>
              <w:t>application with true and correct information</w:t>
            </w:r>
            <w:r w:rsidR="009851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68081D" w14:textId="3CF3201A" w:rsidR="00EC102A" w:rsidRDefault="006566EC" w:rsidP="002D1D88">
            <w:pPr>
              <w:spacing w:after="120"/>
              <w:ind w:left="426" w:hanging="27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6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2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C74">
              <w:rPr>
                <w:rFonts w:ascii="Arial" w:hAnsi="Arial" w:cs="Arial"/>
                <w:sz w:val="24"/>
                <w:szCs w:val="24"/>
              </w:rPr>
              <w:t>The Quality Manual</w:t>
            </w:r>
            <w:r w:rsidR="00A74F0D">
              <w:rPr>
                <w:rFonts w:ascii="Arial" w:hAnsi="Arial" w:cs="Arial"/>
                <w:sz w:val="24"/>
                <w:szCs w:val="24"/>
              </w:rPr>
              <w:t xml:space="preserve"> submitted with this application includes any changes</w:t>
            </w:r>
            <w:r w:rsidR="00191EBA">
              <w:rPr>
                <w:rFonts w:ascii="Arial" w:hAnsi="Arial" w:cs="Arial"/>
                <w:sz w:val="24"/>
                <w:szCs w:val="24"/>
              </w:rPr>
              <w:t xml:space="preserve"> (if necessary) to reflect </w:t>
            </w:r>
            <w:r w:rsidR="00DD4C74">
              <w:rPr>
                <w:rFonts w:ascii="Arial" w:hAnsi="Arial" w:cs="Arial"/>
                <w:sz w:val="24"/>
                <w:szCs w:val="24"/>
              </w:rPr>
              <w:t>th</w:t>
            </w:r>
            <w:r w:rsidR="009851A5">
              <w:rPr>
                <w:rFonts w:ascii="Arial" w:hAnsi="Arial" w:cs="Arial"/>
                <w:sz w:val="24"/>
                <w:szCs w:val="24"/>
              </w:rPr>
              <w:t>e addition of these</w:t>
            </w:r>
            <w:r w:rsidR="00DD4C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445">
              <w:rPr>
                <w:rFonts w:ascii="Arial" w:hAnsi="Arial" w:cs="Arial"/>
                <w:sz w:val="24"/>
                <w:szCs w:val="24"/>
              </w:rPr>
              <w:t>FOAs</w:t>
            </w:r>
            <w:r w:rsidR="009851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6A879F" w14:textId="5623570B" w:rsidR="00BC0A1D" w:rsidRPr="000238B7" w:rsidRDefault="006566EC" w:rsidP="002D1D88">
            <w:pPr>
              <w:spacing w:after="120"/>
              <w:ind w:left="426" w:hanging="270"/>
              <w:rPr>
                <w:rFonts w:ascii="Arial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772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1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0A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C74">
              <w:rPr>
                <w:rFonts w:ascii="Arial" w:hAnsi="Arial" w:cs="Arial"/>
                <w:sz w:val="24"/>
                <w:szCs w:val="24"/>
              </w:rPr>
              <w:t xml:space="preserve">The laboratory </w:t>
            </w:r>
            <w:r w:rsidR="009851A5">
              <w:rPr>
                <w:rFonts w:ascii="Arial" w:hAnsi="Arial" w:cs="Arial"/>
                <w:sz w:val="24"/>
                <w:szCs w:val="24"/>
              </w:rPr>
              <w:t xml:space="preserve">created or </w:t>
            </w:r>
            <w:r w:rsidR="00DD4C74">
              <w:rPr>
                <w:rFonts w:ascii="Arial" w:hAnsi="Arial" w:cs="Arial"/>
                <w:sz w:val="24"/>
                <w:szCs w:val="24"/>
              </w:rPr>
              <w:t xml:space="preserve">updated </w:t>
            </w:r>
            <w:r w:rsidR="009851A5">
              <w:rPr>
                <w:rFonts w:ascii="Arial" w:hAnsi="Arial" w:cs="Arial"/>
                <w:sz w:val="24"/>
                <w:szCs w:val="24"/>
              </w:rPr>
              <w:t>any</w:t>
            </w:r>
            <w:r w:rsidR="00DD4C74">
              <w:rPr>
                <w:rFonts w:ascii="Arial" w:hAnsi="Arial" w:cs="Arial"/>
                <w:sz w:val="24"/>
                <w:szCs w:val="24"/>
              </w:rPr>
              <w:t xml:space="preserve"> Standard Operating Procedure</w:t>
            </w:r>
            <w:r w:rsidR="009851A5">
              <w:rPr>
                <w:rFonts w:ascii="Arial" w:hAnsi="Arial" w:cs="Arial"/>
                <w:sz w:val="24"/>
                <w:szCs w:val="24"/>
              </w:rPr>
              <w:t>s</w:t>
            </w:r>
            <w:r w:rsidR="00DD4C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0E7D">
              <w:rPr>
                <w:rFonts w:ascii="Arial" w:hAnsi="Arial" w:cs="Arial"/>
                <w:sz w:val="24"/>
                <w:szCs w:val="24"/>
              </w:rPr>
              <w:t>a</w:t>
            </w:r>
            <w:r w:rsidR="00DD4C74">
              <w:rPr>
                <w:rFonts w:ascii="Arial" w:hAnsi="Arial" w:cs="Arial"/>
                <w:sz w:val="24"/>
                <w:szCs w:val="24"/>
              </w:rPr>
              <w:t xml:space="preserve">ffected by the </w:t>
            </w:r>
            <w:r w:rsidR="009851A5">
              <w:rPr>
                <w:rFonts w:ascii="Arial" w:hAnsi="Arial" w:cs="Arial"/>
                <w:sz w:val="24"/>
                <w:szCs w:val="24"/>
              </w:rPr>
              <w:t>addition of these</w:t>
            </w:r>
            <w:r w:rsidR="00340445">
              <w:rPr>
                <w:rFonts w:ascii="Arial" w:hAnsi="Arial" w:cs="Arial"/>
                <w:sz w:val="24"/>
                <w:szCs w:val="24"/>
              </w:rPr>
              <w:t xml:space="preserve"> FOAs</w:t>
            </w:r>
            <w:r w:rsidR="00A74F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9C52B9" w14:textId="37E6ECFE" w:rsidR="00EC102A" w:rsidRPr="00BC0A1D" w:rsidRDefault="006566EC" w:rsidP="30E67733">
            <w:pPr>
              <w:spacing w:after="120"/>
              <w:ind w:left="426" w:hanging="270"/>
              <w:rPr>
                <w:rFonts w:ascii="Arial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299441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2A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EC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C74">
              <w:rPr>
                <w:rFonts w:ascii="Arial" w:hAnsi="Arial" w:cs="Arial"/>
                <w:sz w:val="24"/>
                <w:szCs w:val="24"/>
              </w:rPr>
              <w:t>The laboratory completed Proficiency Tests and reported them in a manner consistent with the regulatory requirements</w:t>
            </w:r>
            <w:r w:rsidR="00155F2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155F2F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155F2F">
              <w:rPr>
                <w:rFonts w:ascii="Arial" w:hAnsi="Arial" w:cs="Arial"/>
                <w:sz w:val="24"/>
                <w:szCs w:val="24"/>
              </w:rPr>
              <w:t xml:space="preserve"> matching the FOA requested)</w:t>
            </w:r>
            <w:r w:rsidR="00A74F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24DE14" w14:textId="46C207E1" w:rsidR="00BC0A1D" w:rsidRPr="00DD4C74" w:rsidRDefault="006566EC" w:rsidP="002D1D88">
            <w:pPr>
              <w:spacing w:after="120"/>
              <w:ind w:left="426" w:hanging="270"/>
              <w:rPr>
                <w:rFonts w:ascii="Arial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256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2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C74">
              <w:rPr>
                <w:rFonts w:ascii="Arial" w:hAnsi="Arial" w:cs="Arial"/>
                <w:sz w:val="24"/>
                <w:szCs w:val="24"/>
              </w:rPr>
              <w:t xml:space="preserve">The laboratory’s next on-site assessment will include assessments to the </w:t>
            </w:r>
            <w:r w:rsidR="00340445">
              <w:rPr>
                <w:rFonts w:ascii="Arial" w:hAnsi="Arial" w:cs="Arial"/>
                <w:sz w:val="24"/>
                <w:szCs w:val="24"/>
              </w:rPr>
              <w:t>FOAs</w:t>
            </w:r>
            <w:r w:rsidR="00DD4C74">
              <w:rPr>
                <w:rFonts w:ascii="Arial" w:hAnsi="Arial" w:cs="Arial"/>
                <w:sz w:val="24"/>
                <w:szCs w:val="24"/>
              </w:rPr>
              <w:t xml:space="preserve"> requested in th</w:t>
            </w:r>
            <w:r w:rsidR="00A74F0D">
              <w:rPr>
                <w:rFonts w:ascii="Arial" w:hAnsi="Arial" w:cs="Arial"/>
                <w:sz w:val="24"/>
                <w:szCs w:val="24"/>
              </w:rPr>
              <w:t>is</w:t>
            </w:r>
            <w:r w:rsidR="00DD4C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62E">
              <w:rPr>
                <w:rFonts w:ascii="Arial" w:hAnsi="Arial" w:cs="Arial"/>
                <w:sz w:val="24"/>
                <w:szCs w:val="24"/>
              </w:rPr>
              <w:t xml:space="preserve">amendment </w:t>
            </w:r>
            <w:r w:rsidR="00DD4C74">
              <w:rPr>
                <w:rFonts w:ascii="Arial" w:hAnsi="Arial" w:cs="Arial"/>
                <w:sz w:val="24"/>
                <w:szCs w:val="24"/>
              </w:rPr>
              <w:t>application</w:t>
            </w:r>
            <w:r w:rsidR="00A74F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49EB221" w14:textId="10FD3830" w:rsidR="00127179" w:rsidRPr="00127179" w:rsidRDefault="00837CAA" w:rsidP="00127179">
      <w:pPr>
        <w:pStyle w:val="Heading3"/>
        <w:spacing w:before="360"/>
        <w:rPr>
          <w:rFonts w:cs="Arial"/>
          <w:b/>
          <w:bCs/>
          <w:i w:val="0"/>
          <w:iCs/>
          <w:u w:val="none"/>
        </w:rPr>
      </w:pPr>
      <w:r>
        <w:rPr>
          <w:b/>
          <w:bCs/>
          <w:i w:val="0"/>
          <w:iCs/>
          <w:u w:val="none"/>
        </w:rPr>
        <w:lastRenderedPageBreak/>
        <w:t>GUIDANCE FOR</w:t>
      </w:r>
      <w:r w:rsidR="0042506C" w:rsidRPr="00232A19">
        <w:rPr>
          <w:b/>
          <w:bCs/>
          <w:i w:val="0"/>
          <w:iCs/>
          <w:u w:val="none"/>
        </w:rPr>
        <w:t xml:space="preserve"> </w:t>
      </w:r>
      <w:r w:rsidR="00127179" w:rsidRPr="00127179">
        <w:rPr>
          <w:rFonts w:cs="Arial"/>
          <w:b/>
          <w:bCs/>
          <w:i w:val="0"/>
          <w:iCs/>
          <w:u w:val="none"/>
        </w:rPr>
        <w:t>FIELD OF ACCREDITATION TABLES</w:t>
      </w:r>
    </w:p>
    <w:p w14:paraId="1B042F28" w14:textId="17078F19" w:rsidR="00127179" w:rsidRPr="00885672" w:rsidRDefault="00770E7D" w:rsidP="00770E7D">
      <w:pPr>
        <w:spacing w:before="120" w:after="240"/>
      </w:pPr>
      <w:r>
        <w:rPr>
          <w:rFonts w:ascii="Arial" w:hAnsi="Arial" w:cs="Arial"/>
          <w:sz w:val="24"/>
          <w:szCs w:val="24"/>
        </w:rPr>
        <w:t xml:space="preserve">Laboratories must submit the 2021 MUR FOA Tables with their amendment application. </w:t>
      </w:r>
      <w:r w:rsidR="006F4634">
        <w:rPr>
          <w:rFonts w:ascii="Arial" w:hAnsi="Arial" w:cs="Arial"/>
          <w:sz w:val="24"/>
          <w:szCs w:val="24"/>
        </w:rPr>
        <w:t xml:space="preserve">The complete FOA Table should only include a “Y” in the column for FOAs the laboratory is seeking to add to its Scope of Accreditation. </w:t>
      </w:r>
      <w:r>
        <w:rPr>
          <w:rFonts w:ascii="Arial" w:hAnsi="Arial" w:cs="Arial"/>
          <w:sz w:val="24"/>
          <w:szCs w:val="24"/>
        </w:rPr>
        <w:t xml:space="preserve">The new MUR FOA </w:t>
      </w:r>
      <w:r w:rsidR="00452D0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ables can be seen on </w:t>
      </w:r>
      <w:hyperlink r:id="rId11" w:history="1">
        <w:r w:rsidR="00F53F4B" w:rsidRPr="00F53F4B">
          <w:rPr>
            <w:rStyle w:val="Hyperlink"/>
            <w:rFonts w:ascii="Arial" w:hAnsi="Arial" w:cs="Arial"/>
            <w:iCs/>
            <w:sz w:val="24"/>
            <w:szCs w:val="24"/>
          </w:rPr>
          <w:t>ELAP’s MUR website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B1DB5C1" w14:textId="04FCC227" w:rsidR="00FC345E" w:rsidRPr="00C30DB6" w:rsidRDefault="00837CAA" w:rsidP="00FC345E">
      <w:pPr>
        <w:pStyle w:val="Heading3"/>
        <w:spacing w:before="360"/>
        <w:rPr>
          <w:rFonts w:cs="Arial"/>
          <w:b/>
          <w:bCs/>
          <w:i w:val="0"/>
          <w:iCs/>
          <w:u w:val="none"/>
        </w:rPr>
      </w:pPr>
      <w:r>
        <w:rPr>
          <w:rFonts w:cs="Arial"/>
          <w:b/>
          <w:bCs/>
          <w:i w:val="0"/>
          <w:iCs/>
          <w:u w:val="none"/>
        </w:rPr>
        <w:t>GUIDANCE FOR</w:t>
      </w:r>
      <w:r w:rsidR="00FC345E" w:rsidRPr="00C30DB6">
        <w:rPr>
          <w:rFonts w:cs="Arial"/>
          <w:b/>
          <w:bCs/>
          <w:i w:val="0"/>
          <w:iCs/>
          <w:u w:val="none"/>
        </w:rPr>
        <w:t xml:space="preserve"> PROFICIENCY TESTING</w:t>
      </w:r>
    </w:p>
    <w:p w14:paraId="4198847D" w14:textId="4C5572E5" w:rsidR="00FC345E" w:rsidRDefault="00770E7D" w:rsidP="00C30DB6">
      <w:pPr>
        <w:spacing w:after="120"/>
        <w:rPr>
          <w:rFonts w:ascii="Arial" w:hAnsi="Arial" w:cs="Arial"/>
          <w:sz w:val="24"/>
          <w:szCs w:val="24"/>
        </w:rPr>
      </w:pPr>
      <w:bookmarkStart w:id="0" w:name="_Hlk59283322"/>
      <w:r>
        <w:rPr>
          <w:rFonts w:ascii="Arial" w:hAnsi="Arial" w:cs="Arial"/>
          <w:sz w:val="24"/>
          <w:szCs w:val="24"/>
        </w:rPr>
        <w:t>This wa</w:t>
      </w:r>
      <w:r w:rsidR="00191EB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ver does not exempt laboratories from completing the required Proficiency Test</w:t>
      </w:r>
      <w:r w:rsidR="00191EBA">
        <w:rPr>
          <w:rFonts w:ascii="Arial" w:hAnsi="Arial" w:cs="Arial"/>
          <w:sz w:val="24"/>
          <w:szCs w:val="24"/>
        </w:rPr>
        <w:t xml:space="preserve"> (PT) </w:t>
      </w:r>
      <w:r>
        <w:rPr>
          <w:rFonts w:ascii="Arial" w:hAnsi="Arial" w:cs="Arial"/>
          <w:sz w:val="24"/>
          <w:szCs w:val="24"/>
        </w:rPr>
        <w:t>Samples, nor does it exempt laboratories from</w:t>
      </w:r>
      <w:r w:rsidR="00AD089B">
        <w:rPr>
          <w:rFonts w:ascii="Arial" w:hAnsi="Arial" w:cs="Arial"/>
          <w:sz w:val="24"/>
          <w:szCs w:val="24"/>
        </w:rPr>
        <w:t xml:space="preserve"> PT reporting requirements</w:t>
      </w:r>
      <w:r>
        <w:rPr>
          <w:rFonts w:ascii="Arial" w:hAnsi="Arial" w:cs="Arial"/>
          <w:sz w:val="24"/>
          <w:szCs w:val="24"/>
        </w:rPr>
        <w:t>.</w:t>
      </w:r>
      <w:r w:rsidR="00D41EDF">
        <w:rPr>
          <w:rFonts w:ascii="Arial" w:hAnsi="Arial" w:cs="Arial"/>
          <w:sz w:val="24"/>
          <w:szCs w:val="24"/>
        </w:rPr>
        <w:t xml:space="preserve"> More detail on PT reporting requirements can be found on </w:t>
      </w:r>
      <w:hyperlink r:id="rId12" w:history="1">
        <w:r w:rsidR="00F53F4B" w:rsidRPr="00F53F4B">
          <w:rPr>
            <w:rStyle w:val="Hyperlink"/>
            <w:rFonts w:ascii="Arial" w:hAnsi="Arial" w:cs="Arial"/>
            <w:iCs/>
            <w:sz w:val="24"/>
            <w:szCs w:val="24"/>
          </w:rPr>
          <w:t>ELAP’s MUR website</w:t>
        </w:r>
      </w:hyperlink>
      <w:r w:rsidR="00D41EDF">
        <w:rPr>
          <w:rFonts w:ascii="Arial" w:hAnsi="Arial" w:cs="Arial"/>
          <w:sz w:val="24"/>
          <w:szCs w:val="24"/>
        </w:rPr>
        <w:t>.</w:t>
      </w:r>
      <w:r w:rsidR="00AD089B">
        <w:rPr>
          <w:rFonts w:ascii="Arial" w:hAnsi="Arial" w:cs="Arial"/>
          <w:sz w:val="24"/>
          <w:szCs w:val="24"/>
        </w:rPr>
        <w:t xml:space="preserve"> </w:t>
      </w:r>
    </w:p>
    <w:p w14:paraId="53B3C271" w14:textId="78A3DD6C" w:rsidR="00A670F9" w:rsidRPr="00C30DB6" w:rsidRDefault="00837CAA" w:rsidP="00A670F9">
      <w:pPr>
        <w:pStyle w:val="Heading3"/>
        <w:spacing w:before="360"/>
        <w:rPr>
          <w:rFonts w:cs="Arial"/>
          <w:b/>
          <w:bCs/>
          <w:i w:val="0"/>
          <w:iCs/>
          <w:u w:val="none"/>
        </w:rPr>
      </w:pPr>
      <w:r>
        <w:rPr>
          <w:rFonts w:cs="Arial"/>
          <w:b/>
          <w:bCs/>
          <w:i w:val="0"/>
          <w:iCs/>
          <w:u w:val="none"/>
        </w:rPr>
        <w:t>WAIVER FOR</w:t>
      </w:r>
      <w:r w:rsidR="00A670F9" w:rsidRPr="00C30DB6">
        <w:rPr>
          <w:rFonts w:cs="Arial"/>
          <w:b/>
          <w:bCs/>
          <w:i w:val="0"/>
          <w:iCs/>
          <w:u w:val="none"/>
        </w:rPr>
        <w:t xml:space="preserve"> </w:t>
      </w:r>
      <w:r w:rsidR="00A670F9">
        <w:rPr>
          <w:rFonts w:cs="Arial"/>
          <w:b/>
          <w:bCs/>
          <w:i w:val="0"/>
          <w:iCs/>
          <w:u w:val="none"/>
        </w:rPr>
        <w:t>ON-SITE ASSSESSMENT</w:t>
      </w:r>
    </w:p>
    <w:p w14:paraId="522C157B" w14:textId="6D276FF0" w:rsidR="00A670F9" w:rsidRDefault="00A670F9" w:rsidP="00A670F9">
      <w:pPr>
        <w:pStyle w:val="Heading3"/>
      </w:pPr>
      <w:r>
        <w:t>Waiver</w:t>
      </w:r>
    </w:p>
    <w:p w14:paraId="07949487" w14:textId="77777777" w:rsidR="00882236" w:rsidRDefault="00A670F9" w:rsidP="00A670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0B24A7">
        <w:rPr>
          <w:rFonts w:ascii="Arial" w:hAnsi="Arial" w:cs="Arial"/>
          <w:sz w:val="24"/>
          <w:szCs w:val="24"/>
        </w:rPr>
        <w:t>Waiver</w:t>
      </w:r>
      <w:r w:rsidR="000E5712">
        <w:rPr>
          <w:rFonts w:ascii="Arial" w:hAnsi="Arial" w:cs="Arial"/>
          <w:sz w:val="24"/>
          <w:szCs w:val="24"/>
        </w:rPr>
        <w:t xml:space="preserve"> grants a one-time on-site assessment waiver</w:t>
      </w:r>
      <w:r w:rsidR="0017543A">
        <w:rPr>
          <w:rFonts w:ascii="Arial" w:hAnsi="Arial" w:cs="Arial"/>
          <w:sz w:val="24"/>
          <w:szCs w:val="24"/>
        </w:rPr>
        <w:t xml:space="preserve"> for this application only.</w:t>
      </w:r>
      <w:r w:rsidR="000E5712">
        <w:rPr>
          <w:rFonts w:ascii="Arial" w:hAnsi="Arial" w:cs="Arial"/>
          <w:sz w:val="24"/>
          <w:szCs w:val="24"/>
        </w:rPr>
        <w:t xml:space="preserve"> This Waiver</w:t>
      </w:r>
      <w:r w:rsidR="00191EBA">
        <w:rPr>
          <w:rFonts w:ascii="Arial" w:hAnsi="Arial" w:cs="Arial"/>
          <w:sz w:val="24"/>
          <w:szCs w:val="24"/>
        </w:rPr>
        <w:t xml:space="preserve"> only applies to</w:t>
      </w:r>
      <w:r w:rsidR="00882236">
        <w:rPr>
          <w:rFonts w:ascii="Arial" w:hAnsi="Arial" w:cs="Arial"/>
          <w:sz w:val="24"/>
          <w:szCs w:val="24"/>
        </w:rPr>
        <w:t>:</w:t>
      </w:r>
    </w:p>
    <w:p w14:paraId="530AB2EB" w14:textId="7EE4B2A2" w:rsidR="00882236" w:rsidRDefault="009A6EFD" w:rsidP="002D1D88">
      <w:pPr>
        <w:pStyle w:val="ListParagraph"/>
        <w:numPr>
          <w:ilvl w:val="0"/>
          <w:numId w:val="32"/>
        </w:numPr>
        <w:ind w:left="450"/>
        <w:rPr>
          <w:rFonts w:ascii="Arial" w:hAnsi="Arial" w:cs="Arial"/>
          <w:sz w:val="24"/>
          <w:szCs w:val="24"/>
        </w:rPr>
      </w:pPr>
      <w:r w:rsidRPr="00882236">
        <w:rPr>
          <w:rFonts w:ascii="Arial" w:hAnsi="Arial" w:cs="Arial"/>
          <w:sz w:val="24"/>
          <w:szCs w:val="24"/>
        </w:rPr>
        <w:t xml:space="preserve">FOAs listed in the </w:t>
      </w:r>
      <w:hyperlink r:id="rId13" w:history="1">
        <w:r w:rsidR="006566EC" w:rsidRPr="006566EC">
          <w:rPr>
            <w:rStyle w:val="Hyperlink"/>
            <w:rFonts w:ascii="Arial" w:hAnsi="Arial" w:cs="Arial"/>
            <w:sz w:val="24"/>
            <w:szCs w:val="24"/>
          </w:rPr>
          <w:t>2021 MUR FOA changelog</w:t>
        </w:r>
      </w:hyperlink>
      <w:r w:rsidR="006566EC">
        <w:rPr>
          <w:rFonts w:ascii="Arial" w:hAnsi="Arial" w:cs="Arial"/>
          <w:sz w:val="24"/>
          <w:szCs w:val="24"/>
        </w:rPr>
        <w:t xml:space="preserve"> </w:t>
      </w:r>
      <w:r w:rsidRPr="00882236">
        <w:rPr>
          <w:rFonts w:ascii="Arial" w:hAnsi="Arial" w:cs="Arial"/>
          <w:sz w:val="24"/>
          <w:szCs w:val="24"/>
        </w:rPr>
        <w:t xml:space="preserve">which have a “replacement” </w:t>
      </w:r>
      <w:r w:rsidR="00882236" w:rsidRPr="00882236">
        <w:rPr>
          <w:rFonts w:ascii="Arial" w:hAnsi="Arial" w:cs="Arial"/>
          <w:b/>
          <w:bCs/>
          <w:sz w:val="24"/>
          <w:szCs w:val="24"/>
        </w:rPr>
        <w:t>AND</w:t>
      </w:r>
    </w:p>
    <w:p w14:paraId="5F3435A2" w14:textId="0330FAB2" w:rsidR="00A670F9" w:rsidRPr="00882236" w:rsidRDefault="00A670F9" w:rsidP="002D1D88">
      <w:pPr>
        <w:pStyle w:val="ListParagraph"/>
        <w:numPr>
          <w:ilvl w:val="0"/>
          <w:numId w:val="32"/>
        </w:numPr>
        <w:ind w:left="450"/>
        <w:rPr>
          <w:rFonts w:ascii="Arial" w:hAnsi="Arial" w:cs="Arial"/>
          <w:sz w:val="24"/>
          <w:szCs w:val="24"/>
        </w:rPr>
      </w:pPr>
      <w:r w:rsidRPr="00882236">
        <w:rPr>
          <w:rFonts w:ascii="Arial" w:hAnsi="Arial" w:cs="Arial"/>
          <w:sz w:val="24"/>
          <w:szCs w:val="24"/>
        </w:rPr>
        <w:t xml:space="preserve">The laboratory </w:t>
      </w:r>
      <w:r w:rsidR="00882236">
        <w:rPr>
          <w:rFonts w:ascii="Arial" w:hAnsi="Arial" w:cs="Arial"/>
          <w:sz w:val="24"/>
          <w:szCs w:val="24"/>
        </w:rPr>
        <w:t xml:space="preserve">holds </w:t>
      </w:r>
      <w:r w:rsidR="00251C32" w:rsidRPr="00882236">
        <w:rPr>
          <w:rFonts w:ascii="Arial" w:hAnsi="Arial" w:cs="Arial"/>
          <w:sz w:val="24"/>
          <w:szCs w:val="24"/>
        </w:rPr>
        <w:t xml:space="preserve">accreditation </w:t>
      </w:r>
      <w:r w:rsidR="000B24A7" w:rsidRPr="00882236">
        <w:rPr>
          <w:rFonts w:ascii="Arial" w:hAnsi="Arial" w:cs="Arial"/>
          <w:sz w:val="24"/>
          <w:szCs w:val="24"/>
        </w:rPr>
        <w:t xml:space="preserve">for </w:t>
      </w:r>
      <w:r w:rsidR="00251C32" w:rsidRPr="00882236">
        <w:rPr>
          <w:rFonts w:ascii="Arial" w:hAnsi="Arial" w:cs="Arial"/>
          <w:sz w:val="24"/>
          <w:szCs w:val="24"/>
        </w:rPr>
        <w:t>the</w:t>
      </w:r>
      <w:r w:rsidR="000B24A7" w:rsidRPr="00882236">
        <w:rPr>
          <w:rFonts w:ascii="Arial" w:hAnsi="Arial" w:cs="Arial"/>
          <w:sz w:val="24"/>
          <w:szCs w:val="24"/>
        </w:rPr>
        <w:t xml:space="preserve"> old</w:t>
      </w:r>
      <w:r w:rsidR="00251C32" w:rsidRPr="00882236">
        <w:rPr>
          <w:rFonts w:ascii="Arial" w:hAnsi="Arial" w:cs="Arial"/>
          <w:sz w:val="24"/>
          <w:szCs w:val="24"/>
        </w:rPr>
        <w:t xml:space="preserve"> FOA</w:t>
      </w:r>
      <w:r w:rsidR="009A6EFD" w:rsidRPr="00882236">
        <w:rPr>
          <w:rFonts w:ascii="Arial" w:hAnsi="Arial" w:cs="Arial"/>
          <w:sz w:val="24"/>
          <w:szCs w:val="24"/>
        </w:rPr>
        <w:t xml:space="preserve"> which is “replaced” by the selected FOA</w:t>
      </w:r>
      <w:r w:rsidR="00251C32" w:rsidRPr="00882236">
        <w:rPr>
          <w:rFonts w:ascii="Arial" w:hAnsi="Arial" w:cs="Arial"/>
          <w:sz w:val="24"/>
          <w:szCs w:val="24"/>
        </w:rPr>
        <w:t>.</w:t>
      </w:r>
      <w:r w:rsidR="0078194F" w:rsidRPr="00882236">
        <w:rPr>
          <w:rFonts w:ascii="Arial" w:hAnsi="Arial" w:cs="Arial"/>
          <w:sz w:val="24"/>
          <w:szCs w:val="24"/>
        </w:rPr>
        <w:t xml:space="preserve"> Laboratories that do not hold accreditation</w:t>
      </w:r>
      <w:r w:rsidR="007B2BD3" w:rsidRPr="00882236">
        <w:rPr>
          <w:rFonts w:ascii="Arial" w:hAnsi="Arial" w:cs="Arial"/>
          <w:sz w:val="24"/>
          <w:szCs w:val="24"/>
        </w:rPr>
        <w:t xml:space="preserve"> for the old </w:t>
      </w:r>
      <w:r w:rsidR="0078194F" w:rsidRPr="00882236">
        <w:rPr>
          <w:rFonts w:ascii="Arial" w:hAnsi="Arial" w:cs="Arial"/>
          <w:sz w:val="24"/>
          <w:szCs w:val="24"/>
        </w:rPr>
        <w:t>FOA cannot be granted a waiver.</w:t>
      </w:r>
    </w:p>
    <w:p w14:paraId="71887608" w14:textId="26FEC7DE" w:rsidR="00A670F9" w:rsidRDefault="00A670F9" w:rsidP="00A670F9">
      <w:pPr>
        <w:pStyle w:val="Heading3"/>
      </w:pPr>
      <w:r>
        <w:t>Standard Requirement</w:t>
      </w:r>
    </w:p>
    <w:p w14:paraId="1390F0AB" w14:textId="43987FCA" w:rsidR="00882236" w:rsidRDefault="009A6EFD" w:rsidP="00A670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Waiver does not apply to </w:t>
      </w:r>
      <w:r w:rsidR="00205EC2">
        <w:rPr>
          <w:rFonts w:ascii="Arial" w:hAnsi="Arial" w:cs="Arial"/>
          <w:sz w:val="24"/>
          <w:szCs w:val="24"/>
        </w:rPr>
        <w:t>most</w:t>
      </w:r>
      <w:r>
        <w:rPr>
          <w:rFonts w:ascii="Arial" w:hAnsi="Arial" w:cs="Arial"/>
          <w:sz w:val="24"/>
          <w:szCs w:val="24"/>
        </w:rPr>
        <w:t xml:space="preserve"> FOAs.</w:t>
      </w:r>
      <w:r w:rsidR="009A1928">
        <w:rPr>
          <w:rFonts w:ascii="Arial" w:hAnsi="Arial" w:cs="Arial"/>
          <w:sz w:val="24"/>
          <w:szCs w:val="24"/>
        </w:rPr>
        <w:t xml:space="preserve"> </w:t>
      </w:r>
      <w:r w:rsidR="00882236">
        <w:rPr>
          <w:rFonts w:ascii="Arial" w:hAnsi="Arial" w:cs="Arial"/>
          <w:sz w:val="24"/>
          <w:szCs w:val="24"/>
        </w:rPr>
        <w:t xml:space="preserve">If this </w:t>
      </w:r>
      <w:r w:rsidR="009A1928">
        <w:rPr>
          <w:rFonts w:ascii="Arial" w:hAnsi="Arial" w:cs="Arial"/>
          <w:sz w:val="24"/>
          <w:szCs w:val="24"/>
        </w:rPr>
        <w:t>Amendment application</w:t>
      </w:r>
      <w:r w:rsidR="00882236">
        <w:rPr>
          <w:rFonts w:ascii="Arial" w:hAnsi="Arial" w:cs="Arial"/>
          <w:sz w:val="24"/>
          <w:szCs w:val="24"/>
        </w:rPr>
        <w:t xml:space="preserve"> has:</w:t>
      </w:r>
    </w:p>
    <w:p w14:paraId="51918D0A" w14:textId="4596896C" w:rsidR="00882236" w:rsidRDefault="009A1928" w:rsidP="002D1D88">
      <w:pPr>
        <w:pStyle w:val="ListParagraph"/>
        <w:numPr>
          <w:ilvl w:val="0"/>
          <w:numId w:val="33"/>
        </w:numPr>
        <w:ind w:left="450"/>
        <w:rPr>
          <w:rFonts w:ascii="Arial" w:hAnsi="Arial" w:cs="Arial"/>
          <w:sz w:val="24"/>
          <w:szCs w:val="24"/>
        </w:rPr>
      </w:pPr>
      <w:r w:rsidRPr="00882236">
        <w:rPr>
          <w:rFonts w:ascii="Arial" w:hAnsi="Arial" w:cs="Arial"/>
          <w:sz w:val="24"/>
          <w:szCs w:val="24"/>
        </w:rPr>
        <w:t xml:space="preserve">any FOAs </w:t>
      </w:r>
      <w:r w:rsidRPr="0019032C">
        <w:rPr>
          <w:rFonts w:ascii="Arial" w:hAnsi="Arial" w:cs="Arial"/>
          <w:b/>
          <w:bCs/>
          <w:sz w:val="24"/>
          <w:szCs w:val="24"/>
        </w:rPr>
        <w:t>not</w:t>
      </w:r>
      <w:r w:rsidRPr="00882236">
        <w:rPr>
          <w:rFonts w:ascii="Arial" w:hAnsi="Arial" w:cs="Arial"/>
          <w:sz w:val="24"/>
          <w:szCs w:val="24"/>
        </w:rPr>
        <w:t xml:space="preserve"> identified as having a replacement in the </w:t>
      </w:r>
      <w:hyperlink r:id="rId14" w:history="1">
        <w:r w:rsidR="006566EC" w:rsidRPr="006566EC">
          <w:rPr>
            <w:rStyle w:val="Hyperlink"/>
            <w:rFonts w:ascii="Arial" w:hAnsi="Arial" w:cs="Arial"/>
            <w:sz w:val="24"/>
            <w:szCs w:val="24"/>
          </w:rPr>
          <w:t>2021 MUR FOA changelog</w:t>
        </w:r>
      </w:hyperlink>
      <w:r w:rsidR="00882236">
        <w:rPr>
          <w:rFonts w:ascii="Arial" w:hAnsi="Arial" w:cs="Arial"/>
          <w:sz w:val="24"/>
          <w:szCs w:val="24"/>
        </w:rPr>
        <w:t xml:space="preserve"> (e.g. those with NEW</w:t>
      </w:r>
      <w:r w:rsidR="002D1D88">
        <w:rPr>
          <w:rFonts w:ascii="Arial" w:hAnsi="Arial" w:cs="Arial"/>
          <w:sz w:val="24"/>
          <w:szCs w:val="24"/>
        </w:rPr>
        <w:t xml:space="preserve"> or ATP</w:t>
      </w:r>
      <w:r w:rsidR="00882236">
        <w:rPr>
          <w:rFonts w:ascii="Arial" w:hAnsi="Arial" w:cs="Arial"/>
          <w:sz w:val="24"/>
          <w:szCs w:val="24"/>
        </w:rPr>
        <w:t xml:space="preserve"> as the old method)</w:t>
      </w:r>
      <w:r w:rsidR="00882236" w:rsidRPr="00882236">
        <w:rPr>
          <w:rFonts w:ascii="Arial" w:hAnsi="Arial" w:cs="Arial"/>
          <w:sz w:val="24"/>
          <w:szCs w:val="24"/>
        </w:rPr>
        <w:t xml:space="preserve"> </w:t>
      </w:r>
      <w:r w:rsidR="00882236" w:rsidRPr="00882236">
        <w:rPr>
          <w:rFonts w:ascii="Arial" w:hAnsi="Arial" w:cs="Arial"/>
          <w:b/>
          <w:sz w:val="24"/>
          <w:szCs w:val="24"/>
        </w:rPr>
        <w:t>OR</w:t>
      </w:r>
    </w:p>
    <w:p w14:paraId="17A0F1EE" w14:textId="0495C878" w:rsidR="00205EC2" w:rsidRDefault="00882236" w:rsidP="002D1D88">
      <w:pPr>
        <w:pStyle w:val="ListParagraph"/>
        <w:numPr>
          <w:ilvl w:val="0"/>
          <w:numId w:val="33"/>
        </w:numPr>
        <w:ind w:left="450"/>
        <w:rPr>
          <w:rFonts w:ascii="Arial" w:hAnsi="Arial" w:cs="Arial"/>
          <w:sz w:val="24"/>
          <w:szCs w:val="24"/>
        </w:rPr>
      </w:pPr>
      <w:r w:rsidRPr="30E67733">
        <w:rPr>
          <w:rFonts w:ascii="Arial" w:hAnsi="Arial" w:cs="Arial"/>
          <w:sz w:val="24"/>
          <w:szCs w:val="24"/>
        </w:rPr>
        <w:t>any FOA where the laboratory does not hold accreditation for the</w:t>
      </w:r>
      <w:r w:rsidR="080987F7" w:rsidRPr="30E67733">
        <w:rPr>
          <w:rFonts w:ascii="Arial" w:hAnsi="Arial" w:cs="Arial"/>
          <w:sz w:val="24"/>
          <w:szCs w:val="24"/>
        </w:rPr>
        <w:t xml:space="preserve"> FOA being</w:t>
      </w:r>
      <w:r w:rsidRPr="30E67733">
        <w:rPr>
          <w:rFonts w:ascii="Arial" w:hAnsi="Arial" w:cs="Arial"/>
          <w:sz w:val="24"/>
          <w:szCs w:val="24"/>
        </w:rPr>
        <w:t xml:space="preserve"> “replace</w:t>
      </w:r>
      <w:r w:rsidR="7D10E383" w:rsidRPr="30E67733">
        <w:rPr>
          <w:rFonts w:ascii="Arial" w:hAnsi="Arial" w:cs="Arial"/>
          <w:sz w:val="24"/>
          <w:szCs w:val="24"/>
        </w:rPr>
        <w:t>d</w:t>
      </w:r>
      <w:r w:rsidRPr="30E67733">
        <w:rPr>
          <w:rFonts w:ascii="Arial" w:hAnsi="Arial" w:cs="Arial"/>
          <w:sz w:val="24"/>
          <w:szCs w:val="24"/>
        </w:rPr>
        <w:t>”</w:t>
      </w:r>
      <w:r w:rsidR="00205EC2" w:rsidRPr="30E67733">
        <w:rPr>
          <w:rFonts w:ascii="Arial" w:hAnsi="Arial" w:cs="Arial"/>
          <w:sz w:val="24"/>
          <w:szCs w:val="24"/>
        </w:rPr>
        <w:t xml:space="preserve"> </w:t>
      </w:r>
      <w:r w:rsidR="00205EC2" w:rsidRPr="30E67733">
        <w:rPr>
          <w:rFonts w:ascii="Arial" w:hAnsi="Arial" w:cs="Arial"/>
          <w:b/>
          <w:bCs/>
          <w:sz w:val="24"/>
          <w:szCs w:val="24"/>
        </w:rPr>
        <w:t>OR</w:t>
      </w:r>
    </w:p>
    <w:p w14:paraId="6645B4C4" w14:textId="1F3F6B45" w:rsidR="00205EC2" w:rsidRPr="00205EC2" w:rsidRDefault="00205EC2" w:rsidP="002D1D88">
      <w:pPr>
        <w:pStyle w:val="ListParagraph"/>
        <w:numPr>
          <w:ilvl w:val="0"/>
          <w:numId w:val="33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FOA</w:t>
      </w:r>
      <w:r w:rsidR="00F86414">
        <w:rPr>
          <w:rFonts w:ascii="Arial" w:hAnsi="Arial" w:cs="Arial"/>
          <w:sz w:val="24"/>
          <w:szCs w:val="24"/>
        </w:rPr>
        <w:t xml:space="preserve"> not identified</w:t>
      </w:r>
      <w:r w:rsidR="003F3268">
        <w:rPr>
          <w:rFonts w:ascii="Arial" w:hAnsi="Arial" w:cs="Arial"/>
          <w:sz w:val="24"/>
          <w:szCs w:val="24"/>
        </w:rPr>
        <w:t xml:space="preserve"> </w:t>
      </w:r>
      <w:r w:rsidR="003F3268" w:rsidRPr="00882236">
        <w:rPr>
          <w:rFonts w:ascii="Arial" w:hAnsi="Arial" w:cs="Arial"/>
          <w:sz w:val="24"/>
          <w:szCs w:val="24"/>
        </w:rPr>
        <w:t xml:space="preserve">in the </w:t>
      </w:r>
      <w:hyperlink r:id="rId15" w:history="1">
        <w:r w:rsidR="006566EC" w:rsidRPr="006566EC">
          <w:rPr>
            <w:rStyle w:val="Hyperlink"/>
            <w:rFonts w:ascii="Arial" w:hAnsi="Arial" w:cs="Arial"/>
            <w:sz w:val="24"/>
            <w:szCs w:val="24"/>
          </w:rPr>
          <w:t>2021 MUR FOA changelog</w:t>
        </w:r>
      </w:hyperlink>
      <w:r w:rsidR="006566EC">
        <w:rPr>
          <w:rFonts w:ascii="Arial" w:hAnsi="Arial" w:cs="Arial"/>
          <w:sz w:val="24"/>
          <w:szCs w:val="24"/>
        </w:rPr>
        <w:t xml:space="preserve"> </w:t>
      </w:r>
      <w:r w:rsidR="003F3268" w:rsidRPr="003F3268">
        <w:rPr>
          <w:rFonts w:ascii="Arial" w:hAnsi="Arial" w:cs="Arial"/>
          <w:b/>
          <w:bCs/>
          <w:sz w:val="24"/>
          <w:szCs w:val="24"/>
        </w:rPr>
        <w:t>THEN</w:t>
      </w:r>
    </w:p>
    <w:p w14:paraId="15B07104" w14:textId="3AD0372F" w:rsidR="00A670F9" w:rsidRPr="00882236" w:rsidRDefault="00882236" w:rsidP="00882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amendment application </w:t>
      </w:r>
      <w:r w:rsidR="009A1928" w:rsidRPr="00882236">
        <w:rPr>
          <w:rFonts w:ascii="Arial" w:hAnsi="Arial" w:cs="Arial"/>
          <w:sz w:val="24"/>
          <w:szCs w:val="24"/>
        </w:rPr>
        <w:t xml:space="preserve">must be accompanied by a completed on-site assessment. </w:t>
      </w:r>
      <w:r w:rsidR="00205EC2">
        <w:rPr>
          <w:rFonts w:ascii="Arial" w:hAnsi="Arial" w:cs="Arial"/>
          <w:sz w:val="24"/>
          <w:szCs w:val="24"/>
        </w:rPr>
        <w:t xml:space="preserve"> The application must include e</w:t>
      </w:r>
      <w:r w:rsidR="00A670F9" w:rsidRPr="00882236">
        <w:rPr>
          <w:rFonts w:ascii="Arial" w:hAnsi="Arial" w:cs="Arial"/>
          <w:sz w:val="24"/>
          <w:szCs w:val="24"/>
        </w:rPr>
        <w:t xml:space="preserve">lectronic copies of documentation from the laboratory’s </w:t>
      </w:r>
      <w:r w:rsidR="00452D00">
        <w:rPr>
          <w:rFonts w:ascii="Arial" w:hAnsi="Arial" w:cs="Arial"/>
          <w:sz w:val="24"/>
          <w:szCs w:val="24"/>
        </w:rPr>
        <w:t>o</w:t>
      </w:r>
      <w:r w:rsidR="00A670F9" w:rsidRPr="00882236">
        <w:rPr>
          <w:rFonts w:ascii="Arial" w:hAnsi="Arial" w:cs="Arial"/>
          <w:sz w:val="24"/>
          <w:szCs w:val="24"/>
        </w:rPr>
        <w:t>n-</w:t>
      </w:r>
      <w:r w:rsidR="00452D00">
        <w:rPr>
          <w:rFonts w:ascii="Arial" w:hAnsi="Arial" w:cs="Arial"/>
          <w:sz w:val="24"/>
          <w:szCs w:val="24"/>
        </w:rPr>
        <w:t>s</w:t>
      </w:r>
      <w:r w:rsidR="00A670F9" w:rsidRPr="00882236">
        <w:rPr>
          <w:rFonts w:ascii="Arial" w:hAnsi="Arial" w:cs="Arial"/>
          <w:sz w:val="24"/>
          <w:szCs w:val="24"/>
        </w:rPr>
        <w:t xml:space="preserve">ite </w:t>
      </w:r>
      <w:r w:rsidR="00452D00">
        <w:rPr>
          <w:rFonts w:ascii="Arial" w:hAnsi="Arial" w:cs="Arial"/>
          <w:sz w:val="24"/>
          <w:szCs w:val="24"/>
        </w:rPr>
        <w:t>a</w:t>
      </w:r>
      <w:r w:rsidR="00A670F9" w:rsidRPr="00882236">
        <w:rPr>
          <w:rFonts w:ascii="Arial" w:hAnsi="Arial" w:cs="Arial"/>
          <w:sz w:val="24"/>
          <w:szCs w:val="24"/>
        </w:rPr>
        <w:t xml:space="preserve">ssessment </w:t>
      </w:r>
      <w:r>
        <w:rPr>
          <w:rFonts w:ascii="Arial" w:hAnsi="Arial" w:cs="Arial"/>
          <w:sz w:val="24"/>
          <w:szCs w:val="24"/>
        </w:rPr>
        <w:t xml:space="preserve">which </w:t>
      </w:r>
      <w:r w:rsidR="00A670F9" w:rsidRPr="00882236">
        <w:rPr>
          <w:rFonts w:ascii="Arial" w:hAnsi="Arial" w:cs="Arial"/>
          <w:sz w:val="24"/>
          <w:szCs w:val="24"/>
        </w:rPr>
        <w:t>compl</w:t>
      </w:r>
      <w:r w:rsidR="00AD089B" w:rsidRPr="00882236">
        <w:rPr>
          <w:rFonts w:ascii="Arial" w:hAnsi="Arial" w:cs="Arial"/>
          <w:sz w:val="24"/>
          <w:szCs w:val="24"/>
        </w:rPr>
        <w:t>y</w:t>
      </w:r>
      <w:r w:rsidR="00A670F9" w:rsidRPr="00882236">
        <w:rPr>
          <w:rFonts w:ascii="Arial" w:hAnsi="Arial" w:cs="Arial"/>
          <w:sz w:val="24"/>
          <w:szCs w:val="24"/>
        </w:rPr>
        <w:t xml:space="preserve"> with the requirements of CCR Section 64802.20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268D524E" w14:textId="41726661" w:rsidR="0078194F" w:rsidRPr="00232A19" w:rsidRDefault="00770E7D" w:rsidP="0078194F">
      <w:pPr>
        <w:pStyle w:val="Heading3"/>
        <w:spacing w:before="360"/>
        <w:rPr>
          <w:b/>
          <w:bCs/>
          <w:i w:val="0"/>
          <w:iCs/>
          <w:u w:val="none"/>
        </w:rPr>
      </w:pPr>
      <w:r>
        <w:rPr>
          <w:b/>
          <w:bCs/>
          <w:i w:val="0"/>
          <w:iCs/>
          <w:u w:val="none"/>
        </w:rPr>
        <w:t>RECIPROCITY (</w:t>
      </w:r>
      <w:r w:rsidR="0078194F" w:rsidRPr="00232A19">
        <w:rPr>
          <w:b/>
          <w:bCs/>
          <w:i w:val="0"/>
          <w:iCs/>
          <w:u w:val="none"/>
        </w:rPr>
        <w:t>FOR OUT-OF-STATE LABORATORIES ONLY)</w:t>
      </w:r>
    </w:p>
    <w:p w14:paraId="57C6C1DD" w14:textId="3AFABAB2" w:rsidR="0078194F" w:rsidRPr="0019032C" w:rsidRDefault="00770E7D" w:rsidP="0078194F">
      <w:r>
        <w:rPr>
          <w:rFonts w:ascii="Arial" w:hAnsi="Arial" w:cs="Arial"/>
          <w:sz w:val="24"/>
          <w:szCs w:val="24"/>
        </w:rPr>
        <w:t xml:space="preserve">Laboratories physically located outside of California must receive an updated certificate from their primary accreditation body. </w:t>
      </w:r>
      <w:r w:rsidRPr="00770E7D">
        <w:rPr>
          <w:rFonts w:ascii="Arial" w:hAnsi="Arial" w:cs="Arial"/>
          <w:i/>
          <w:iCs/>
          <w:sz w:val="24"/>
          <w:szCs w:val="24"/>
          <w:u w:val="single"/>
        </w:rPr>
        <w:t>This waiver cannot be utilized to substitute this requirement.</w:t>
      </w:r>
      <w:r w:rsidR="0019032C">
        <w:rPr>
          <w:rFonts w:ascii="Arial" w:hAnsi="Arial" w:cs="Arial"/>
          <w:sz w:val="24"/>
          <w:szCs w:val="24"/>
        </w:rPr>
        <w:t xml:space="preserve"> Laboratories who receive the updated certificate may file an amendment application which meets the standard requirements.</w:t>
      </w:r>
    </w:p>
    <w:p w14:paraId="0453DBBF" w14:textId="45AFECED" w:rsidR="00AF61CE" w:rsidRDefault="00A670F9" w:rsidP="00232A19">
      <w:pPr>
        <w:pStyle w:val="Heading3"/>
        <w:spacing w:before="360"/>
        <w:rPr>
          <w:b/>
          <w:bCs/>
          <w:i w:val="0"/>
          <w:iCs/>
          <w:u w:val="none"/>
        </w:rPr>
      </w:pPr>
      <w:r>
        <w:rPr>
          <w:b/>
          <w:bCs/>
          <w:i w:val="0"/>
          <w:iCs/>
          <w:u w:val="none"/>
        </w:rPr>
        <w:lastRenderedPageBreak/>
        <w:t>APPLICATION FEE</w:t>
      </w:r>
    </w:p>
    <w:p w14:paraId="023BE051" w14:textId="1258CCFB" w:rsidR="00273F4D" w:rsidRDefault="009A6EFD" w:rsidP="00A52B6E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AD089B">
        <w:rPr>
          <w:rFonts w:ascii="Arial" w:hAnsi="Arial" w:cs="Arial"/>
          <w:i/>
          <w:iCs/>
          <w:sz w:val="24"/>
          <w:szCs w:val="24"/>
          <w:u w:val="single"/>
        </w:rPr>
        <w:t>This waiver does not eliminate the amendment application fee.</w:t>
      </w:r>
      <w:r>
        <w:rPr>
          <w:rFonts w:ascii="Arial" w:hAnsi="Arial" w:cs="Arial"/>
          <w:sz w:val="24"/>
          <w:szCs w:val="24"/>
        </w:rPr>
        <w:t xml:space="preserve"> However, laboratories who are </w:t>
      </w:r>
      <w:r w:rsidRPr="00205EC2">
        <w:rPr>
          <w:rFonts w:ascii="Arial" w:hAnsi="Arial" w:cs="Arial"/>
          <w:b/>
          <w:bCs/>
          <w:sz w:val="24"/>
          <w:szCs w:val="24"/>
        </w:rPr>
        <w:t>only</w:t>
      </w:r>
      <w:r>
        <w:rPr>
          <w:rFonts w:ascii="Arial" w:hAnsi="Arial" w:cs="Arial"/>
          <w:sz w:val="24"/>
          <w:szCs w:val="24"/>
        </w:rPr>
        <w:t xml:space="preserve"> applying for FOAs covered by this waiver </w:t>
      </w:r>
      <w:r w:rsidR="009A1928">
        <w:rPr>
          <w:rFonts w:ascii="Arial" w:hAnsi="Arial" w:cs="Arial"/>
          <w:sz w:val="24"/>
          <w:szCs w:val="24"/>
        </w:rPr>
        <w:t>must pay a reduced nonrefundable application fee of $1,000. If your amendment application includes FOAs not covered by this waiver</w:t>
      </w:r>
      <w:r w:rsidR="00205EC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05EC2">
        <w:rPr>
          <w:rFonts w:ascii="Arial" w:hAnsi="Arial" w:cs="Arial"/>
          <w:sz w:val="24"/>
          <w:szCs w:val="24"/>
        </w:rPr>
        <w:t>i.e.</w:t>
      </w:r>
      <w:proofErr w:type="gramEnd"/>
      <w:r w:rsidR="00205EC2">
        <w:rPr>
          <w:rFonts w:ascii="Arial" w:hAnsi="Arial" w:cs="Arial"/>
          <w:sz w:val="24"/>
          <w:szCs w:val="24"/>
        </w:rPr>
        <w:t xml:space="preserve"> the </w:t>
      </w:r>
      <w:r w:rsidR="00205EC2">
        <w:rPr>
          <w:rFonts w:ascii="Arial" w:hAnsi="Arial" w:cs="Arial"/>
          <w:i/>
          <w:iCs/>
          <w:sz w:val="24"/>
          <w:szCs w:val="24"/>
        </w:rPr>
        <w:t>Standard Requirement</w:t>
      </w:r>
      <w:r w:rsidR="00205EC2">
        <w:rPr>
          <w:rFonts w:ascii="Arial" w:hAnsi="Arial" w:cs="Arial"/>
          <w:sz w:val="24"/>
          <w:szCs w:val="24"/>
        </w:rPr>
        <w:t>, above)</w:t>
      </w:r>
      <w:r w:rsidR="009A1928">
        <w:rPr>
          <w:rFonts w:ascii="Arial" w:hAnsi="Arial" w:cs="Arial"/>
          <w:sz w:val="24"/>
          <w:szCs w:val="24"/>
        </w:rPr>
        <w:t xml:space="preserve">, </w:t>
      </w:r>
      <w:r w:rsidR="00EC7BE6">
        <w:rPr>
          <w:rFonts w:ascii="Arial" w:hAnsi="Arial" w:cs="Arial"/>
          <w:sz w:val="24"/>
          <w:szCs w:val="24"/>
        </w:rPr>
        <w:t xml:space="preserve">a nonrefundable application fee of </w:t>
      </w:r>
      <w:r w:rsidR="00A670F9" w:rsidRPr="00A670F9">
        <w:rPr>
          <w:rFonts w:ascii="Arial" w:hAnsi="Arial" w:cs="Arial"/>
          <w:sz w:val="24"/>
          <w:szCs w:val="24"/>
        </w:rPr>
        <w:t>$1,500 for amendment applications with 49 or fewer FOAs, and $2,500 for amendment applications with 50 or greater FOAs</w:t>
      </w:r>
      <w:r w:rsidR="00EC7BE6">
        <w:rPr>
          <w:rFonts w:ascii="Arial" w:hAnsi="Arial" w:cs="Arial"/>
          <w:sz w:val="24"/>
          <w:szCs w:val="24"/>
        </w:rPr>
        <w:t>.</w:t>
      </w:r>
      <w:r w:rsidR="003C1889">
        <w:rPr>
          <w:rFonts w:ascii="Arial" w:hAnsi="Arial" w:cs="Arial"/>
          <w:sz w:val="24"/>
          <w:szCs w:val="24"/>
        </w:rPr>
        <w:t xml:space="preserve"> </w:t>
      </w:r>
      <w:r w:rsidR="00F86414">
        <w:rPr>
          <w:rFonts w:ascii="Arial" w:hAnsi="Arial" w:cs="Arial"/>
          <w:sz w:val="24"/>
          <w:szCs w:val="24"/>
        </w:rPr>
        <w:t>Once ELAP receives and reviews this application, y</w:t>
      </w:r>
      <w:r w:rsidR="003C1889">
        <w:rPr>
          <w:rFonts w:ascii="Arial" w:hAnsi="Arial" w:cs="Arial"/>
          <w:sz w:val="24"/>
          <w:szCs w:val="24"/>
        </w:rPr>
        <w:t>ou will receive an invoice with instructions for payment</w:t>
      </w:r>
      <w:r w:rsidR="00F86414">
        <w:rPr>
          <w:rFonts w:ascii="Arial" w:hAnsi="Arial" w:cs="Arial"/>
          <w:sz w:val="24"/>
          <w:szCs w:val="24"/>
        </w:rPr>
        <w:t>.</w:t>
      </w:r>
      <w:r w:rsidR="003C1889">
        <w:rPr>
          <w:rFonts w:ascii="Arial" w:hAnsi="Arial" w:cs="Arial"/>
          <w:sz w:val="24"/>
          <w:szCs w:val="24"/>
        </w:rPr>
        <w:t xml:space="preserve"> </w:t>
      </w:r>
    </w:p>
    <w:p w14:paraId="4F82BDEC" w14:textId="0FF5043A" w:rsidR="0088696A" w:rsidRPr="00232A19" w:rsidRDefault="00D41C60" w:rsidP="0078194F">
      <w:pPr>
        <w:pStyle w:val="Heading3"/>
        <w:spacing w:before="360"/>
        <w:rPr>
          <w:b/>
          <w:bCs/>
          <w:i w:val="0"/>
          <w:iCs/>
          <w:u w:val="none"/>
        </w:rPr>
      </w:pPr>
      <w:r w:rsidRPr="00232A19">
        <w:rPr>
          <w:b/>
          <w:bCs/>
          <w:i w:val="0"/>
          <w:iCs/>
          <w:u w:val="none"/>
        </w:rPr>
        <w:t>CERTIFYING SIGNATURES</w:t>
      </w:r>
      <w:r w:rsidR="003125CA" w:rsidRPr="00232A19">
        <w:rPr>
          <w:b/>
          <w:bCs/>
          <w:i w:val="0"/>
          <w:iCs/>
          <w:u w:val="none"/>
        </w:rPr>
        <w:t xml:space="preserve"> </w:t>
      </w:r>
    </w:p>
    <w:p w14:paraId="53D3EA86" w14:textId="604E9F1C" w:rsidR="00B6305C" w:rsidRDefault="00B6305C" w:rsidP="0078194F">
      <w:pPr>
        <w:keepNext/>
        <w:keepLines/>
        <w:rPr>
          <w:rFonts w:ascii="Arial" w:hAnsi="Arial" w:cs="Arial"/>
          <w:iCs/>
          <w:sz w:val="24"/>
          <w:szCs w:val="24"/>
        </w:rPr>
      </w:pPr>
      <w:r w:rsidRPr="004F6BED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e Technical Manager and Quality Manager below certify that </w:t>
      </w:r>
      <w:r w:rsidR="004B1FCC">
        <w:rPr>
          <w:rFonts w:ascii="Arial" w:hAnsi="Arial" w:cs="Arial"/>
          <w:sz w:val="24"/>
          <w:szCs w:val="24"/>
        </w:rPr>
        <w:t>the information contained in this application is true</w:t>
      </w:r>
      <w:r>
        <w:rPr>
          <w:rFonts w:ascii="Arial" w:hAnsi="Arial" w:cs="Arial"/>
          <w:sz w:val="24"/>
          <w:szCs w:val="24"/>
        </w:rPr>
        <w:t xml:space="preserve"> and</w:t>
      </w:r>
      <w:r w:rsidR="00D03920">
        <w:rPr>
          <w:rFonts w:ascii="Arial" w:hAnsi="Arial" w:cs="Arial"/>
          <w:sz w:val="24"/>
          <w:szCs w:val="24"/>
        </w:rPr>
        <w:t xml:space="preserve"> compliant with </w:t>
      </w:r>
      <w:r>
        <w:rPr>
          <w:rFonts w:ascii="Arial" w:hAnsi="Arial" w:cs="Arial"/>
          <w:sz w:val="24"/>
          <w:szCs w:val="24"/>
        </w:rPr>
        <w:t xml:space="preserve">the </w:t>
      </w:r>
      <w:r w:rsidRPr="00B8476B">
        <w:rPr>
          <w:rFonts w:ascii="Arial" w:hAnsi="Arial" w:cs="Arial"/>
          <w:iCs/>
          <w:sz w:val="24"/>
          <w:szCs w:val="24"/>
        </w:rPr>
        <w:t xml:space="preserve">Environmental Laboratory </w:t>
      </w:r>
      <w:r>
        <w:rPr>
          <w:rFonts w:ascii="Arial" w:hAnsi="Arial" w:cs="Arial"/>
          <w:iCs/>
          <w:sz w:val="24"/>
          <w:szCs w:val="24"/>
        </w:rPr>
        <w:t>Accreditation</w:t>
      </w:r>
      <w:r w:rsidRPr="00B8476B">
        <w:rPr>
          <w:rFonts w:ascii="Arial" w:hAnsi="Arial" w:cs="Arial"/>
          <w:iCs/>
          <w:sz w:val="24"/>
          <w:szCs w:val="24"/>
        </w:rPr>
        <w:t xml:space="preserve"> Act</w:t>
      </w:r>
      <w:r>
        <w:rPr>
          <w:rFonts w:ascii="Arial" w:hAnsi="Arial" w:cs="Arial"/>
          <w:iCs/>
          <w:sz w:val="24"/>
          <w:szCs w:val="24"/>
        </w:rPr>
        <w:t xml:space="preserve"> and its regulations (California Code of Regulations, title 22, chapter 19, articles 1 through 7):</w:t>
      </w:r>
    </w:p>
    <w:tbl>
      <w:tblPr>
        <w:tblStyle w:val="TableGrid"/>
        <w:tblW w:w="9450" w:type="dxa"/>
        <w:tblInd w:w="8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50"/>
      </w:tblGrid>
      <w:tr w:rsidR="00605DAA" w:rsidRPr="004F6BED" w14:paraId="7E2E3B19" w14:textId="77777777" w:rsidTr="00605DAA">
        <w:trPr>
          <w:trHeight w:val="432"/>
        </w:trPr>
        <w:tc>
          <w:tcPr>
            <w:tcW w:w="9450" w:type="dxa"/>
            <w:shd w:val="clear" w:color="auto" w:fill="auto"/>
            <w:vAlign w:val="center"/>
          </w:tcPr>
          <w:p w14:paraId="4FD374A2" w14:textId="77777777" w:rsidR="00605DAA" w:rsidRPr="004F6BED" w:rsidRDefault="00605DAA" w:rsidP="00452D00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90371820"/>
            <w:bookmarkStart w:id="2" w:name="_Hlk59545265"/>
            <w:r w:rsidRPr="00D41C60">
              <w:rPr>
                <w:rFonts w:ascii="Arial" w:hAnsi="Arial" w:cs="Arial"/>
                <w:b/>
                <w:bCs/>
                <w:sz w:val="24"/>
                <w:szCs w:val="24"/>
              </w:rPr>
              <w:t>Name of Technical Manage</w:t>
            </w:r>
            <w:r w:rsidRPr="003F088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41C60">
              <w:rPr>
                <w:rFonts w:ascii="Arial" w:hAnsi="Arial" w:cs="Arial"/>
                <w:sz w:val="24"/>
                <w:szCs w:val="24"/>
              </w:rPr>
              <w:t>:</w:t>
            </w:r>
            <w:r w:rsidRPr="004F6B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5DAA" w:rsidRPr="004F6BED" w14:paraId="22B936FE" w14:textId="77777777" w:rsidTr="00605DAA">
        <w:trPr>
          <w:trHeight w:val="1030"/>
        </w:trPr>
        <w:tc>
          <w:tcPr>
            <w:tcW w:w="9450" w:type="dxa"/>
            <w:shd w:val="clear" w:color="auto" w:fill="auto"/>
          </w:tcPr>
          <w:p w14:paraId="4E9E1C87" w14:textId="77777777" w:rsidR="00605DAA" w:rsidRPr="004F6BED" w:rsidRDefault="00605DAA" w:rsidP="00452D0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F6BED">
              <w:rPr>
                <w:rFonts w:ascii="Arial" w:hAnsi="Arial" w:cs="Arial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 w:rsidRPr="004F6BE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bookmarkEnd w:id="1"/>
      <w:tr w:rsidR="00605DAA" w:rsidRPr="004F6BED" w14:paraId="547EBEC0" w14:textId="77777777" w:rsidTr="00605DAA">
        <w:trPr>
          <w:trHeight w:val="432"/>
        </w:trPr>
        <w:tc>
          <w:tcPr>
            <w:tcW w:w="9450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367F80D8" w14:textId="77777777" w:rsidR="00605DAA" w:rsidRPr="004F6BED" w:rsidRDefault="00605DAA" w:rsidP="00452D00">
            <w:pPr>
              <w:rPr>
                <w:rFonts w:ascii="Arial" w:hAnsi="Arial" w:cs="Arial"/>
                <w:sz w:val="24"/>
                <w:szCs w:val="24"/>
              </w:rPr>
            </w:pPr>
            <w:r w:rsidRPr="00D41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Quality Manager </w:t>
            </w:r>
            <w:r w:rsidRPr="00C663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(if designated): </w:t>
            </w:r>
          </w:p>
        </w:tc>
      </w:tr>
      <w:tr w:rsidR="00605DAA" w:rsidRPr="004F6BED" w14:paraId="54FE287F" w14:textId="77777777" w:rsidTr="00605DAA">
        <w:trPr>
          <w:trHeight w:val="1030"/>
        </w:trPr>
        <w:tc>
          <w:tcPr>
            <w:tcW w:w="9450" w:type="dxa"/>
            <w:tcBorders>
              <w:bottom w:val="single" w:sz="4" w:space="0" w:color="A5A5A5" w:themeColor="accent3"/>
            </w:tcBorders>
            <w:shd w:val="clear" w:color="auto" w:fill="auto"/>
          </w:tcPr>
          <w:p w14:paraId="1D68B540" w14:textId="77777777" w:rsidR="00605DAA" w:rsidRPr="004F6BED" w:rsidRDefault="00605DAA" w:rsidP="00452D0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F6BED">
              <w:rPr>
                <w:rFonts w:ascii="Arial" w:hAnsi="Arial" w:cs="Arial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 w:rsidRPr="004F6BE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bookmarkEnd w:id="2"/>
    <w:p w14:paraId="2D479F58" w14:textId="46D09E47" w:rsidR="0088696A" w:rsidRDefault="0088696A" w:rsidP="00605DAA">
      <w:pPr>
        <w:spacing w:before="360"/>
        <w:rPr>
          <w:rFonts w:ascii="Arial" w:hAnsi="Arial" w:cs="Arial"/>
          <w:sz w:val="24"/>
          <w:szCs w:val="24"/>
        </w:rPr>
      </w:pPr>
      <w:r w:rsidRPr="004F6BED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e </w:t>
      </w:r>
      <w:r w:rsidR="00AC4702" w:rsidRPr="00AC4702">
        <w:rPr>
          <w:rFonts w:ascii="Arial" w:hAnsi="Arial" w:cs="Arial"/>
          <w:sz w:val="24"/>
          <w:szCs w:val="24"/>
        </w:rPr>
        <w:t>owner,</w:t>
      </w:r>
      <w:r w:rsidR="00F17781">
        <w:rPr>
          <w:rFonts w:ascii="Arial" w:hAnsi="Arial" w:cs="Arial"/>
          <w:sz w:val="24"/>
          <w:szCs w:val="24"/>
        </w:rPr>
        <w:t xml:space="preserve"> owner’s agent, or</w:t>
      </w:r>
      <w:r w:rsidR="00AC4702" w:rsidRPr="00AC4702">
        <w:rPr>
          <w:rFonts w:ascii="Arial" w:hAnsi="Arial" w:cs="Arial"/>
          <w:sz w:val="24"/>
          <w:szCs w:val="24"/>
        </w:rPr>
        <w:t xml:space="preserve"> corporate officer authorized to act on behalf of the laboratory, </w:t>
      </w:r>
      <w:r w:rsidR="003125CA">
        <w:rPr>
          <w:rFonts w:ascii="Arial" w:hAnsi="Arial" w:cs="Arial"/>
          <w:sz w:val="24"/>
          <w:szCs w:val="24"/>
        </w:rPr>
        <w:t xml:space="preserve">is authorized to sign and submit this document and certifies that all information contained within is true and </w:t>
      </w:r>
      <w:r w:rsidR="00D03920">
        <w:rPr>
          <w:rFonts w:ascii="Arial" w:hAnsi="Arial" w:cs="Arial"/>
          <w:sz w:val="24"/>
          <w:szCs w:val="24"/>
        </w:rPr>
        <w:t>correct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50" w:type="dxa"/>
        <w:tblInd w:w="8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50"/>
      </w:tblGrid>
      <w:tr w:rsidR="00605DAA" w:rsidRPr="004F6BED" w14:paraId="5C2A0BCC" w14:textId="77777777" w:rsidTr="00605DAA">
        <w:trPr>
          <w:trHeight w:val="432"/>
        </w:trPr>
        <w:tc>
          <w:tcPr>
            <w:tcW w:w="9450" w:type="dxa"/>
            <w:shd w:val="clear" w:color="auto" w:fill="auto"/>
            <w:vAlign w:val="center"/>
          </w:tcPr>
          <w:p w14:paraId="60313E25" w14:textId="77777777" w:rsidR="00605DAA" w:rsidRPr="004F6BED" w:rsidRDefault="00605DAA" w:rsidP="00452D00">
            <w:pPr>
              <w:rPr>
                <w:rFonts w:ascii="Arial" w:hAnsi="Arial" w:cs="Arial"/>
                <w:sz w:val="24"/>
                <w:szCs w:val="24"/>
              </w:rPr>
            </w:pPr>
            <w:r w:rsidRPr="00D41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D41C60">
              <w:rPr>
                <w:rFonts w:ascii="Arial" w:hAnsi="Arial" w:cs="Arial"/>
                <w:b/>
                <w:bCs/>
                <w:sz w:val="24"/>
                <w:szCs w:val="24"/>
              </w:rPr>
              <w:t>f Representative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Submitting Application</w:t>
            </w:r>
            <w:r w:rsidRPr="003F0885">
              <w:rPr>
                <w:rFonts w:ascii="Arial" w:hAnsi="Arial" w:cs="Arial"/>
                <w:sz w:val="24"/>
                <w:szCs w:val="24"/>
              </w:rPr>
              <w:t>:</w:t>
            </w:r>
            <w:r w:rsidRPr="004F6B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5DAA" w:rsidRPr="001949FB" w14:paraId="0B89F4F5" w14:textId="77777777" w:rsidTr="00605DAA">
        <w:trPr>
          <w:trHeight w:val="1037"/>
        </w:trPr>
        <w:tc>
          <w:tcPr>
            <w:tcW w:w="9450" w:type="dxa"/>
            <w:shd w:val="clear" w:color="auto" w:fill="auto"/>
          </w:tcPr>
          <w:p w14:paraId="541382B3" w14:textId="77777777" w:rsidR="00605DAA" w:rsidRPr="001949FB" w:rsidRDefault="00605DAA" w:rsidP="00452D0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F6BED">
              <w:rPr>
                <w:rFonts w:ascii="Arial" w:hAnsi="Arial" w:cs="Arial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 w:rsidRPr="004F6BE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6B461A51" w14:textId="53AEEFFD" w:rsidR="00232A19" w:rsidRDefault="00232A19">
      <w:pPr>
        <w:rPr>
          <w:rFonts w:ascii="Arial" w:eastAsiaTheme="majorEastAsia" w:hAnsi="Arial" w:cs="Arial"/>
          <w:b/>
          <w:bCs/>
          <w:i/>
          <w:iCs/>
          <w:sz w:val="24"/>
          <w:szCs w:val="24"/>
        </w:rPr>
      </w:pPr>
    </w:p>
    <w:sectPr w:rsidR="00232A19" w:rsidSect="00BA6FAE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0F9E" w14:textId="77777777" w:rsidR="00AD5923" w:rsidRDefault="00AD5923" w:rsidP="00BA6FAE">
      <w:pPr>
        <w:spacing w:after="0" w:line="240" w:lineRule="auto"/>
      </w:pPr>
      <w:r>
        <w:separator/>
      </w:r>
    </w:p>
  </w:endnote>
  <w:endnote w:type="continuationSeparator" w:id="0">
    <w:p w14:paraId="7C5E6888" w14:textId="77777777" w:rsidR="00AD5923" w:rsidRDefault="00AD5923" w:rsidP="00BA6FAE">
      <w:pPr>
        <w:spacing w:after="0" w:line="240" w:lineRule="auto"/>
      </w:pPr>
      <w:r>
        <w:continuationSeparator/>
      </w:r>
    </w:p>
  </w:endnote>
  <w:endnote w:type="continuationNotice" w:id="1">
    <w:p w14:paraId="62A06D1E" w14:textId="77777777" w:rsidR="00367358" w:rsidRDefault="00367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297639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4CF8ED" w14:textId="5C69A133" w:rsidR="009C68BE" w:rsidRPr="009C68BE" w:rsidRDefault="009C68BE" w:rsidP="00B02561">
            <w:pPr>
              <w:pStyle w:val="Footer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19032C">
              <w:rPr>
                <w:rFonts w:ascii="Arial" w:hAnsi="Arial" w:cs="Arial"/>
              </w:rPr>
              <w:t xml:space="preserve">Page </w:t>
            </w:r>
            <w:r w:rsidRPr="0019032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9032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9032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9032C">
              <w:rPr>
                <w:rFonts w:ascii="Arial" w:hAnsi="Arial" w:cs="Arial"/>
                <w:b/>
                <w:bCs/>
                <w:noProof/>
              </w:rPr>
              <w:t>2</w:t>
            </w:r>
            <w:r w:rsidRPr="0019032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9032C">
              <w:rPr>
                <w:rFonts w:ascii="Arial" w:hAnsi="Arial" w:cs="Arial"/>
              </w:rPr>
              <w:t xml:space="preserve"> of </w:t>
            </w:r>
            <w:r w:rsidRPr="0019032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9032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9032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9032C">
              <w:rPr>
                <w:rFonts w:ascii="Arial" w:hAnsi="Arial" w:cs="Arial"/>
                <w:b/>
                <w:bCs/>
                <w:noProof/>
              </w:rPr>
              <w:t>2</w:t>
            </w:r>
            <w:r w:rsidRPr="0019032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A2315F" w14:textId="77777777" w:rsidR="009C68BE" w:rsidRDefault="009C6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639F" w14:textId="176C354F" w:rsidR="005B519B" w:rsidRPr="00BA6FAE" w:rsidRDefault="005B519B" w:rsidP="00BA6FAE">
    <w:pPr>
      <w:pStyle w:val="Footer"/>
    </w:pPr>
    <w:r>
      <w:rPr>
        <w:noProof/>
      </w:rPr>
      <w:drawing>
        <wp:inline distT="0" distB="0" distL="0" distR="0" wp14:anchorId="2D45D2D2" wp14:editId="415DFF66">
          <wp:extent cx="5943600" cy="648970"/>
          <wp:effectExtent l="0" t="0" r="0" b="0"/>
          <wp:docPr id="4" name="Picture 4" descr="E. Joaquin Esquivel, Chair. Eileen Sobeck, Executive Director. 1001 I Street, Sacramento, CA 95814. Mailing address P.O. Box 100, Sacramento, CA 95812-0100. www.waterboards.ca.gov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Footer201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8C31" w14:textId="77777777" w:rsidR="00AD5923" w:rsidRDefault="00AD5923" w:rsidP="00BA6FAE">
      <w:pPr>
        <w:spacing w:after="0" w:line="240" w:lineRule="auto"/>
      </w:pPr>
      <w:r>
        <w:separator/>
      </w:r>
    </w:p>
  </w:footnote>
  <w:footnote w:type="continuationSeparator" w:id="0">
    <w:p w14:paraId="2A79542A" w14:textId="77777777" w:rsidR="00AD5923" w:rsidRDefault="00AD5923" w:rsidP="00BA6FAE">
      <w:pPr>
        <w:spacing w:after="0" w:line="240" w:lineRule="auto"/>
      </w:pPr>
      <w:r>
        <w:continuationSeparator/>
      </w:r>
    </w:p>
  </w:footnote>
  <w:footnote w:type="continuationNotice" w:id="1">
    <w:p w14:paraId="5D6EAC06" w14:textId="77777777" w:rsidR="00367358" w:rsidRDefault="00367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862A" w14:textId="22CC92FC" w:rsidR="00232A19" w:rsidRPr="00C60102" w:rsidRDefault="00A670F9" w:rsidP="00232A19">
    <w:pPr>
      <w:spacing w:after="0"/>
      <w:jc w:val="right"/>
      <w:rPr>
        <w:rFonts w:ascii="Arial" w:hAnsi="Arial" w:cs="Arial"/>
        <w:sz w:val="24"/>
        <w:szCs w:val="24"/>
      </w:rPr>
    </w:pPr>
    <w:bookmarkStart w:id="3" w:name="_Hlk59545610"/>
    <w:bookmarkStart w:id="4" w:name="_Hlk59545611"/>
    <w:bookmarkStart w:id="5" w:name="_Hlk59548123"/>
    <w:bookmarkStart w:id="6" w:name="_Hlk59548124"/>
    <w:bookmarkStart w:id="7" w:name="_Hlk61594789"/>
    <w:bookmarkStart w:id="8" w:name="_Hlk61594790"/>
    <w:r>
      <w:rPr>
        <w:rFonts w:ascii="Arial" w:hAnsi="Arial" w:cs="Arial"/>
        <w:sz w:val="24"/>
        <w:szCs w:val="24"/>
      </w:rPr>
      <w:t xml:space="preserve">2021 MUR </w:t>
    </w:r>
    <w:r w:rsidR="00770E7D">
      <w:rPr>
        <w:rFonts w:ascii="Arial" w:hAnsi="Arial" w:cs="Arial"/>
        <w:sz w:val="24"/>
        <w:szCs w:val="24"/>
      </w:rPr>
      <w:t>OSA Waiver</w:t>
    </w:r>
  </w:p>
  <w:p w14:paraId="0B64867F" w14:textId="3C0FED07" w:rsidR="00232A19" w:rsidRDefault="00232A19" w:rsidP="00232A19">
    <w:pPr>
      <w:spacing w:after="240"/>
      <w:jc w:val="right"/>
    </w:pPr>
    <w:r w:rsidRPr="00C60102">
      <w:rPr>
        <w:rFonts w:ascii="Arial" w:hAnsi="Arial" w:cs="Arial"/>
        <w:sz w:val="24"/>
        <w:szCs w:val="24"/>
      </w:rPr>
      <w:t xml:space="preserve">Effective Date: </w:t>
    </w:r>
    <w:bookmarkEnd w:id="3"/>
    <w:bookmarkEnd w:id="4"/>
    <w:bookmarkEnd w:id="5"/>
    <w:bookmarkEnd w:id="6"/>
    <w:bookmarkEnd w:id="7"/>
    <w:bookmarkEnd w:id="8"/>
    <w:r w:rsidR="0019032C">
      <w:rPr>
        <w:rFonts w:ascii="Arial" w:hAnsi="Arial" w:cs="Arial"/>
        <w:sz w:val="24"/>
        <w:szCs w:val="24"/>
      </w:rPr>
      <w:t>Feb 22,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50BF" w14:textId="3A7C9A03" w:rsidR="005B519B" w:rsidRDefault="0019032C" w:rsidP="00BA6FAE">
    <w:r>
      <w:rPr>
        <w:noProof/>
      </w:rPr>
      <w:drawing>
        <wp:inline distT="0" distB="0" distL="0" distR="0" wp14:anchorId="3A0A5F3D" wp14:editId="74BAB9F3">
          <wp:extent cx="5943600" cy="840740"/>
          <wp:effectExtent l="0" t="0" r="0" b="0"/>
          <wp:docPr id="2" name="Picture 2" descr="California Water Boards. Gavin Newsom, Governor. Yana Garcia, Secretary for Environmental Protec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lifornia Water Boards. Gavin Newsom, Governor. Yana Garcia, Secretary for Environmental Protectio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941C65" w14:textId="3C83488C" w:rsidR="005B519B" w:rsidRDefault="005B519B" w:rsidP="00D41C60">
    <w:pPr>
      <w:pStyle w:val="LetterOrg"/>
      <w:spacing w:after="360"/>
    </w:pPr>
    <w:r w:rsidRPr="00C864DF">
      <w:t>State Water Resources Control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2C53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18C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521C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5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D68F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98C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C25A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54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A3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AA3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75245"/>
    <w:multiLevelType w:val="hybridMultilevel"/>
    <w:tmpl w:val="BC825716"/>
    <w:lvl w:ilvl="0" w:tplc="B728F0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561FC"/>
    <w:multiLevelType w:val="hybridMultilevel"/>
    <w:tmpl w:val="398E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81545"/>
    <w:multiLevelType w:val="hybridMultilevel"/>
    <w:tmpl w:val="A6188A5C"/>
    <w:lvl w:ilvl="0" w:tplc="0409000F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3" w15:restartNumberingAfterBreak="0">
    <w:nsid w:val="19AD39B8"/>
    <w:multiLevelType w:val="hybridMultilevel"/>
    <w:tmpl w:val="941681E2"/>
    <w:lvl w:ilvl="0" w:tplc="B038073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719"/>
    <w:multiLevelType w:val="hybridMultilevel"/>
    <w:tmpl w:val="D4A8E994"/>
    <w:lvl w:ilvl="0" w:tplc="94980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E488C"/>
    <w:multiLevelType w:val="hybridMultilevel"/>
    <w:tmpl w:val="AF2A8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67213"/>
    <w:multiLevelType w:val="hybridMultilevel"/>
    <w:tmpl w:val="F470365A"/>
    <w:lvl w:ilvl="0" w:tplc="94980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747BA"/>
    <w:multiLevelType w:val="hybridMultilevel"/>
    <w:tmpl w:val="FA10BCD6"/>
    <w:lvl w:ilvl="0" w:tplc="8F8C77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A1860"/>
    <w:multiLevelType w:val="hybridMultilevel"/>
    <w:tmpl w:val="BD9A695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42A39EA"/>
    <w:multiLevelType w:val="hybridMultilevel"/>
    <w:tmpl w:val="0B284922"/>
    <w:lvl w:ilvl="0" w:tplc="32068CF4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47E09"/>
    <w:multiLevelType w:val="hybridMultilevel"/>
    <w:tmpl w:val="D8CEF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E2C59"/>
    <w:multiLevelType w:val="hybridMultilevel"/>
    <w:tmpl w:val="3BBE44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36C6C"/>
    <w:multiLevelType w:val="hybridMultilevel"/>
    <w:tmpl w:val="7E96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212E"/>
    <w:multiLevelType w:val="hybridMultilevel"/>
    <w:tmpl w:val="4F2843BA"/>
    <w:lvl w:ilvl="0" w:tplc="94980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C3FCA"/>
    <w:multiLevelType w:val="hybridMultilevel"/>
    <w:tmpl w:val="D3169D9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14F094E"/>
    <w:multiLevelType w:val="hybridMultilevel"/>
    <w:tmpl w:val="34342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E4127"/>
    <w:multiLevelType w:val="hybridMultilevel"/>
    <w:tmpl w:val="9D229184"/>
    <w:lvl w:ilvl="0" w:tplc="49AEF5B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3092D"/>
    <w:multiLevelType w:val="hybridMultilevel"/>
    <w:tmpl w:val="CBB20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B724FF"/>
    <w:multiLevelType w:val="hybridMultilevel"/>
    <w:tmpl w:val="C0DEBB02"/>
    <w:lvl w:ilvl="0" w:tplc="CBD8AD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74421A"/>
    <w:multiLevelType w:val="multilevel"/>
    <w:tmpl w:val="859C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521F1"/>
    <w:multiLevelType w:val="hybridMultilevel"/>
    <w:tmpl w:val="A9D25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459AC"/>
    <w:multiLevelType w:val="hybridMultilevel"/>
    <w:tmpl w:val="0C3832F6"/>
    <w:lvl w:ilvl="0" w:tplc="8020AC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656C3"/>
    <w:multiLevelType w:val="hybridMultilevel"/>
    <w:tmpl w:val="68946E10"/>
    <w:lvl w:ilvl="0" w:tplc="94980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46993">
    <w:abstractNumId w:val="22"/>
  </w:num>
  <w:num w:numId="2" w16cid:durableId="1646466628">
    <w:abstractNumId w:val="31"/>
  </w:num>
  <w:num w:numId="3" w16cid:durableId="1620337151">
    <w:abstractNumId w:val="25"/>
  </w:num>
  <w:num w:numId="4" w16cid:durableId="1426223465">
    <w:abstractNumId w:val="21"/>
  </w:num>
  <w:num w:numId="5" w16cid:durableId="2125733036">
    <w:abstractNumId w:val="30"/>
  </w:num>
  <w:num w:numId="6" w16cid:durableId="2829297">
    <w:abstractNumId w:val="19"/>
  </w:num>
  <w:num w:numId="7" w16cid:durableId="1316186173">
    <w:abstractNumId w:val="29"/>
  </w:num>
  <w:num w:numId="8" w16cid:durableId="2001733688">
    <w:abstractNumId w:val="10"/>
  </w:num>
  <w:num w:numId="9" w16cid:durableId="576981287">
    <w:abstractNumId w:val="11"/>
  </w:num>
  <w:num w:numId="10" w16cid:durableId="103117297">
    <w:abstractNumId w:val="12"/>
  </w:num>
  <w:num w:numId="11" w16cid:durableId="581136180">
    <w:abstractNumId w:val="16"/>
  </w:num>
  <w:num w:numId="12" w16cid:durableId="1529488918">
    <w:abstractNumId w:val="26"/>
  </w:num>
  <w:num w:numId="13" w16cid:durableId="1197892893">
    <w:abstractNumId w:val="20"/>
  </w:num>
  <w:num w:numId="14" w16cid:durableId="151459003">
    <w:abstractNumId w:val="15"/>
  </w:num>
  <w:num w:numId="15" w16cid:durableId="1542326587">
    <w:abstractNumId w:val="14"/>
  </w:num>
  <w:num w:numId="16" w16cid:durableId="1391533844">
    <w:abstractNumId w:val="23"/>
  </w:num>
  <w:num w:numId="17" w16cid:durableId="1834947014">
    <w:abstractNumId w:val="32"/>
  </w:num>
  <w:num w:numId="18" w16cid:durableId="1265067353">
    <w:abstractNumId w:val="13"/>
  </w:num>
  <w:num w:numId="19" w16cid:durableId="1211460320">
    <w:abstractNumId w:val="27"/>
  </w:num>
  <w:num w:numId="20" w16cid:durableId="1040974865">
    <w:abstractNumId w:val="28"/>
  </w:num>
  <w:num w:numId="21" w16cid:durableId="944580664">
    <w:abstractNumId w:val="9"/>
  </w:num>
  <w:num w:numId="22" w16cid:durableId="1283489411">
    <w:abstractNumId w:val="7"/>
  </w:num>
  <w:num w:numId="23" w16cid:durableId="736440287">
    <w:abstractNumId w:val="6"/>
  </w:num>
  <w:num w:numId="24" w16cid:durableId="2024821898">
    <w:abstractNumId w:val="5"/>
  </w:num>
  <w:num w:numId="25" w16cid:durableId="1170295884">
    <w:abstractNumId w:val="4"/>
  </w:num>
  <w:num w:numId="26" w16cid:durableId="28995460">
    <w:abstractNumId w:val="8"/>
  </w:num>
  <w:num w:numId="27" w16cid:durableId="533881940">
    <w:abstractNumId w:val="3"/>
  </w:num>
  <w:num w:numId="28" w16cid:durableId="1965885244">
    <w:abstractNumId w:val="2"/>
  </w:num>
  <w:num w:numId="29" w16cid:durableId="1050425960">
    <w:abstractNumId w:val="1"/>
  </w:num>
  <w:num w:numId="30" w16cid:durableId="2132749214">
    <w:abstractNumId w:val="0"/>
  </w:num>
  <w:num w:numId="31" w16cid:durableId="767847532">
    <w:abstractNumId w:val="17"/>
  </w:num>
  <w:num w:numId="32" w16cid:durableId="388462247">
    <w:abstractNumId w:val="18"/>
  </w:num>
  <w:num w:numId="33" w16cid:durableId="1513108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6E"/>
    <w:rsid w:val="000238B7"/>
    <w:rsid w:val="000326E0"/>
    <w:rsid w:val="00036475"/>
    <w:rsid w:val="00062BC8"/>
    <w:rsid w:val="000A353D"/>
    <w:rsid w:val="000B24A7"/>
    <w:rsid w:val="000E4187"/>
    <w:rsid w:val="000E4C8A"/>
    <w:rsid w:val="000E5712"/>
    <w:rsid w:val="000F181C"/>
    <w:rsid w:val="00127179"/>
    <w:rsid w:val="00155F2F"/>
    <w:rsid w:val="0017543A"/>
    <w:rsid w:val="001872E2"/>
    <w:rsid w:val="0019032C"/>
    <w:rsid w:val="00191EBA"/>
    <w:rsid w:val="001A51B6"/>
    <w:rsid w:val="001B2F79"/>
    <w:rsid w:val="001D1C82"/>
    <w:rsid w:val="001D6EF3"/>
    <w:rsid w:val="001D7ACB"/>
    <w:rsid w:val="001F52E7"/>
    <w:rsid w:val="00205EC2"/>
    <w:rsid w:val="00220A53"/>
    <w:rsid w:val="00224A80"/>
    <w:rsid w:val="00225F34"/>
    <w:rsid w:val="00227096"/>
    <w:rsid w:val="00232A19"/>
    <w:rsid w:val="00232D3D"/>
    <w:rsid w:val="00251799"/>
    <w:rsid w:val="00251C32"/>
    <w:rsid w:val="00257998"/>
    <w:rsid w:val="002610A8"/>
    <w:rsid w:val="00263363"/>
    <w:rsid w:val="002649E4"/>
    <w:rsid w:val="00264DBD"/>
    <w:rsid w:val="00273F4D"/>
    <w:rsid w:val="0028034D"/>
    <w:rsid w:val="00281E49"/>
    <w:rsid w:val="00285911"/>
    <w:rsid w:val="0028730C"/>
    <w:rsid w:val="002A5EEA"/>
    <w:rsid w:val="002C5910"/>
    <w:rsid w:val="002D1D88"/>
    <w:rsid w:val="002D3643"/>
    <w:rsid w:val="00306D71"/>
    <w:rsid w:val="003125CA"/>
    <w:rsid w:val="00324228"/>
    <w:rsid w:val="003268BF"/>
    <w:rsid w:val="00333389"/>
    <w:rsid w:val="00340445"/>
    <w:rsid w:val="003507DE"/>
    <w:rsid w:val="00367358"/>
    <w:rsid w:val="00382AE3"/>
    <w:rsid w:val="00396811"/>
    <w:rsid w:val="003A05EB"/>
    <w:rsid w:val="003C1889"/>
    <w:rsid w:val="003E4EB2"/>
    <w:rsid w:val="003F3268"/>
    <w:rsid w:val="00414622"/>
    <w:rsid w:val="00423735"/>
    <w:rsid w:val="0042506C"/>
    <w:rsid w:val="00452D00"/>
    <w:rsid w:val="004A1B8E"/>
    <w:rsid w:val="004B0ED4"/>
    <w:rsid w:val="004B1FCC"/>
    <w:rsid w:val="00542BA2"/>
    <w:rsid w:val="00574D61"/>
    <w:rsid w:val="00575E3B"/>
    <w:rsid w:val="005817F0"/>
    <w:rsid w:val="0059660B"/>
    <w:rsid w:val="005A76BA"/>
    <w:rsid w:val="005B519B"/>
    <w:rsid w:val="00605DAA"/>
    <w:rsid w:val="00612E9F"/>
    <w:rsid w:val="006166DE"/>
    <w:rsid w:val="00620482"/>
    <w:rsid w:val="00624BB5"/>
    <w:rsid w:val="00633BF7"/>
    <w:rsid w:val="006566EC"/>
    <w:rsid w:val="006B1AE1"/>
    <w:rsid w:val="006B662E"/>
    <w:rsid w:val="006D011F"/>
    <w:rsid w:val="006F4634"/>
    <w:rsid w:val="00711B27"/>
    <w:rsid w:val="007214F2"/>
    <w:rsid w:val="00751C46"/>
    <w:rsid w:val="0076083A"/>
    <w:rsid w:val="00770D82"/>
    <w:rsid w:val="00770E7D"/>
    <w:rsid w:val="0078194F"/>
    <w:rsid w:val="00785754"/>
    <w:rsid w:val="007A791C"/>
    <w:rsid w:val="007B1EF7"/>
    <w:rsid w:val="007B2BD3"/>
    <w:rsid w:val="007E7499"/>
    <w:rsid w:val="0082626F"/>
    <w:rsid w:val="008373CD"/>
    <w:rsid w:val="00837CAA"/>
    <w:rsid w:val="00852C6D"/>
    <w:rsid w:val="00863398"/>
    <w:rsid w:val="00865ED4"/>
    <w:rsid w:val="00882236"/>
    <w:rsid w:val="0088696A"/>
    <w:rsid w:val="008A6AEF"/>
    <w:rsid w:val="008C7A5A"/>
    <w:rsid w:val="008D353C"/>
    <w:rsid w:val="008F7DCD"/>
    <w:rsid w:val="00906FA9"/>
    <w:rsid w:val="0092039A"/>
    <w:rsid w:val="00920803"/>
    <w:rsid w:val="0096123E"/>
    <w:rsid w:val="00971569"/>
    <w:rsid w:val="00974158"/>
    <w:rsid w:val="009851A5"/>
    <w:rsid w:val="0099777E"/>
    <w:rsid w:val="009A1928"/>
    <w:rsid w:val="009A6EFD"/>
    <w:rsid w:val="009B1AE8"/>
    <w:rsid w:val="009B7DAB"/>
    <w:rsid w:val="009C68BE"/>
    <w:rsid w:val="009D0B1C"/>
    <w:rsid w:val="009F344A"/>
    <w:rsid w:val="00A30454"/>
    <w:rsid w:val="00A423C1"/>
    <w:rsid w:val="00A52B6E"/>
    <w:rsid w:val="00A548EA"/>
    <w:rsid w:val="00A670F9"/>
    <w:rsid w:val="00A74F0D"/>
    <w:rsid w:val="00AB1C7F"/>
    <w:rsid w:val="00AC4702"/>
    <w:rsid w:val="00AC729E"/>
    <w:rsid w:val="00AD089B"/>
    <w:rsid w:val="00AD5923"/>
    <w:rsid w:val="00AE5199"/>
    <w:rsid w:val="00AF61CE"/>
    <w:rsid w:val="00B02561"/>
    <w:rsid w:val="00B6305C"/>
    <w:rsid w:val="00B637A1"/>
    <w:rsid w:val="00B800F5"/>
    <w:rsid w:val="00B8476B"/>
    <w:rsid w:val="00B9253A"/>
    <w:rsid w:val="00B96EC8"/>
    <w:rsid w:val="00BA6FAE"/>
    <w:rsid w:val="00BC0A1D"/>
    <w:rsid w:val="00BC5309"/>
    <w:rsid w:val="00BC5FCD"/>
    <w:rsid w:val="00BD3155"/>
    <w:rsid w:val="00BF2AC3"/>
    <w:rsid w:val="00C050AA"/>
    <w:rsid w:val="00C07B40"/>
    <w:rsid w:val="00C30DB6"/>
    <w:rsid w:val="00C43FC5"/>
    <w:rsid w:val="00C52FF5"/>
    <w:rsid w:val="00C533EA"/>
    <w:rsid w:val="00C722D5"/>
    <w:rsid w:val="00C83B6F"/>
    <w:rsid w:val="00C956A1"/>
    <w:rsid w:val="00CB3112"/>
    <w:rsid w:val="00CC35BD"/>
    <w:rsid w:val="00CD6B83"/>
    <w:rsid w:val="00CE64B4"/>
    <w:rsid w:val="00D03920"/>
    <w:rsid w:val="00D223A7"/>
    <w:rsid w:val="00D2351F"/>
    <w:rsid w:val="00D35C26"/>
    <w:rsid w:val="00D41C60"/>
    <w:rsid w:val="00D41EDF"/>
    <w:rsid w:val="00D436E2"/>
    <w:rsid w:val="00D560BE"/>
    <w:rsid w:val="00D708E0"/>
    <w:rsid w:val="00D74806"/>
    <w:rsid w:val="00D8175A"/>
    <w:rsid w:val="00D8681A"/>
    <w:rsid w:val="00D91C39"/>
    <w:rsid w:val="00DA402F"/>
    <w:rsid w:val="00DA6166"/>
    <w:rsid w:val="00DC79CC"/>
    <w:rsid w:val="00DD4C74"/>
    <w:rsid w:val="00DE5619"/>
    <w:rsid w:val="00E05295"/>
    <w:rsid w:val="00E0586E"/>
    <w:rsid w:val="00E94C61"/>
    <w:rsid w:val="00E96062"/>
    <w:rsid w:val="00EB2441"/>
    <w:rsid w:val="00EB7FF9"/>
    <w:rsid w:val="00EC102A"/>
    <w:rsid w:val="00EC7BE6"/>
    <w:rsid w:val="00EE6643"/>
    <w:rsid w:val="00F1020A"/>
    <w:rsid w:val="00F12EE3"/>
    <w:rsid w:val="00F17781"/>
    <w:rsid w:val="00F36437"/>
    <w:rsid w:val="00F53F4B"/>
    <w:rsid w:val="00F80182"/>
    <w:rsid w:val="00F86414"/>
    <w:rsid w:val="00FC345E"/>
    <w:rsid w:val="00FC3B58"/>
    <w:rsid w:val="00FE0228"/>
    <w:rsid w:val="00FE6C1D"/>
    <w:rsid w:val="080987F7"/>
    <w:rsid w:val="0CD08A28"/>
    <w:rsid w:val="30E67733"/>
    <w:rsid w:val="31D316E9"/>
    <w:rsid w:val="3DB5B0B7"/>
    <w:rsid w:val="7A8C55F1"/>
    <w:rsid w:val="7D10E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1ED1094"/>
  <w15:chartTrackingRefBased/>
  <w15:docId w15:val="{7D7253E1-667A-4158-A730-AA382238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6A"/>
  </w:style>
  <w:style w:type="paragraph" w:styleId="Heading1">
    <w:name w:val="heading 1"/>
    <w:basedOn w:val="Normal"/>
    <w:next w:val="Normal"/>
    <w:link w:val="Heading1Char"/>
    <w:uiPriority w:val="9"/>
    <w:qFormat/>
    <w:rsid w:val="00D91C39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155"/>
    <w:pPr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5BD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i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2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2D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B6E"/>
    <w:pPr>
      <w:ind w:left="720"/>
      <w:contextualSpacing/>
    </w:pPr>
  </w:style>
  <w:style w:type="table" w:styleId="TableGrid">
    <w:name w:val="Table Grid"/>
    <w:basedOn w:val="TableNormal"/>
    <w:uiPriority w:val="39"/>
    <w:rsid w:val="0061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6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0B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AE"/>
  </w:style>
  <w:style w:type="paragraph" w:styleId="Footer">
    <w:name w:val="footer"/>
    <w:basedOn w:val="Normal"/>
    <w:link w:val="FooterChar"/>
    <w:uiPriority w:val="99"/>
    <w:unhideWhenUsed/>
    <w:rsid w:val="00BA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AE"/>
  </w:style>
  <w:style w:type="paragraph" w:customStyle="1" w:styleId="LetterOrg">
    <w:name w:val="LetterOrg"/>
    <w:qFormat/>
    <w:rsid w:val="00BA6FAE"/>
    <w:pPr>
      <w:spacing w:before="120" w:after="240" w:line="240" w:lineRule="auto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91C39"/>
    <w:rPr>
      <w:rFonts w:ascii="Arial" w:eastAsiaTheme="majorEastAsia" w:hAnsi="Arial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D6B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43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F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C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8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D3155"/>
    <w:rPr>
      <w:rFonts w:ascii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188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C35BD"/>
    <w:rPr>
      <w:rFonts w:ascii="Arial" w:eastAsiaTheme="majorEastAsia" w:hAnsi="Arial" w:cstheme="majorBidi"/>
      <w:i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32A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32D3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906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boards.ca.gov/drinking_water/certlic/labs/mur.html" TargetMode="External"/><Relationship Id="rId13" Type="http://schemas.openxmlformats.org/officeDocument/2006/relationships/hyperlink" Target="https://www.waterboards.ca.gov/drinking_water/certlic/labs/docs/2023/2021mur-foachangelog.xls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waterboards.ca.gov/drinking_water/certlic/labs/mur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terboards.ca.gov/drinking_water/certlic/labs/mu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terboards.ca.gov/drinking_water/certlic/labs/docs/2023/2021mur-foachangelog.xlsx" TargetMode="External"/><Relationship Id="rId10" Type="http://schemas.openxmlformats.org/officeDocument/2006/relationships/hyperlink" Target="https://www.waterboards.ca.gov/drinking_water/certlic/labs/mur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waterboards.ca.gov/drinking_water/certlic/labs/docs/2023/2021mur-foachangelog.xlsx" TargetMode="External"/><Relationship Id="rId14" Type="http://schemas.openxmlformats.org/officeDocument/2006/relationships/hyperlink" Target="https://www.waterboards.ca.gov/drinking_water/certlic/labs/docs/2023/2021mur-foachangelog.xls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7E78-4E62-4420-8490-D06F9A40EB73}"/>
      </w:docPartPr>
      <w:docPartBody>
        <w:p w:rsidR="00F44956" w:rsidRDefault="00F449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956"/>
    <w:rsid w:val="00F4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03B9-7689-4883-BF27-DC753586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735</Words>
  <Characters>5198</Characters>
  <Application>Microsoft Office Word</Application>
  <DocSecurity>0</DocSecurity>
  <Lines>43</Lines>
  <Paragraphs>11</Paragraphs>
  <ScaleCrop>false</ScaleCrop>
  <Company>SWRCB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On-Site Assesment Waiver</dc:title>
  <dc:subject>2021 MUR</dc:subject>
  <dc:creator>California Environmental Laboratory Accreditation Program</dc:creator>
  <cp:keywords/>
  <dc:description/>
  <cp:lastModifiedBy>Hand, Christopher@Waterboards</cp:lastModifiedBy>
  <cp:revision>42</cp:revision>
  <dcterms:created xsi:type="dcterms:W3CDTF">2021-12-14T17:10:00Z</dcterms:created>
  <dcterms:modified xsi:type="dcterms:W3CDTF">2023-03-01T19:21:00Z</dcterms:modified>
</cp:coreProperties>
</file>