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6924" w14:textId="77777777" w:rsidR="005F4DAA" w:rsidRDefault="005F4DAA" w:rsidP="005F4DAA">
      <w:pPr>
        <w:spacing w:after="120"/>
        <w:rPr>
          <w:rFonts w:cs="Arial"/>
        </w:rPr>
      </w:pPr>
      <w:r>
        <w:rPr>
          <w:rFonts w:cs="Arial"/>
        </w:rPr>
        <w:t>Date:  September 16</w:t>
      </w:r>
      <w:r w:rsidRPr="00F41D98">
        <w:rPr>
          <w:rFonts w:cs="Arial"/>
          <w:vertAlign w:val="superscript"/>
        </w:rPr>
        <w:t>th</w:t>
      </w:r>
      <w:r>
        <w:rPr>
          <w:rFonts w:cs="Arial"/>
        </w:rPr>
        <w:t>, 2019</w:t>
      </w:r>
    </w:p>
    <w:p w14:paraId="6E887DC4" w14:textId="77777777" w:rsidR="005F4DAA" w:rsidRDefault="005F4DAA" w:rsidP="005F4DAA">
      <w:pPr>
        <w:spacing w:after="120"/>
        <w:rPr>
          <w:rFonts w:cs="Arial"/>
        </w:rPr>
      </w:pPr>
    </w:p>
    <w:p w14:paraId="054DB36E" w14:textId="77777777" w:rsidR="005F4DAA" w:rsidRDefault="005F4DAA" w:rsidP="005F4DAA">
      <w:pPr>
        <w:rPr>
          <w:rFonts w:cs="Arial"/>
        </w:rPr>
      </w:pPr>
      <w:r>
        <w:rPr>
          <w:rFonts w:cs="Arial"/>
        </w:rPr>
        <w:t>To: Community Public Water Systems,</w:t>
      </w:r>
    </w:p>
    <w:p w14:paraId="10E933BE" w14:textId="77777777" w:rsidR="005F4DAA" w:rsidRDefault="005F4DAA" w:rsidP="005F4DAA">
      <w:pPr>
        <w:rPr>
          <w:rFonts w:cs="Arial"/>
        </w:rPr>
      </w:pPr>
    </w:p>
    <w:p w14:paraId="5D72BD03" w14:textId="7D38CFA5" w:rsidR="005F4DAA" w:rsidRDefault="005F4DAA" w:rsidP="005F4DAA">
      <w:pPr>
        <w:spacing w:after="120"/>
        <w:rPr>
          <w:rFonts w:cs="Arial"/>
        </w:rPr>
      </w:pPr>
      <w:r>
        <w:rPr>
          <w:rFonts w:cs="Arial"/>
        </w:rPr>
        <w:t>Your water system received a</w:t>
      </w:r>
      <w:r w:rsidRPr="00A56F27">
        <w:rPr>
          <w:rFonts w:cs="Arial"/>
        </w:rPr>
        <w:t xml:space="preserve"> </w:t>
      </w:r>
      <w:r>
        <w:rPr>
          <w:rFonts w:cs="Arial"/>
        </w:rPr>
        <w:t xml:space="preserve">Public Water System Annual Fee invoice from the State Water Resources Control Board (State Board) for the 2018//2019 fiscal year.  The regulations that instituted this fee have provisions for a reduction in the annual fee for public water systems that serve a disadvantaged community.  California Code of Regulations, Title 22, </w:t>
      </w:r>
      <w:r w:rsidRPr="00BE2553">
        <w:rPr>
          <w:rFonts w:cs="Arial"/>
        </w:rPr>
        <w:t>Section 64300(a</w:t>
      </w:r>
      <w:r>
        <w:rPr>
          <w:rFonts w:cs="Arial"/>
        </w:rPr>
        <w:t xml:space="preserve">) defines a disadvantaged community as, “the entire service area of the public water system has a </w:t>
      </w:r>
      <w:r w:rsidRPr="00366AC3">
        <w:rPr>
          <w:rFonts w:cs="Arial"/>
        </w:rPr>
        <w:t>median annual household income of less than eighty percent (80%) of the statewide median annual household income.</w:t>
      </w:r>
      <w:r>
        <w:rPr>
          <w:rFonts w:cs="Arial"/>
        </w:rPr>
        <w:t>”  The median household income (MHI) for California is $67,169</w:t>
      </w:r>
      <w:r>
        <w:rPr>
          <w:rStyle w:val="FootnoteReference"/>
          <w:rFonts w:cs="Arial"/>
        </w:rPr>
        <w:footnoteReference w:id="1"/>
      </w:r>
      <w:r>
        <w:rPr>
          <w:rFonts w:cs="Arial"/>
        </w:rPr>
        <w:t xml:space="preserve">.  </w:t>
      </w:r>
      <w:r w:rsidR="00B00C5A">
        <w:rPr>
          <w:rFonts w:cs="Arial"/>
        </w:rPr>
        <w:t>Therefore,</w:t>
      </w:r>
      <w:r>
        <w:rPr>
          <w:rFonts w:cs="Arial"/>
        </w:rPr>
        <w:t xml:space="preserve"> a community with a current MHI of less than $53,735 would meet the definition of a disadvantaged community.</w:t>
      </w:r>
    </w:p>
    <w:p w14:paraId="15CA16C0" w14:textId="77777777" w:rsidR="005F4DAA" w:rsidRDefault="005F4DAA" w:rsidP="005F4DAA">
      <w:pPr>
        <w:spacing w:after="120"/>
        <w:rPr>
          <w:rFonts w:cs="Arial"/>
        </w:rPr>
      </w:pPr>
      <w:r>
        <w:rPr>
          <w:rFonts w:cs="Arial"/>
        </w:rPr>
        <w:t xml:space="preserve">Section 64310 provides for how a public water system may qualify for this reduced fee.  </w:t>
      </w:r>
    </w:p>
    <w:p w14:paraId="04D7847E" w14:textId="77777777" w:rsidR="005F4DAA" w:rsidRPr="00BE2553" w:rsidRDefault="005F4DAA" w:rsidP="005F4DAA">
      <w:pPr>
        <w:pStyle w:val="Default"/>
        <w:tabs>
          <w:tab w:val="left" w:pos="8640"/>
        </w:tabs>
        <w:spacing w:after="120"/>
        <w:rPr>
          <w:rFonts w:ascii="Arial" w:hAnsi="Arial" w:cs="Arial"/>
          <w:i/>
          <w:sz w:val="22"/>
          <w:szCs w:val="22"/>
        </w:rPr>
      </w:pPr>
      <w:r w:rsidRPr="00BE2553">
        <w:rPr>
          <w:rFonts w:ascii="Arial" w:hAnsi="Arial" w:cs="Arial"/>
          <w:b/>
          <w:bCs/>
          <w:i/>
          <w:sz w:val="22"/>
          <w:szCs w:val="22"/>
        </w:rPr>
        <w:t xml:space="preserve">§64310. Reduction of Fees for Public Water Systems Serving Disadvantaged Community. </w:t>
      </w:r>
    </w:p>
    <w:p w14:paraId="5B0286DA" w14:textId="77777777" w:rsidR="005F4DAA" w:rsidRPr="00BE2553" w:rsidRDefault="005F4DAA" w:rsidP="005F4DAA">
      <w:pPr>
        <w:pStyle w:val="Default"/>
        <w:spacing w:after="120"/>
        <w:ind w:right="90"/>
        <w:rPr>
          <w:rFonts w:ascii="Arial" w:hAnsi="Arial" w:cs="Arial"/>
          <w:i/>
          <w:sz w:val="22"/>
          <w:szCs w:val="22"/>
        </w:rPr>
      </w:pPr>
      <w:r w:rsidRPr="00BE2553">
        <w:rPr>
          <w:rFonts w:ascii="Arial" w:hAnsi="Arial" w:cs="Arial"/>
          <w:i/>
          <w:sz w:val="22"/>
          <w:szCs w:val="22"/>
        </w:rPr>
        <w:t xml:space="preserve">(a) A public water system must pay the full amount of the annual fee unless it requests and receives from the State Board a determination that its annual fees are reduced because it is a community water system that serves a disadvantaged community in which case the fee to be paid is the amount for a disadvantaged community as shown in Table 64305-A. </w:t>
      </w:r>
    </w:p>
    <w:p w14:paraId="0AFC3210" w14:textId="77777777" w:rsidR="005F4DAA" w:rsidRPr="00BE2553" w:rsidRDefault="005F4DAA" w:rsidP="005F4DAA">
      <w:pPr>
        <w:ind w:right="90"/>
        <w:rPr>
          <w:rFonts w:cs="Arial"/>
          <w:i/>
        </w:rPr>
      </w:pPr>
      <w:r w:rsidRPr="00BE2553">
        <w:rPr>
          <w:rFonts w:cs="Arial"/>
          <w:i/>
        </w:rPr>
        <w:t>(b) To qualify for the reduction provided for in subsection (a), a public water system must certify, and provide documentation to the State Board upon request, that it serves a disadvantaged community.</w:t>
      </w:r>
    </w:p>
    <w:p w14:paraId="081953A0" w14:textId="77777777" w:rsidR="005F4DAA" w:rsidRPr="00366AC3" w:rsidRDefault="005F4DAA" w:rsidP="005F4DAA">
      <w:pPr>
        <w:spacing w:before="120"/>
        <w:rPr>
          <w:rFonts w:cs="Arial"/>
        </w:rPr>
      </w:pPr>
      <w:r>
        <w:rPr>
          <w:rFonts w:cs="Arial"/>
        </w:rPr>
        <w:t xml:space="preserve">If you believe the community your water system serves meets the definition of a disadvantaged community, and wish to qualify for a reduction in the Public Water System Annual Fee, please provide the State Board Division of Drinking Water (DDW) District office that oversees your water system with a certification that it meets the definition of a disadvantaged community.  Section 64310 requires that the State Board make the determination that each public water system that requests a reduced fee serves a disadvantaged community.  Therefore, providing the basis </w:t>
      </w:r>
      <w:r w:rsidRPr="00F00ADF">
        <w:rPr>
          <w:rFonts w:cs="Arial"/>
        </w:rPr>
        <w:t>for your certification that you serve a disadvantaged community will enable</w:t>
      </w:r>
      <w:r>
        <w:rPr>
          <w:rFonts w:cs="Arial"/>
        </w:rPr>
        <w:t xml:space="preserve"> the State Board to process your request more quickly.  Please submit your request via signed letter and the DDW will respond to your request via email or postal mail.</w:t>
      </w:r>
    </w:p>
    <w:p w14:paraId="4EA9E35C" w14:textId="77777777" w:rsidR="005F4DAA" w:rsidRDefault="005F4DAA" w:rsidP="005F4DAA">
      <w:pPr>
        <w:spacing w:before="120" w:after="120"/>
        <w:rPr>
          <w:rFonts w:cs="Arial"/>
        </w:rPr>
      </w:pPr>
      <w:r>
        <w:rPr>
          <w:rFonts w:cs="Arial"/>
        </w:rPr>
        <w:t>You can find the contact information for State Board DDW district offices at:</w:t>
      </w:r>
    </w:p>
    <w:p w14:paraId="66843023" w14:textId="77777777" w:rsidR="005F4DAA" w:rsidRDefault="00524B31" w:rsidP="005F4DAA">
      <w:pPr>
        <w:ind w:right="-90"/>
        <w:rPr>
          <w:rFonts w:cs="Arial"/>
        </w:rPr>
      </w:pPr>
      <w:hyperlink r:id="rId7" w:history="1">
        <w:r w:rsidR="005F4DAA" w:rsidRPr="00924E73">
          <w:rPr>
            <w:rStyle w:val="Hyperlink"/>
            <w:rFonts w:cs="Arial"/>
          </w:rPr>
          <w:t>http://www.swrcb.ca.gov/drinking_water/programs/documents/ddwem/DDWdistrictofficesmap.pdf</w:t>
        </w:r>
      </w:hyperlink>
    </w:p>
    <w:p w14:paraId="7837A83F" w14:textId="77777777" w:rsidR="005F4DAA" w:rsidRDefault="005F4DAA" w:rsidP="005F4DAA">
      <w:pPr>
        <w:spacing w:before="120"/>
        <w:rPr>
          <w:rFonts w:cs="Arial"/>
        </w:rPr>
      </w:pPr>
      <w:r>
        <w:rPr>
          <w:rFonts w:cs="Arial"/>
        </w:rPr>
        <w:lastRenderedPageBreak/>
        <w:t xml:space="preserve">A table is included on the back of this letter so you can determine the reduced fee your water system is subject to if it serves a disadvantaged community.  </w:t>
      </w:r>
    </w:p>
    <w:p w14:paraId="0A3E6A8E" w14:textId="77777777" w:rsidR="005F4DAA" w:rsidRDefault="005F4DAA" w:rsidP="005F4DAA">
      <w:pPr>
        <w:rPr>
          <w:rFonts w:cs="Arial"/>
        </w:rPr>
      </w:pPr>
    </w:p>
    <w:p w14:paraId="178A9232" w14:textId="77777777" w:rsidR="005F4DAA" w:rsidRDefault="005F4DAA" w:rsidP="005F4DAA">
      <w:pPr>
        <w:rPr>
          <w:rFonts w:cs="Arial"/>
        </w:rPr>
      </w:pPr>
      <w:r>
        <w:rPr>
          <w:rFonts w:cs="Arial"/>
        </w:rPr>
        <w:t>Table 64305-A</w:t>
      </w:r>
    </w:p>
    <w:p w14:paraId="3A173C04" w14:textId="77777777" w:rsidR="005F4DAA" w:rsidRDefault="005F4DAA" w:rsidP="005F4DAA">
      <w:pPr>
        <w:rPr>
          <w:rFonts w:cs="Arial"/>
        </w:rPr>
      </w:pPr>
    </w:p>
    <w:p w14:paraId="2866339B" w14:textId="77777777" w:rsidR="005F4DAA" w:rsidRPr="004C0D0B" w:rsidRDefault="005F4DAA" w:rsidP="005F4DAA">
      <w:pPr>
        <w:spacing w:before="3"/>
        <w:rPr>
          <w:rFonts w:eastAsia="Arial" w:cs="Arial"/>
          <w:b/>
          <w:szCs w:val="22"/>
        </w:rPr>
      </w:pPr>
      <w:r w:rsidRPr="004C0D0B">
        <w:rPr>
          <w:rFonts w:eastAsia="Arial" w:cs="Arial"/>
          <w:b/>
          <w:szCs w:val="22"/>
        </w:rPr>
        <w:t>Fiscal Year 201</w:t>
      </w:r>
      <w:r>
        <w:rPr>
          <w:rFonts w:eastAsia="Arial" w:cs="Arial"/>
          <w:b/>
          <w:szCs w:val="22"/>
        </w:rPr>
        <w:t>8</w:t>
      </w:r>
      <w:r w:rsidRPr="004C0D0B">
        <w:rPr>
          <w:rFonts w:eastAsia="Arial" w:cs="Arial"/>
          <w:b/>
          <w:szCs w:val="22"/>
        </w:rPr>
        <w:t>/201</w:t>
      </w:r>
      <w:r>
        <w:rPr>
          <w:rFonts w:eastAsia="Arial" w:cs="Arial"/>
          <w:b/>
          <w:szCs w:val="22"/>
        </w:rPr>
        <w:t>9</w:t>
      </w:r>
      <w:r w:rsidRPr="004C0D0B">
        <w:rPr>
          <w:rFonts w:eastAsia="Arial" w:cs="Arial"/>
          <w:b/>
          <w:szCs w:val="22"/>
        </w:rPr>
        <w:t xml:space="preserve"> Community Public Water Systems Regulatory Fees</w:t>
      </w:r>
      <w:r>
        <w:rPr>
          <w:rStyle w:val="FootnoteReference"/>
          <w:rFonts w:eastAsia="Arial" w:cs="Arial"/>
          <w:b/>
          <w:szCs w:val="22"/>
        </w:rPr>
        <w:footnoteReference w:id="2"/>
      </w:r>
    </w:p>
    <w:p w14:paraId="73D68617" w14:textId="77777777" w:rsidR="005F4DAA" w:rsidRDefault="005F4DAA" w:rsidP="005F4DAA">
      <w:pPr>
        <w:spacing w:before="3"/>
        <w:rPr>
          <w:rFonts w:eastAsia="Arial" w:cs="Arial"/>
          <w:sz w:val="18"/>
          <w:szCs w:val="1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Fiscal Year 2018/2019 Community Public Water Systems Regulatory Fees"/>
        <w:tblDescription w:val="Fiscal Year 2018/2019 Community Public Water Systems Regulatory Fees"/>
      </w:tblPr>
      <w:tblGrid>
        <w:gridCol w:w="2819"/>
        <w:gridCol w:w="3422"/>
        <w:gridCol w:w="3109"/>
      </w:tblGrid>
      <w:tr w:rsidR="005F4DAA" w14:paraId="59DA5EAD" w14:textId="77777777" w:rsidTr="006B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hideMark/>
          </w:tcPr>
          <w:p w14:paraId="07E316D2" w14:textId="77777777" w:rsidR="005F4DAA" w:rsidRPr="00383F24" w:rsidRDefault="005F4DAA" w:rsidP="00B7671F">
            <w:pPr>
              <w:jc w:val="center"/>
              <w:rPr>
                <w:rFonts w:eastAsia="Calibri" w:cs="Arial"/>
                <w:b w:val="0"/>
                <w:bCs w:val="0"/>
                <w:szCs w:val="22"/>
              </w:rPr>
            </w:pPr>
            <w:bookmarkStart w:id="0" w:name="_GoBack" w:colFirst="0" w:colLast="3"/>
            <w:r w:rsidRPr="004C0D0B">
              <w:rPr>
                <w:rFonts w:cs="Arial"/>
                <w:szCs w:val="22"/>
              </w:rPr>
              <w:t xml:space="preserve">Community Water System </w:t>
            </w:r>
            <w:r>
              <w:rPr>
                <w:rFonts w:cs="Arial"/>
              </w:rPr>
              <w:t>Size</w:t>
            </w:r>
          </w:p>
        </w:tc>
        <w:tc>
          <w:tcPr>
            <w:tcW w:w="3508" w:type="dxa"/>
            <w:hideMark/>
          </w:tcPr>
          <w:p w14:paraId="2DEF3083" w14:textId="77777777" w:rsidR="005F4DAA" w:rsidRDefault="005F4DAA" w:rsidP="00B7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4C0D0B">
              <w:rPr>
                <w:rFonts w:cs="Arial"/>
                <w:szCs w:val="22"/>
              </w:rPr>
              <w:t xml:space="preserve">Standard </w:t>
            </w:r>
            <w:r>
              <w:rPr>
                <w:rFonts w:cs="Arial"/>
              </w:rPr>
              <w:t>Fee</w:t>
            </w:r>
          </w:p>
          <w:p w14:paraId="4C24CA3C" w14:textId="77777777" w:rsidR="005F4DAA" w:rsidRPr="00383F24" w:rsidRDefault="005F4DAA" w:rsidP="00B7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Cs w:val="22"/>
              </w:rPr>
            </w:pPr>
            <w:r w:rsidRPr="004C0D0B">
              <w:rPr>
                <w:rFonts w:cs="Arial"/>
                <w:szCs w:val="22"/>
              </w:rPr>
              <w:t>(Non-Disadvantaged)</w:t>
            </w:r>
          </w:p>
        </w:tc>
        <w:tc>
          <w:tcPr>
            <w:tcW w:w="3182" w:type="dxa"/>
            <w:hideMark/>
          </w:tcPr>
          <w:p w14:paraId="3A6F45ED" w14:textId="77777777" w:rsidR="005F4DAA" w:rsidRPr="00383F24" w:rsidRDefault="005F4DAA" w:rsidP="00B76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Cs w:val="22"/>
              </w:rPr>
            </w:pPr>
            <w:r w:rsidRPr="004C0D0B">
              <w:rPr>
                <w:rFonts w:cs="Arial"/>
                <w:szCs w:val="22"/>
              </w:rPr>
              <w:t xml:space="preserve">Disadvantaged System </w:t>
            </w:r>
            <w:r>
              <w:rPr>
                <w:rFonts w:cs="Arial"/>
              </w:rPr>
              <w:t>Fee</w:t>
            </w:r>
          </w:p>
        </w:tc>
      </w:tr>
      <w:tr w:rsidR="005F4DAA" w14:paraId="15F4E191" w14:textId="77777777" w:rsidTr="006B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hideMark/>
          </w:tcPr>
          <w:p w14:paraId="296EFAED" w14:textId="77777777" w:rsidR="005F4DAA" w:rsidRPr="00383F24" w:rsidRDefault="005F4DAA" w:rsidP="00B7671F">
            <w:pPr>
              <w:rPr>
                <w:rFonts w:eastAsia="Calibri" w:cs="Arial"/>
                <w:szCs w:val="22"/>
              </w:rPr>
            </w:pPr>
            <w:r w:rsidRPr="004C0D0B">
              <w:rPr>
                <w:rFonts w:cs="Arial"/>
                <w:szCs w:val="22"/>
              </w:rPr>
              <w:t>100 or fewer service connections</w:t>
            </w:r>
          </w:p>
        </w:tc>
        <w:tc>
          <w:tcPr>
            <w:tcW w:w="3508" w:type="dxa"/>
            <w:hideMark/>
          </w:tcPr>
          <w:p w14:paraId="219D150A" w14:textId="77777777" w:rsidR="005F4DAA" w:rsidRPr="00383F24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4C0D0B">
              <w:rPr>
                <w:rFonts w:cs="Arial"/>
                <w:szCs w:val="22"/>
              </w:rPr>
              <w:t>$250 or $6 per service connection whichever is greater</w:t>
            </w:r>
          </w:p>
        </w:tc>
        <w:tc>
          <w:tcPr>
            <w:tcW w:w="3182" w:type="dxa"/>
            <w:hideMark/>
          </w:tcPr>
          <w:p w14:paraId="223CEA4A" w14:textId="77777777" w:rsidR="005F4DAA" w:rsidRPr="00383F24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4C0D0B">
              <w:rPr>
                <w:rFonts w:cs="Arial"/>
                <w:szCs w:val="22"/>
              </w:rPr>
              <w:t>$100</w:t>
            </w:r>
          </w:p>
        </w:tc>
      </w:tr>
      <w:tr w:rsidR="005F4DAA" w14:paraId="38B63F4F" w14:textId="77777777" w:rsidTr="006B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6E7E327E" w14:textId="77777777" w:rsidR="005F4DAA" w:rsidRPr="004C0D0B" w:rsidRDefault="005F4DAA" w:rsidP="00B7671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 to 1,000 service connections</w:t>
            </w:r>
          </w:p>
        </w:tc>
        <w:tc>
          <w:tcPr>
            <w:tcW w:w="3508" w:type="dxa"/>
          </w:tcPr>
          <w:p w14:paraId="7A63FC2A" w14:textId="77777777" w:rsidR="005F4DAA" w:rsidRPr="004C0D0B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$6.00 per service connection</w:t>
            </w:r>
          </w:p>
        </w:tc>
        <w:tc>
          <w:tcPr>
            <w:tcW w:w="3182" w:type="dxa"/>
          </w:tcPr>
          <w:p w14:paraId="68CDC2C7" w14:textId="77777777" w:rsidR="005F4DAA" w:rsidRPr="004C0D0B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$100 plus $2.00 per each service connection greater than 100</w:t>
            </w:r>
          </w:p>
        </w:tc>
      </w:tr>
      <w:tr w:rsidR="005F4DAA" w14:paraId="6EBBCA70" w14:textId="77777777" w:rsidTr="006B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hideMark/>
          </w:tcPr>
          <w:p w14:paraId="42A78C92" w14:textId="77777777" w:rsidR="005F4DAA" w:rsidRPr="00383F24" w:rsidRDefault="005F4DAA" w:rsidP="00B7671F">
            <w:pPr>
              <w:rPr>
                <w:rFonts w:eastAsia="Calibri" w:cs="Arial"/>
                <w:szCs w:val="22"/>
              </w:rPr>
            </w:pPr>
            <w:r w:rsidRPr="004C0D0B">
              <w:rPr>
                <w:rFonts w:cs="Arial"/>
                <w:szCs w:val="22"/>
              </w:rPr>
              <w:t>1,001 to 5,000 service connections</w:t>
            </w:r>
          </w:p>
        </w:tc>
        <w:tc>
          <w:tcPr>
            <w:tcW w:w="3508" w:type="dxa"/>
            <w:hideMark/>
          </w:tcPr>
          <w:p w14:paraId="30C892D5" w14:textId="77777777" w:rsidR="005F4DAA" w:rsidRPr="00383F24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4C0D0B">
              <w:rPr>
                <w:rFonts w:cs="Arial"/>
                <w:szCs w:val="22"/>
              </w:rPr>
              <w:t>$6.00 per each of the first 1,000 service connections plus $3.50 per each service connection greater than 1,000</w:t>
            </w:r>
          </w:p>
        </w:tc>
        <w:tc>
          <w:tcPr>
            <w:tcW w:w="3182" w:type="dxa"/>
            <w:hideMark/>
          </w:tcPr>
          <w:p w14:paraId="19B5CE65" w14:textId="77777777" w:rsidR="005F4DAA" w:rsidRPr="00383F24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4C0D0B">
              <w:rPr>
                <w:rFonts w:cs="Arial"/>
                <w:szCs w:val="22"/>
              </w:rPr>
              <w:t>$100 plus $2.00 per each service connection greater than 100</w:t>
            </w:r>
          </w:p>
        </w:tc>
      </w:tr>
      <w:tr w:rsidR="005F4DAA" w14:paraId="7F11DFA8" w14:textId="77777777" w:rsidTr="006B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35520B0C" w14:textId="77777777" w:rsidR="005F4DAA" w:rsidRPr="004C0D0B" w:rsidRDefault="005F4DAA" w:rsidP="00B7671F">
            <w:pPr>
              <w:rPr>
                <w:rFonts w:cs="Arial"/>
                <w:szCs w:val="22"/>
              </w:rPr>
            </w:pPr>
            <w:r w:rsidRPr="004C0D0B">
              <w:rPr>
                <w:rFonts w:cs="Arial"/>
                <w:szCs w:val="22"/>
              </w:rPr>
              <w:t>5,001 to 15,000 service connections</w:t>
            </w:r>
          </w:p>
        </w:tc>
        <w:tc>
          <w:tcPr>
            <w:tcW w:w="3508" w:type="dxa"/>
          </w:tcPr>
          <w:p w14:paraId="277E959D" w14:textId="2BCE22E0" w:rsidR="005F4DAA" w:rsidRPr="004C0D0B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C0D0B">
              <w:rPr>
                <w:rFonts w:cs="Arial"/>
                <w:szCs w:val="22"/>
              </w:rPr>
              <w:t>$6.00 per each of first 1,000 service</w:t>
            </w:r>
            <w:r w:rsidRPr="004C0D0B">
              <w:rPr>
                <w:rFonts w:cs="Arial"/>
                <w:spacing w:val="8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connections plus $3.50 per each</w:t>
            </w:r>
            <w:r w:rsidRPr="004C0D0B">
              <w:rPr>
                <w:rFonts w:cs="Arial"/>
                <w:spacing w:val="-5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service connection greater than 1,000</w:t>
            </w:r>
            <w:r w:rsidRPr="004C0D0B">
              <w:rPr>
                <w:rFonts w:cs="Arial"/>
                <w:spacing w:val="-26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but less than 5,001 plus $2.00</w:t>
            </w:r>
            <w:r w:rsidRPr="004C0D0B">
              <w:rPr>
                <w:rFonts w:cs="Arial"/>
                <w:spacing w:val="16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per</w:t>
            </w:r>
            <w:r w:rsidRPr="004C0D0B">
              <w:rPr>
                <w:rFonts w:cs="Arial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each</w:t>
            </w:r>
            <w:r w:rsidRPr="004C0D0B">
              <w:rPr>
                <w:rFonts w:cs="Arial"/>
                <w:spacing w:val="17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service</w:t>
            </w:r>
            <w:r w:rsidRPr="004C0D0B">
              <w:rPr>
                <w:rFonts w:cs="Arial"/>
                <w:spacing w:val="29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connection</w:t>
            </w:r>
            <w:r w:rsidRPr="004C0D0B">
              <w:rPr>
                <w:rFonts w:cs="Arial"/>
                <w:spacing w:val="22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greater</w:t>
            </w:r>
            <w:r w:rsidRPr="004C0D0B">
              <w:rPr>
                <w:rFonts w:cs="Arial"/>
                <w:spacing w:val="14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than</w:t>
            </w:r>
            <w:r w:rsidRPr="004C0D0B">
              <w:rPr>
                <w:rFonts w:cs="Arial"/>
                <w:spacing w:val="18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·</w:t>
            </w:r>
            <w:r w:rsidRPr="004C0D0B">
              <w:rPr>
                <w:rFonts w:cs="Arial"/>
                <w:spacing w:val="-55"/>
                <w:szCs w:val="22"/>
              </w:rPr>
              <w:t xml:space="preserve"> </w:t>
            </w:r>
            <w:r w:rsidRPr="004C0D0B">
              <w:rPr>
                <w:rFonts w:cs="Arial"/>
                <w:szCs w:val="22"/>
              </w:rPr>
              <w:t>5,000</w:t>
            </w:r>
          </w:p>
        </w:tc>
        <w:tc>
          <w:tcPr>
            <w:tcW w:w="3182" w:type="dxa"/>
          </w:tcPr>
          <w:p w14:paraId="3E3E8219" w14:textId="77777777" w:rsidR="005F4DAA" w:rsidRPr="004C0D0B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C0D0B">
              <w:rPr>
                <w:rFonts w:cs="Arial"/>
                <w:w w:val="105"/>
                <w:szCs w:val="22"/>
              </w:rPr>
              <w:t>$100 plus $2.00 per each</w:t>
            </w:r>
            <w:r w:rsidRPr="004C0D0B">
              <w:rPr>
                <w:rFonts w:cs="Arial"/>
                <w:spacing w:val="-38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service</w:t>
            </w:r>
            <w:r w:rsidRPr="004C0D0B">
              <w:rPr>
                <w:rFonts w:cs="Arial"/>
                <w:w w:val="103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 xml:space="preserve">connection </w:t>
            </w:r>
            <w:r w:rsidRPr="004C0D0B">
              <w:rPr>
                <w:rFonts w:cs="Arial"/>
                <w:spacing w:val="-4"/>
                <w:w w:val="105"/>
                <w:szCs w:val="22"/>
              </w:rPr>
              <w:t xml:space="preserve">greater </w:t>
            </w:r>
            <w:r w:rsidRPr="004C0D0B">
              <w:rPr>
                <w:rFonts w:cs="Arial"/>
                <w:w w:val="105"/>
                <w:szCs w:val="22"/>
              </w:rPr>
              <w:t>than</w:t>
            </w:r>
            <w:r w:rsidRPr="004C0D0B">
              <w:rPr>
                <w:rFonts w:cs="Arial"/>
                <w:spacing w:val="21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100</w:t>
            </w:r>
          </w:p>
        </w:tc>
      </w:tr>
      <w:tr w:rsidR="005F4DAA" w14:paraId="64105A0B" w14:textId="77777777" w:rsidTr="006B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6BBE236B" w14:textId="77777777" w:rsidR="005F4DAA" w:rsidRPr="004C0D0B" w:rsidRDefault="005F4DAA" w:rsidP="00B7671F">
            <w:pPr>
              <w:rPr>
                <w:rFonts w:cs="Arial"/>
                <w:szCs w:val="22"/>
              </w:rPr>
            </w:pPr>
            <w:r w:rsidRPr="004C0D0B">
              <w:rPr>
                <w:rFonts w:cs="Arial"/>
                <w:w w:val="105"/>
                <w:szCs w:val="22"/>
              </w:rPr>
              <w:t>15,001</w:t>
            </w:r>
            <w:r w:rsidRPr="004C0D0B">
              <w:rPr>
                <w:rFonts w:cs="Arial"/>
                <w:spacing w:val="-24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or</w:t>
            </w:r>
            <w:r w:rsidRPr="004C0D0B">
              <w:rPr>
                <w:rFonts w:cs="Arial"/>
                <w:spacing w:val="-12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more</w:t>
            </w:r>
            <w:r w:rsidRPr="004C0D0B">
              <w:rPr>
                <w:rFonts w:cs="Arial"/>
                <w:spacing w:val="-20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service</w:t>
            </w:r>
            <w:r w:rsidRPr="004C0D0B">
              <w:rPr>
                <w:rFonts w:cs="Arial"/>
                <w:spacing w:val="-13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connections</w:t>
            </w:r>
          </w:p>
        </w:tc>
        <w:tc>
          <w:tcPr>
            <w:tcW w:w="3508" w:type="dxa"/>
          </w:tcPr>
          <w:p w14:paraId="7861B595" w14:textId="77777777" w:rsidR="005F4DAA" w:rsidRPr="004C0D0B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C0D0B">
              <w:rPr>
                <w:rFonts w:cs="Arial"/>
                <w:w w:val="105"/>
                <w:szCs w:val="22"/>
              </w:rPr>
              <w:t>$6.00 per each of first 1,000</w:t>
            </w:r>
            <w:r w:rsidRPr="004C0D0B">
              <w:rPr>
                <w:rFonts w:cs="Arial"/>
                <w:spacing w:val="-21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service</w:t>
            </w:r>
            <w:r w:rsidRPr="004C0D0B">
              <w:rPr>
                <w:rFonts w:cs="Arial"/>
                <w:w w:val="104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connections plus $3.50 per</w:t>
            </w:r>
            <w:r w:rsidRPr="004C0D0B">
              <w:rPr>
                <w:rFonts w:cs="Arial"/>
                <w:spacing w:val="6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each</w:t>
            </w:r>
            <w:r w:rsidRPr="004C0D0B">
              <w:rPr>
                <w:rFonts w:cs="Arial"/>
                <w:w w:val="104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service connection greater than</w:t>
            </w:r>
            <w:r w:rsidRPr="004C0D0B">
              <w:rPr>
                <w:rFonts w:cs="Arial"/>
                <w:spacing w:val="-16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1,000</w:t>
            </w:r>
            <w:r w:rsidRPr="004C0D0B">
              <w:rPr>
                <w:rFonts w:cs="Arial"/>
                <w:w w:val="102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but less than 5,001 plus $2.00</w:t>
            </w:r>
            <w:r w:rsidRPr="004C0D0B">
              <w:rPr>
                <w:rFonts w:cs="Arial"/>
                <w:spacing w:val="-6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per</w:t>
            </w:r>
            <w:r w:rsidRPr="004C0D0B">
              <w:rPr>
                <w:rFonts w:cs="Arial"/>
                <w:w w:val="103"/>
                <w:szCs w:val="22"/>
              </w:rPr>
              <w:t xml:space="preserve"> </w:t>
            </w:r>
            <w:r w:rsidRPr="004C0D0B">
              <w:rPr>
                <w:rFonts w:cs="Arial"/>
                <w:spacing w:val="-11"/>
                <w:w w:val="105"/>
                <w:szCs w:val="22"/>
              </w:rPr>
              <w:t xml:space="preserve">each </w:t>
            </w:r>
            <w:r w:rsidRPr="004C0D0B">
              <w:rPr>
                <w:rFonts w:cs="Arial"/>
                <w:w w:val="105"/>
                <w:szCs w:val="22"/>
              </w:rPr>
              <w:t>service connection greater</w:t>
            </w:r>
            <w:r w:rsidRPr="004C0D0B">
              <w:rPr>
                <w:rFonts w:cs="Arial"/>
                <w:spacing w:val="-16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than</w:t>
            </w:r>
            <w:r w:rsidRPr="004C0D0B">
              <w:rPr>
                <w:rFonts w:cs="Arial"/>
                <w:w w:val="104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5,000 but less than 15,001 plus</w:t>
            </w:r>
            <w:r w:rsidRPr="004C0D0B">
              <w:rPr>
                <w:rFonts w:cs="Arial"/>
                <w:spacing w:val="-32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$1.35</w:t>
            </w:r>
            <w:r w:rsidRPr="004C0D0B">
              <w:rPr>
                <w:rFonts w:cs="Arial"/>
                <w:w w:val="102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per each service connection</w:t>
            </w:r>
            <w:r w:rsidRPr="004C0D0B">
              <w:rPr>
                <w:rFonts w:cs="Arial"/>
                <w:spacing w:val="-14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greater</w:t>
            </w:r>
            <w:r w:rsidRPr="004C0D0B">
              <w:rPr>
                <w:rFonts w:cs="Arial"/>
                <w:w w:val="103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than</w:t>
            </w:r>
            <w:r w:rsidRPr="004C0D0B">
              <w:rPr>
                <w:rFonts w:cs="Arial"/>
                <w:spacing w:val="4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15,000</w:t>
            </w:r>
          </w:p>
        </w:tc>
        <w:tc>
          <w:tcPr>
            <w:tcW w:w="3182" w:type="dxa"/>
          </w:tcPr>
          <w:p w14:paraId="577FFCC1" w14:textId="77777777" w:rsidR="005F4DAA" w:rsidRPr="004C0D0B" w:rsidRDefault="005F4DAA" w:rsidP="00B76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C0D0B">
              <w:rPr>
                <w:rFonts w:cs="Arial"/>
                <w:w w:val="105"/>
                <w:szCs w:val="22"/>
              </w:rPr>
              <w:t>$100 plus $2.00 per each</w:t>
            </w:r>
            <w:r w:rsidRPr="004C0D0B">
              <w:rPr>
                <w:rFonts w:cs="Arial"/>
                <w:spacing w:val="-2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service</w:t>
            </w:r>
            <w:r w:rsidRPr="004C0D0B">
              <w:rPr>
                <w:rFonts w:cs="Arial"/>
                <w:w w:val="103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connection greater than 100 but</w:t>
            </w:r>
            <w:r w:rsidRPr="004C0D0B">
              <w:rPr>
                <w:rFonts w:cs="Arial"/>
                <w:spacing w:val="-9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less</w:t>
            </w:r>
            <w:r w:rsidRPr="004C0D0B">
              <w:rPr>
                <w:rFonts w:cs="Arial"/>
                <w:w w:val="103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than 15,001 plus $1.35 per</w:t>
            </w:r>
            <w:r w:rsidRPr="004C0D0B">
              <w:rPr>
                <w:rFonts w:cs="Arial"/>
                <w:spacing w:val="1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each</w:t>
            </w:r>
            <w:r w:rsidRPr="004C0D0B">
              <w:rPr>
                <w:rFonts w:cs="Arial"/>
                <w:w w:val="106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service connection greater than</w:t>
            </w:r>
            <w:r w:rsidRPr="004C0D0B">
              <w:rPr>
                <w:rFonts w:cs="Arial"/>
                <w:spacing w:val="-16"/>
                <w:w w:val="105"/>
                <w:szCs w:val="22"/>
              </w:rPr>
              <w:t xml:space="preserve"> </w:t>
            </w:r>
            <w:r w:rsidRPr="004C0D0B">
              <w:rPr>
                <w:rFonts w:cs="Arial"/>
                <w:w w:val="105"/>
                <w:szCs w:val="22"/>
              </w:rPr>
              <w:t>15,000</w:t>
            </w:r>
          </w:p>
        </w:tc>
      </w:tr>
      <w:bookmarkEnd w:id="0"/>
    </w:tbl>
    <w:p w14:paraId="625B4158" w14:textId="77777777" w:rsidR="005F4DAA" w:rsidRPr="00747E63" w:rsidRDefault="005F4DAA" w:rsidP="005F4DAA">
      <w:pPr>
        <w:pStyle w:val="ListParagraph"/>
        <w:ind w:left="360"/>
      </w:pPr>
    </w:p>
    <w:p w14:paraId="2E4D40FE" w14:textId="77777777" w:rsidR="003B72B5" w:rsidRPr="003B72B5" w:rsidRDefault="003B72B5" w:rsidP="003B72B5">
      <w:pPr>
        <w:suppressAutoHyphens/>
        <w:rPr>
          <w:rFonts w:cs="Arial"/>
        </w:rPr>
      </w:pPr>
    </w:p>
    <w:sectPr w:rsidR="003B72B5" w:rsidRPr="003B72B5" w:rsidSect="00060067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D6FA" w14:textId="77777777" w:rsidR="00524B31" w:rsidRDefault="00524B31" w:rsidP="0090791C">
      <w:r>
        <w:separator/>
      </w:r>
    </w:p>
  </w:endnote>
  <w:endnote w:type="continuationSeparator" w:id="0">
    <w:p w14:paraId="6777CC23" w14:textId="77777777" w:rsidR="00524B31" w:rsidRDefault="00524B31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9F32" w14:textId="25CAA84B" w:rsidR="00464ADE" w:rsidRDefault="00464ADE" w:rsidP="001C5FD1">
    <w:pPr>
      <w:pStyle w:val="Footer"/>
      <w:ind w:left="-720"/>
    </w:pPr>
    <w:r>
      <w:rPr>
        <w:noProof/>
      </w:rPr>
      <w:drawing>
        <wp:inline distT="0" distB="0" distL="0" distR="0" wp14:anchorId="6AA71BDC" wp14:editId="7CECBF93">
          <wp:extent cx="6858000" cy="692394"/>
          <wp:effectExtent l="0" t="0" r="0" b="6350"/>
          <wp:docPr id="1" name="Picture 1" descr="Footer for State Water Board. 1001 I Street Sacramento Ca 95814, P.O. Box 100 Sacramento, Ca 95812-0100 www.waterboards.ca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647E" w14:textId="77777777" w:rsidR="00524B31" w:rsidRDefault="00524B31" w:rsidP="0090791C">
      <w:r>
        <w:separator/>
      </w:r>
    </w:p>
  </w:footnote>
  <w:footnote w:type="continuationSeparator" w:id="0">
    <w:p w14:paraId="1CD4B3EA" w14:textId="77777777" w:rsidR="00524B31" w:rsidRDefault="00524B31" w:rsidP="0090791C">
      <w:r>
        <w:continuationSeparator/>
      </w:r>
    </w:p>
  </w:footnote>
  <w:footnote w:id="1">
    <w:p w14:paraId="61E6B5A4" w14:textId="77777777" w:rsidR="005F4DAA" w:rsidRDefault="005F4DAA" w:rsidP="005F4DAA">
      <w:pPr>
        <w:pStyle w:val="FootnoteText"/>
      </w:pPr>
      <w:r>
        <w:rPr>
          <w:rStyle w:val="FootnoteReference"/>
        </w:rPr>
        <w:footnoteRef/>
      </w:r>
      <w:r>
        <w:t xml:space="preserve"> Source: 2013-2017 American Community Survey 5-Year Estimates</w:t>
      </w:r>
    </w:p>
    <w:p w14:paraId="6AD34B43" w14:textId="77777777" w:rsidR="005F4DAA" w:rsidRDefault="005F4DAA" w:rsidP="005F4DAA">
      <w:pPr>
        <w:pStyle w:val="FootnoteText"/>
      </w:pPr>
    </w:p>
  </w:footnote>
  <w:footnote w:id="2">
    <w:p w14:paraId="46FB3EC1" w14:textId="77777777" w:rsidR="005F4DAA" w:rsidRPr="004C0D0B" w:rsidRDefault="005F4DAA" w:rsidP="005F4DAA">
      <w:pPr>
        <w:pStyle w:val="ListParagraph"/>
        <w:ind w:left="36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C0D0B">
        <w:rPr>
          <w:rFonts w:ascii="Arial" w:hAnsi="Arial" w:cs="Arial"/>
          <w:sz w:val="18"/>
          <w:szCs w:val="18"/>
        </w:rPr>
        <w:t xml:space="preserve">Public Water Systems Annual Fee, contained in Section 64305, Title 22 of the California Code of </w:t>
      </w:r>
      <w:r>
        <w:rPr>
          <w:rFonts w:ascii="Arial" w:hAnsi="Arial" w:cs="Arial"/>
          <w:sz w:val="18"/>
          <w:szCs w:val="18"/>
        </w:rPr>
        <w:t>R</w:t>
      </w:r>
      <w:r w:rsidRPr="004C0D0B">
        <w:rPr>
          <w:rFonts w:ascii="Arial" w:hAnsi="Arial" w:cs="Arial"/>
          <w:sz w:val="18"/>
          <w:szCs w:val="18"/>
        </w:rPr>
        <w:t>egulations.</w:t>
      </w:r>
    </w:p>
    <w:p w14:paraId="2FA33DDE" w14:textId="77777777" w:rsidR="005F4DAA" w:rsidRDefault="005F4DAA" w:rsidP="005F4DA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3DCC" w14:textId="0A6751F4" w:rsidR="00464ADE" w:rsidRDefault="00464AD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BFBE3B" wp14:editId="217E5DA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1307592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ec Letterhead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1C"/>
    <w:rsid w:val="0001591E"/>
    <w:rsid w:val="00060067"/>
    <w:rsid w:val="001C5FD1"/>
    <w:rsid w:val="001E6EC1"/>
    <w:rsid w:val="001F0D2C"/>
    <w:rsid w:val="002B2608"/>
    <w:rsid w:val="002C2FA9"/>
    <w:rsid w:val="00365C73"/>
    <w:rsid w:val="003B72B5"/>
    <w:rsid w:val="003D79C5"/>
    <w:rsid w:val="00407818"/>
    <w:rsid w:val="004462CA"/>
    <w:rsid w:val="00464ADE"/>
    <w:rsid w:val="004E4561"/>
    <w:rsid w:val="00524B31"/>
    <w:rsid w:val="005521EF"/>
    <w:rsid w:val="0057298B"/>
    <w:rsid w:val="005F4DAA"/>
    <w:rsid w:val="00626350"/>
    <w:rsid w:val="00692C9C"/>
    <w:rsid w:val="006954FD"/>
    <w:rsid w:val="006B35C8"/>
    <w:rsid w:val="006C1228"/>
    <w:rsid w:val="00754A65"/>
    <w:rsid w:val="00772AE4"/>
    <w:rsid w:val="00776148"/>
    <w:rsid w:val="008678E5"/>
    <w:rsid w:val="008715AC"/>
    <w:rsid w:val="008A3AF5"/>
    <w:rsid w:val="008C4212"/>
    <w:rsid w:val="0090791C"/>
    <w:rsid w:val="009113E3"/>
    <w:rsid w:val="00966C4F"/>
    <w:rsid w:val="009967B5"/>
    <w:rsid w:val="00A01785"/>
    <w:rsid w:val="00A920AC"/>
    <w:rsid w:val="00B00C5A"/>
    <w:rsid w:val="00B36DF3"/>
    <w:rsid w:val="00BB6E54"/>
    <w:rsid w:val="00BE7678"/>
    <w:rsid w:val="00BF4402"/>
    <w:rsid w:val="00C06CDD"/>
    <w:rsid w:val="00C263BA"/>
    <w:rsid w:val="00CC0C72"/>
    <w:rsid w:val="00D17D89"/>
    <w:rsid w:val="00D81EE4"/>
    <w:rsid w:val="00D937EB"/>
    <w:rsid w:val="00DC7562"/>
    <w:rsid w:val="00EA2370"/>
    <w:rsid w:val="00EB5BFC"/>
    <w:rsid w:val="00ED4B04"/>
    <w:rsid w:val="00EF23E7"/>
    <w:rsid w:val="00F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66FA5"/>
  <w15:chartTrackingRefBased/>
  <w15:docId w15:val="{BC711DA9-FF62-F04D-A68E-9218B3A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paragraph" w:styleId="EndnoteText">
    <w:name w:val="endnote text"/>
    <w:basedOn w:val="Normal"/>
    <w:link w:val="EndnoteTextChar"/>
    <w:semiHidden/>
    <w:rsid w:val="00CC0C7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0C72"/>
    <w:rPr>
      <w:rFonts w:ascii="Courier" w:eastAsia="Times New Roman" w:hAnsi="Courier" w:cs="Times New Roman"/>
      <w:szCs w:val="20"/>
    </w:rPr>
  </w:style>
  <w:style w:type="character" w:styleId="Hyperlink">
    <w:name w:val="Hyperlink"/>
    <w:uiPriority w:val="99"/>
    <w:rsid w:val="00CC0C7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F4DAA"/>
    <w:pPr>
      <w:spacing w:after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4DAA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semiHidden/>
    <w:rsid w:val="005F4DAA"/>
    <w:rPr>
      <w:vertAlign w:val="superscript"/>
    </w:rPr>
  </w:style>
  <w:style w:type="paragraph" w:customStyle="1" w:styleId="Default">
    <w:name w:val="Default"/>
    <w:rsid w:val="005F4DA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F4DAA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GridTable1Light">
    <w:name w:val="Grid Table 1 Light"/>
    <w:basedOn w:val="TableNormal"/>
    <w:uiPriority w:val="46"/>
    <w:rsid w:val="006B35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rcb.ca.gov/drinking_water/programs/documents/ddwem/DDWdistrictofficesmap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2A7F-3801-4076-AA8A-45F8DDF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2018 - 2019 Disadvantaged Fee Notice</dc:title>
  <dc:subject/>
  <dc:creator>Albertoni, Tara@Waterboards</dc:creator>
  <cp:keywords/>
  <dc:description/>
  <cp:lastModifiedBy>Flanagan, Shawn@Waterboards</cp:lastModifiedBy>
  <cp:revision>8</cp:revision>
  <cp:lastPrinted>2019-09-16T21:11:00Z</cp:lastPrinted>
  <dcterms:created xsi:type="dcterms:W3CDTF">2019-09-16T19:20:00Z</dcterms:created>
  <dcterms:modified xsi:type="dcterms:W3CDTF">2019-09-17T00:05:00Z</dcterms:modified>
</cp:coreProperties>
</file>