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40" w:rsidRDefault="003356C8" w:rsidP="00E30E05">
      <w:pPr>
        <w:jc w:val="center"/>
        <w:rPr>
          <w:rStyle w:val="Strong"/>
          <w:rFonts w:cs="Arial"/>
          <w:sz w:val="28"/>
          <w:szCs w:val="28"/>
        </w:rPr>
      </w:pPr>
      <w:r w:rsidRPr="00F014BC"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9E164FB" wp14:editId="66EBC8D9">
            <wp:simplePos x="0" y="0"/>
            <wp:positionH relativeFrom="column">
              <wp:posOffset>-137159</wp:posOffset>
            </wp:positionH>
            <wp:positionV relativeFrom="paragraph">
              <wp:posOffset>-546735</wp:posOffset>
            </wp:positionV>
            <wp:extent cx="6400800" cy="16097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 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E05" w:rsidRPr="00F014BC">
        <w:rPr>
          <w:rStyle w:val="Strong"/>
          <w:rFonts w:cs="Arial"/>
          <w:sz w:val="32"/>
          <w:szCs w:val="32"/>
        </w:rPr>
        <w:t>Lahontan</w:t>
      </w:r>
      <w:r w:rsidR="00E30E05">
        <w:rPr>
          <w:rStyle w:val="Strong"/>
          <w:rFonts w:cs="Arial"/>
          <w:sz w:val="28"/>
          <w:szCs w:val="28"/>
        </w:rPr>
        <w:t xml:space="preserve"> W</w:t>
      </w:r>
      <w:r w:rsidR="00E30E05" w:rsidRPr="00F014BC">
        <w:rPr>
          <w:rStyle w:val="Strong"/>
          <w:rFonts w:cs="Arial"/>
          <w:sz w:val="32"/>
          <w:szCs w:val="32"/>
        </w:rPr>
        <w:t>ater</w:t>
      </w:r>
      <w:r w:rsidR="00E30E05">
        <w:rPr>
          <w:rStyle w:val="Strong"/>
          <w:rFonts w:cs="Arial"/>
          <w:sz w:val="28"/>
          <w:szCs w:val="28"/>
        </w:rPr>
        <w:t xml:space="preserve"> </w:t>
      </w:r>
      <w:r w:rsidR="00E30E05" w:rsidRPr="00F014BC">
        <w:rPr>
          <w:rStyle w:val="Strong"/>
          <w:rFonts w:cs="Arial"/>
          <w:sz w:val="32"/>
          <w:szCs w:val="32"/>
        </w:rPr>
        <w:t>Board</w:t>
      </w:r>
      <w:r w:rsidR="00E30E05">
        <w:rPr>
          <w:rStyle w:val="Strong"/>
          <w:rFonts w:cs="Arial"/>
          <w:sz w:val="28"/>
          <w:szCs w:val="28"/>
        </w:rPr>
        <w:t xml:space="preserve"> </w:t>
      </w:r>
      <w:r w:rsidR="00E30E05" w:rsidRPr="00F014BC">
        <w:rPr>
          <w:rStyle w:val="Strong"/>
          <w:rFonts w:cs="Arial"/>
          <w:sz w:val="32"/>
          <w:szCs w:val="32"/>
        </w:rPr>
        <w:t>Program</w:t>
      </w:r>
      <w:r w:rsidR="00E30E05">
        <w:rPr>
          <w:rStyle w:val="Strong"/>
          <w:rFonts w:cs="Arial"/>
          <w:sz w:val="28"/>
          <w:szCs w:val="28"/>
        </w:rPr>
        <w:t xml:space="preserve"> </w:t>
      </w:r>
      <w:r w:rsidR="00E30E05" w:rsidRPr="00F014BC">
        <w:rPr>
          <w:rStyle w:val="Strong"/>
          <w:rFonts w:cs="Arial"/>
          <w:sz w:val="32"/>
          <w:szCs w:val="32"/>
        </w:rPr>
        <w:t>Fact</w:t>
      </w:r>
      <w:r w:rsidR="00E30E05">
        <w:rPr>
          <w:rStyle w:val="Strong"/>
          <w:rFonts w:cs="Arial"/>
          <w:sz w:val="28"/>
          <w:szCs w:val="28"/>
        </w:rPr>
        <w:t xml:space="preserve"> </w:t>
      </w:r>
      <w:r w:rsidR="00E30E05" w:rsidRPr="00F014BC">
        <w:rPr>
          <w:rStyle w:val="Strong"/>
          <w:rFonts w:cs="Arial"/>
          <w:sz w:val="32"/>
          <w:szCs w:val="32"/>
        </w:rPr>
        <w:t>Sheet</w:t>
      </w:r>
    </w:p>
    <w:p w:rsidR="0087148A" w:rsidRDefault="0087148A" w:rsidP="0087148A">
      <w:pPr>
        <w:tabs>
          <w:tab w:val="right" w:pos="9630"/>
        </w:tabs>
        <w:jc w:val="center"/>
        <w:rPr>
          <w:rStyle w:val="Strong"/>
          <w:sz w:val="32"/>
        </w:rPr>
      </w:pPr>
      <w:r>
        <w:rPr>
          <w:rStyle w:val="Strong"/>
          <w:sz w:val="32"/>
        </w:rPr>
        <w:t>FY</w:t>
      </w:r>
      <w:r w:rsidRPr="00880AD2">
        <w:rPr>
          <w:rStyle w:val="Strong"/>
          <w:sz w:val="32"/>
        </w:rPr>
        <w:t xml:space="preserve"> 201</w:t>
      </w:r>
      <w:r w:rsidR="00BC062B">
        <w:rPr>
          <w:rStyle w:val="Strong"/>
          <w:sz w:val="32"/>
        </w:rPr>
        <w:t>7</w:t>
      </w:r>
      <w:r>
        <w:rPr>
          <w:rStyle w:val="Strong"/>
          <w:sz w:val="32"/>
        </w:rPr>
        <w:t>–</w:t>
      </w:r>
      <w:r w:rsidRPr="00880AD2">
        <w:rPr>
          <w:rStyle w:val="Strong"/>
          <w:sz w:val="32"/>
        </w:rPr>
        <w:t>201</w:t>
      </w:r>
      <w:r w:rsidR="00BC062B">
        <w:rPr>
          <w:rStyle w:val="Strong"/>
          <w:sz w:val="32"/>
        </w:rPr>
        <w:t>8</w:t>
      </w:r>
      <w:r w:rsidR="007320CA">
        <w:rPr>
          <w:rStyle w:val="Strong"/>
          <w:sz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9878"/>
      </w:tblGrid>
      <w:tr w:rsidR="00D22E6D" w:rsidRPr="000E014E" w:rsidTr="00481D50">
        <w:trPr>
          <w:trHeight w:val="20"/>
        </w:trPr>
        <w:tc>
          <w:tcPr>
            <w:tcW w:w="9878" w:type="dxa"/>
            <w:shd w:val="clear" w:color="auto" w:fill="auto"/>
          </w:tcPr>
          <w:p w:rsidR="00F524AD" w:rsidRPr="000E014E" w:rsidRDefault="003D18F2" w:rsidP="00E30E05">
            <w:pPr>
              <w:tabs>
                <w:tab w:val="right" w:pos="9630"/>
              </w:tabs>
              <w:jc w:val="center"/>
              <w:rPr>
                <w:rStyle w:val="Strong"/>
                <w:sz w:val="40"/>
                <w:szCs w:val="32"/>
              </w:rPr>
            </w:pPr>
            <w:r>
              <w:rPr>
                <w:rStyle w:val="Strong"/>
                <w:i/>
                <w:sz w:val="40"/>
                <w:szCs w:val="32"/>
              </w:rPr>
              <w:t>Storm Water</w:t>
            </w:r>
          </w:p>
        </w:tc>
      </w:tr>
    </w:tbl>
    <w:p w:rsidR="00481D50" w:rsidRPr="00E11A4B" w:rsidRDefault="00481D50">
      <w:pPr>
        <w:rPr>
          <w:sz w:val="12"/>
          <w:szCs w:val="12"/>
        </w:rPr>
      </w:pPr>
    </w:p>
    <w:tbl>
      <w:tblPr>
        <w:tblStyle w:val="TableGrid"/>
        <w:tblW w:w="10080" w:type="dxa"/>
        <w:jc w:val="center"/>
        <w:tblInd w:w="-65" w:type="dxa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D22E6D" w:rsidRPr="00C139DA" w:rsidTr="00F014BC">
        <w:trPr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85F70" w:rsidRPr="00F014BC" w:rsidRDefault="00D22E6D" w:rsidP="007745F2">
            <w:pPr>
              <w:tabs>
                <w:tab w:val="left" w:pos="1800"/>
              </w:tabs>
              <w:spacing w:after="120"/>
              <w:rPr>
                <w:rStyle w:val="Strong"/>
                <w:b w:val="0"/>
                <w:sz w:val="32"/>
                <w:szCs w:val="32"/>
              </w:rPr>
            </w:pPr>
            <w:r w:rsidRPr="00F014BC">
              <w:rPr>
                <w:rStyle w:val="Strong"/>
                <w:b w:val="0"/>
                <w:sz w:val="32"/>
                <w:szCs w:val="32"/>
              </w:rPr>
              <w:t>Overview</w:t>
            </w:r>
          </w:p>
          <w:p w:rsidR="003D18F2" w:rsidRPr="004D5D5F" w:rsidRDefault="003D18F2" w:rsidP="007745F2">
            <w:pPr>
              <w:spacing w:after="120"/>
              <w:rPr>
                <w:rStyle w:val="Strong"/>
                <w:b w:val="0"/>
                <w:sz w:val="22"/>
                <w:szCs w:val="22"/>
              </w:rPr>
            </w:pPr>
            <w:r w:rsidRPr="004D5D5F">
              <w:rPr>
                <w:rStyle w:val="Strong"/>
                <w:b w:val="0"/>
                <w:sz w:val="22"/>
                <w:szCs w:val="22"/>
              </w:rPr>
              <w:t xml:space="preserve">The Storm Water </w:t>
            </w:r>
            <w:r w:rsidR="00404267" w:rsidRPr="004D5D5F">
              <w:rPr>
                <w:rStyle w:val="Strong"/>
                <w:b w:val="0"/>
                <w:sz w:val="22"/>
                <w:szCs w:val="22"/>
              </w:rPr>
              <w:t>P</w:t>
            </w:r>
            <w:r w:rsidRPr="004D5D5F">
              <w:rPr>
                <w:rStyle w:val="Strong"/>
                <w:b w:val="0"/>
                <w:sz w:val="22"/>
                <w:szCs w:val="22"/>
              </w:rPr>
              <w:t xml:space="preserve">rogram </w:t>
            </w:r>
            <w:r w:rsidR="007F018C" w:rsidRPr="004D5D5F">
              <w:rPr>
                <w:rStyle w:val="Strong"/>
                <w:b w:val="0"/>
                <w:sz w:val="22"/>
                <w:szCs w:val="22"/>
              </w:rPr>
              <w:t>permit</w:t>
            </w:r>
            <w:r w:rsidRPr="004D5D5F">
              <w:rPr>
                <w:rStyle w:val="Strong"/>
                <w:b w:val="0"/>
                <w:sz w:val="22"/>
                <w:szCs w:val="22"/>
              </w:rPr>
              <w:t>s discharges of pollutants in storm water runoff to waters of the United States under the National Pollutant Discharge Elimination System</w:t>
            </w:r>
            <w:r w:rsidR="000736C1">
              <w:rPr>
                <w:rStyle w:val="Strong"/>
                <w:b w:val="0"/>
                <w:sz w:val="22"/>
                <w:szCs w:val="22"/>
              </w:rPr>
              <w:t xml:space="preserve"> (NPDES)</w:t>
            </w:r>
            <w:r w:rsidRPr="004D5D5F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DA0B39" w:rsidRPr="004D5D5F">
              <w:rPr>
                <w:rStyle w:val="Strong"/>
                <w:b w:val="0"/>
                <w:sz w:val="22"/>
                <w:szCs w:val="22"/>
              </w:rPr>
              <w:t xml:space="preserve">in two main program areas: </w:t>
            </w:r>
            <w:r w:rsidR="00E30E05" w:rsidRPr="004D5D5F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DA0B39" w:rsidRPr="004D5D5F">
              <w:rPr>
                <w:rStyle w:val="Strong"/>
                <w:b w:val="0"/>
                <w:sz w:val="22"/>
                <w:szCs w:val="22"/>
              </w:rPr>
              <w:t xml:space="preserve">Phase I and II Municipal Separate Storm Sewer Systems (MS4s) and Industrial; </w:t>
            </w:r>
            <w:r w:rsidR="00EE1C0F" w:rsidRPr="004D5D5F">
              <w:rPr>
                <w:rStyle w:val="Strong"/>
                <w:b w:val="0"/>
                <w:sz w:val="22"/>
                <w:szCs w:val="22"/>
              </w:rPr>
              <w:t>C</w:t>
            </w:r>
            <w:r w:rsidR="00DA0B39" w:rsidRPr="004D5D5F">
              <w:rPr>
                <w:rStyle w:val="Strong"/>
                <w:b w:val="0"/>
                <w:sz w:val="22"/>
                <w:szCs w:val="22"/>
              </w:rPr>
              <w:t xml:space="preserve">onstruction is a major </w:t>
            </w:r>
            <w:r w:rsidR="007E5129" w:rsidRPr="004D5D5F">
              <w:rPr>
                <w:rStyle w:val="Strong"/>
                <w:b w:val="0"/>
                <w:sz w:val="22"/>
                <w:szCs w:val="22"/>
              </w:rPr>
              <w:t>I</w:t>
            </w:r>
            <w:r w:rsidR="00DA0B39" w:rsidRPr="004D5D5F">
              <w:rPr>
                <w:rStyle w:val="Strong"/>
                <w:b w:val="0"/>
                <w:sz w:val="22"/>
                <w:szCs w:val="22"/>
              </w:rPr>
              <w:t>ndustr</w:t>
            </w:r>
            <w:r w:rsidR="007E5129" w:rsidRPr="004D5D5F">
              <w:rPr>
                <w:rStyle w:val="Strong"/>
                <w:b w:val="0"/>
                <w:sz w:val="22"/>
                <w:szCs w:val="22"/>
              </w:rPr>
              <w:t>ial</w:t>
            </w:r>
            <w:r w:rsidR="00DA0B39" w:rsidRPr="004D5D5F">
              <w:rPr>
                <w:rStyle w:val="Strong"/>
                <w:b w:val="0"/>
                <w:sz w:val="22"/>
                <w:szCs w:val="22"/>
              </w:rPr>
              <w:t xml:space="preserve"> category</w:t>
            </w:r>
            <w:r w:rsidR="00E31BB4">
              <w:rPr>
                <w:rStyle w:val="Strong"/>
                <w:b w:val="0"/>
                <w:sz w:val="22"/>
                <w:szCs w:val="22"/>
              </w:rPr>
              <w:t>, among other heavy and light industries</w:t>
            </w:r>
            <w:r w:rsidRPr="004D5D5F">
              <w:rPr>
                <w:rStyle w:val="Strong"/>
                <w:b w:val="0"/>
                <w:sz w:val="22"/>
                <w:szCs w:val="22"/>
              </w:rPr>
              <w:t>.</w:t>
            </w:r>
            <w:r w:rsidR="00DA0B39" w:rsidRPr="004D5D5F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Pr="004D5D5F">
              <w:rPr>
                <w:rStyle w:val="Strong"/>
                <w:b w:val="0"/>
                <w:sz w:val="22"/>
                <w:szCs w:val="22"/>
              </w:rPr>
              <w:t xml:space="preserve">A general permit approach is </w:t>
            </w:r>
            <w:r w:rsidR="00602202" w:rsidRPr="004D5D5F">
              <w:rPr>
                <w:rStyle w:val="Strong"/>
                <w:b w:val="0"/>
                <w:sz w:val="22"/>
                <w:szCs w:val="22"/>
              </w:rPr>
              <w:t>used</w:t>
            </w:r>
            <w:r w:rsidRPr="004D5D5F">
              <w:rPr>
                <w:rStyle w:val="Strong"/>
                <w:b w:val="0"/>
                <w:sz w:val="22"/>
                <w:szCs w:val="22"/>
              </w:rPr>
              <w:t xml:space="preserve"> to </w:t>
            </w:r>
            <w:r w:rsidR="001C2323" w:rsidRPr="004D5D5F">
              <w:rPr>
                <w:rStyle w:val="Strong"/>
                <w:b w:val="0"/>
                <w:sz w:val="22"/>
                <w:szCs w:val="22"/>
              </w:rPr>
              <w:t>reduce</w:t>
            </w:r>
            <w:r w:rsidRPr="004D5D5F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EF2113" w:rsidRPr="004D5D5F">
              <w:rPr>
                <w:rStyle w:val="Strong"/>
                <w:b w:val="0"/>
                <w:sz w:val="22"/>
                <w:szCs w:val="22"/>
              </w:rPr>
              <w:t>pollutants</w:t>
            </w:r>
            <w:r w:rsidRPr="004D5D5F">
              <w:rPr>
                <w:rStyle w:val="Strong"/>
                <w:b w:val="0"/>
                <w:sz w:val="22"/>
                <w:szCs w:val="22"/>
              </w:rPr>
              <w:t xml:space="preserve"> from reaching surface waters by </w:t>
            </w:r>
            <w:r w:rsidR="00602202" w:rsidRPr="004D5D5F">
              <w:rPr>
                <w:rStyle w:val="Strong"/>
                <w:b w:val="0"/>
                <w:sz w:val="22"/>
                <w:szCs w:val="22"/>
              </w:rPr>
              <w:t>requiring</w:t>
            </w:r>
            <w:r w:rsidRPr="004D5D5F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DA0B39" w:rsidRPr="004D5D5F">
              <w:rPr>
                <w:rStyle w:val="Strong"/>
                <w:b w:val="0"/>
                <w:sz w:val="22"/>
                <w:szCs w:val="22"/>
              </w:rPr>
              <w:t>specified control measures</w:t>
            </w:r>
            <w:r w:rsidR="00A93501" w:rsidRPr="004D5D5F">
              <w:rPr>
                <w:rStyle w:val="Strong"/>
                <w:b w:val="0"/>
                <w:sz w:val="22"/>
                <w:szCs w:val="22"/>
              </w:rPr>
              <w:t xml:space="preserve"> for:</w:t>
            </w:r>
          </w:p>
          <w:p w:rsidR="003D18F2" w:rsidRPr="004D5D5F" w:rsidRDefault="00196039" w:rsidP="00697963">
            <w:pPr>
              <w:pStyle w:val="ListParagraph"/>
              <w:numPr>
                <w:ilvl w:val="0"/>
                <w:numId w:val="5"/>
              </w:numPr>
              <w:spacing w:before="120"/>
              <w:ind w:left="371"/>
              <w:rPr>
                <w:rStyle w:val="Strong"/>
                <w:sz w:val="22"/>
                <w:szCs w:val="22"/>
              </w:rPr>
            </w:pPr>
            <w:r w:rsidRPr="004D5D5F">
              <w:rPr>
                <w:rStyle w:val="Strong"/>
                <w:b w:val="0"/>
                <w:sz w:val="22"/>
                <w:szCs w:val="22"/>
              </w:rPr>
              <w:t>P</w:t>
            </w:r>
            <w:r w:rsidR="00DA0B39" w:rsidRPr="004D5D5F">
              <w:rPr>
                <w:rStyle w:val="Strong"/>
                <w:b w:val="0"/>
                <w:sz w:val="22"/>
                <w:szCs w:val="22"/>
              </w:rPr>
              <w:t>ollutants in storm water and non-storm water</w:t>
            </w:r>
            <w:r w:rsidR="007E5129" w:rsidRPr="004D5D5F">
              <w:rPr>
                <w:rStyle w:val="Strong"/>
                <w:b w:val="0"/>
                <w:sz w:val="22"/>
                <w:szCs w:val="22"/>
              </w:rPr>
              <w:t>, including sediment</w:t>
            </w:r>
          </w:p>
          <w:p w:rsidR="00602202" w:rsidRPr="004D5D5F" w:rsidRDefault="00602202" w:rsidP="00697963">
            <w:pPr>
              <w:pStyle w:val="ListParagraph"/>
              <w:numPr>
                <w:ilvl w:val="0"/>
                <w:numId w:val="5"/>
              </w:numPr>
              <w:ind w:left="371"/>
              <w:rPr>
                <w:rStyle w:val="Strong"/>
                <w:sz w:val="22"/>
                <w:szCs w:val="22"/>
              </w:rPr>
            </w:pPr>
            <w:r w:rsidRPr="004D5D5F">
              <w:rPr>
                <w:rStyle w:val="Strong"/>
                <w:b w:val="0"/>
                <w:sz w:val="22"/>
                <w:szCs w:val="22"/>
              </w:rPr>
              <w:t>Preventing exposure of pollutant sources to storm water</w:t>
            </w:r>
          </w:p>
          <w:p w:rsidR="003D18F2" w:rsidRPr="004D5D5F" w:rsidRDefault="00602202" w:rsidP="00697963">
            <w:pPr>
              <w:pStyle w:val="ListParagraph"/>
              <w:numPr>
                <w:ilvl w:val="0"/>
                <w:numId w:val="5"/>
              </w:numPr>
              <w:ind w:left="371"/>
              <w:rPr>
                <w:rStyle w:val="Strong"/>
                <w:sz w:val="22"/>
                <w:szCs w:val="22"/>
              </w:rPr>
            </w:pPr>
            <w:r w:rsidRPr="004D5D5F">
              <w:rPr>
                <w:rStyle w:val="Strong"/>
                <w:b w:val="0"/>
                <w:sz w:val="22"/>
                <w:szCs w:val="22"/>
              </w:rPr>
              <w:t>Preventing al</w:t>
            </w:r>
            <w:r w:rsidR="003D18F2" w:rsidRPr="004D5D5F">
              <w:rPr>
                <w:rStyle w:val="Strong"/>
                <w:b w:val="0"/>
                <w:sz w:val="22"/>
                <w:szCs w:val="22"/>
              </w:rPr>
              <w:t>teration</w:t>
            </w:r>
            <w:r w:rsidR="00DA0B39" w:rsidRPr="004D5D5F">
              <w:rPr>
                <w:rStyle w:val="Strong"/>
                <w:b w:val="0"/>
                <w:sz w:val="22"/>
                <w:szCs w:val="22"/>
              </w:rPr>
              <w:t>s</w:t>
            </w:r>
            <w:r w:rsidR="003D18F2" w:rsidRPr="004D5D5F">
              <w:rPr>
                <w:rStyle w:val="Strong"/>
                <w:b w:val="0"/>
                <w:sz w:val="22"/>
                <w:szCs w:val="22"/>
              </w:rPr>
              <w:t xml:space="preserve"> to hydrology </w:t>
            </w:r>
            <w:r w:rsidR="007E5129" w:rsidRPr="004D5D5F">
              <w:rPr>
                <w:rStyle w:val="Strong"/>
                <w:b w:val="0"/>
                <w:sz w:val="22"/>
                <w:szCs w:val="22"/>
              </w:rPr>
              <w:t xml:space="preserve">affecting </w:t>
            </w:r>
            <w:r w:rsidR="003D18F2" w:rsidRPr="004D5D5F">
              <w:rPr>
                <w:rStyle w:val="Strong"/>
                <w:b w:val="0"/>
                <w:sz w:val="22"/>
                <w:szCs w:val="22"/>
              </w:rPr>
              <w:t>sediment loads in local waters</w:t>
            </w:r>
          </w:p>
          <w:p w:rsidR="00F524AD" w:rsidRPr="004D5D5F" w:rsidRDefault="00196039" w:rsidP="00697963">
            <w:pPr>
              <w:pStyle w:val="ListParagraph"/>
              <w:numPr>
                <w:ilvl w:val="0"/>
                <w:numId w:val="5"/>
              </w:numPr>
              <w:tabs>
                <w:tab w:val="left" w:pos="1800"/>
              </w:tabs>
              <w:spacing w:before="120" w:after="240"/>
              <w:ind w:left="371"/>
              <w:rPr>
                <w:rStyle w:val="Strong"/>
                <w:b w:val="0"/>
                <w:sz w:val="22"/>
                <w:szCs w:val="22"/>
              </w:rPr>
            </w:pPr>
            <w:r w:rsidRPr="004D5D5F">
              <w:rPr>
                <w:rStyle w:val="Strong"/>
                <w:b w:val="0"/>
                <w:sz w:val="22"/>
                <w:szCs w:val="22"/>
              </w:rPr>
              <w:t>P</w:t>
            </w:r>
            <w:r w:rsidR="00B40F89" w:rsidRPr="004D5D5F">
              <w:rPr>
                <w:rStyle w:val="Strong"/>
                <w:b w:val="0"/>
                <w:sz w:val="22"/>
                <w:szCs w:val="22"/>
              </w:rPr>
              <w:t>ollutant</w:t>
            </w:r>
            <w:r w:rsidR="00EE1C0F" w:rsidRPr="004D5D5F">
              <w:rPr>
                <w:rStyle w:val="Strong"/>
                <w:b w:val="0"/>
                <w:sz w:val="22"/>
                <w:szCs w:val="22"/>
              </w:rPr>
              <w:t>s in</w:t>
            </w:r>
            <w:r w:rsidR="003D18F2" w:rsidRPr="004D5D5F">
              <w:rPr>
                <w:rStyle w:val="Strong"/>
                <w:b w:val="0"/>
                <w:sz w:val="22"/>
                <w:szCs w:val="22"/>
              </w:rPr>
              <w:t xml:space="preserve"> discharges</w:t>
            </w:r>
            <w:r w:rsidR="007E5129" w:rsidRPr="004D5D5F">
              <w:rPr>
                <w:rStyle w:val="Strong"/>
                <w:b w:val="0"/>
                <w:sz w:val="22"/>
                <w:szCs w:val="22"/>
              </w:rPr>
              <w:t xml:space="preserve"> from construction and roadway</w:t>
            </w:r>
            <w:r w:rsidR="007F018C" w:rsidRPr="004D5D5F">
              <w:rPr>
                <w:rStyle w:val="Strong"/>
                <w:b w:val="0"/>
                <w:sz w:val="22"/>
                <w:szCs w:val="22"/>
              </w:rPr>
              <w:t>s/</w:t>
            </w:r>
            <w:r w:rsidR="007E5129" w:rsidRPr="004D5D5F">
              <w:rPr>
                <w:rStyle w:val="Strong"/>
                <w:b w:val="0"/>
                <w:sz w:val="22"/>
                <w:szCs w:val="22"/>
              </w:rPr>
              <w:t>operations</w:t>
            </w:r>
          </w:p>
          <w:p w:rsidR="00E30E05" w:rsidRPr="004D5D5F" w:rsidRDefault="007E5129" w:rsidP="007745F2">
            <w:pPr>
              <w:tabs>
                <w:tab w:val="left" w:pos="1800"/>
              </w:tabs>
              <w:rPr>
                <w:rStyle w:val="Strong"/>
                <w:b w:val="0"/>
                <w:sz w:val="22"/>
                <w:szCs w:val="22"/>
              </w:rPr>
            </w:pPr>
            <w:proofErr w:type="gramStart"/>
            <w:r w:rsidRPr="004D5D5F">
              <w:rPr>
                <w:rStyle w:val="Strong"/>
                <w:sz w:val="22"/>
                <w:szCs w:val="22"/>
              </w:rPr>
              <w:t>Phase</w:t>
            </w:r>
            <w:proofErr w:type="gramEnd"/>
            <w:r w:rsidRPr="004D5D5F">
              <w:rPr>
                <w:rStyle w:val="Strong"/>
                <w:sz w:val="22"/>
                <w:szCs w:val="22"/>
              </w:rPr>
              <w:t xml:space="preserve"> I MS4s</w:t>
            </w:r>
            <w:r w:rsidR="00E30E05" w:rsidRPr="004D5D5F">
              <w:rPr>
                <w:rStyle w:val="Strong"/>
                <w:b w:val="0"/>
                <w:sz w:val="22"/>
                <w:szCs w:val="22"/>
              </w:rPr>
              <w:t>: Four</w:t>
            </w:r>
            <w:r w:rsidRPr="004D5D5F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602202" w:rsidRPr="004D5D5F">
              <w:rPr>
                <w:rStyle w:val="Strong"/>
                <w:b w:val="0"/>
                <w:sz w:val="22"/>
                <w:szCs w:val="22"/>
              </w:rPr>
              <w:t xml:space="preserve">in the Lake Tahoe basin, including </w:t>
            </w:r>
            <w:r w:rsidRPr="004D5D5F">
              <w:rPr>
                <w:rStyle w:val="Strong"/>
                <w:b w:val="0"/>
                <w:sz w:val="22"/>
                <w:szCs w:val="22"/>
              </w:rPr>
              <w:t>Caltrans</w:t>
            </w:r>
            <w:r w:rsidR="00FB754F">
              <w:rPr>
                <w:rStyle w:val="Strong"/>
                <w:b w:val="0"/>
                <w:sz w:val="22"/>
                <w:szCs w:val="22"/>
              </w:rPr>
              <w:t xml:space="preserve"> (</w:t>
            </w:r>
            <w:r w:rsidR="00E31BB4">
              <w:rPr>
                <w:rStyle w:val="Strong"/>
                <w:b w:val="0"/>
                <w:sz w:val="22"/>
                <w:szCs w:val="22"/>
              </w:rPr>
              <w:t>a state-wide Phase I MS4</w:t>
            </w:r>
            <w:r w:rsidR="00FB754F">
              <w:rPr>
                <w:rStyle w:val="Strong"/>
                <w:b w:val="0"/>
                <w:sz w:val="22"/>
                <w:szCs w:val="22"/>
              </w:rPr>
              <w:t>)</w:t>
            </w:r>
            <w:r w:rsidRPr="004D5D5F">
              <w:rPr>
                <w:rStyle w:val="Strong"/>
                <w:b w:val="0"/>
                <w:sz w:val="22"/>
                <w:szCs w:val="22"/>
              </w:rPr>
              <w:t xml:space="preserve">. </w:t>
            </w:r>
            <w:r w:rsidR="00E30E05" w:rsidRPr="004D5D5F">
              <w:rPr>
                <w:rStyle w:val="Strong"/>
                <w:b w:val="0"/>
                <w:sz w:val="22"/>
                <w:szCs w:val="22"/>
              </w:rPr>
              <w:t xml:space="preserve"> </w:t>
            </w:r>
          </w:p>
          <w:p w:rsidR="00E30E05" w:rsidRPr="004D5D5F" w:rsidRDefault="007E5129" w:rsidP="00E30E05">
            <w:pPr>
              <w:tabs>
                <w:tab w:val="left" w:pos="1800"/>
              </w:tabs>
              <w:rPr>
                <w:rStyle w:val="Strong"/>
                <w:b w:val="0"/>
                <w:sz w:val="22"/>
                <w:szCs w:val="22"/>
              </w:rPr>
            </w:pPr>
            <w:r w:rsidRPr="004D5D5F">
              <w:rPr>
                <w:rStyle w:val="Strong"/>
                <w:sz w:val="22"/>
                <w:szCs w:val="22"/>
              </w:rPr>
              <w:t xml:space="preserve">Phase II </w:t>
            </w:r>
            <w:r w:rsidR="00E47FD1" w:rsidRPr="004D5D5F">
              <w:rPr>
                <w:rStyle w:val="Strong"/>
                <w:sz w:val="22"/>
                <w:szCs w:val="22"/>
              </w:rPr>
              <w:t xml:space="preserve">(Small) </w:t>
            </w:r>
            <w:r w:rsidRPr="004D5D5F">
              <w:rPr>
                <w:rStyle w:val="Strong"/>
                <w:sz w:val="22"/>
                <w:szCs w:val="22"/>
              </w:rPr>
              <w:t>MS4s</w:t>
            </w:r>
            <w:r w:rsidR="00C139DA" w:rsidRPr="004D5D5F">
              <w:rPr>
                <w:rStyle w:val="Strong"/>
                <w:b w:val="0"/>
                <w:sz w:val="22"/>
                <w:szCs w:val="22"/>
              </w:rPr>
              <w:t>: Placer County,</w:t>
            </w:r>
            <w:r w:rsidR="007C31A0" w:rsidRPr="004D5D5F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6A2F88">
              <w:rPr>
                <w:rStyle w:val="Strong"/>
                <w:b w:val="0"/>
                <w:sz w:val="22"/>
                <w:szCs w:val="22"/>
              </w:rPr>
              <w:t xml:space="preserve">Town of </w:t>
            </w:r>
            <w:r w:rsidR="00C139DA" w:rsidRPr="004D5D5F">
              <w:rPr>
                <w:rStyle w:val="Strong"/>
                <w:b w:val="0"/>
                <w:sz w:val="22"/>
                <w:szCs w:val="22"/>
              </w:rPr>
              <w:t>Truckee</w:t>
            </w:r>
            <w:r w:rsidR="00602202" w:rsidRPr="004D5D5F">
              <w:rPr>
                <w:rStyle w:val="Strong"/>
                <w:b w:val="0"/>
                <w:sz w:val="22"/>
                <w:szCs w:val="22"/>
              </w:rPr>
              <w:t xml:space="preserve">, </w:t>
            </w:r>
            <w:r w:rsidRPr="004D5D5F">
              <w:rPr>
                <w:rStyle w:val="Strong"/>
                <w:b w:val="0"/>
                <w:sz w:val="22"/>
                <w:szCs w:val="22"/>
              </w:rPr>
              <w:t xml:space="preserve">and </w:t>
            </w:r>
            <w:r w:rsidR="00602202" w:rsidRPr="004D5D5F">
              <w:rPr>
                <w:rStyle w:val="Strong"/>
                <w:b w:val="0"/>
                <w:sz w:val="22"/>
                <w:szCs w:val="22"/>
              </w:rPr>
              <w:t xml:space="preserve">in the </w:t>
            </w:r>
            <w:r w:rsidRPr="004D5D5F">
              <w:rPr>
                <w:rStyle w:val="Strong"/>
                <w:b w:val="0"/>
                <w:sz w:val="22"/>
                <w:szCs w:val="22"/>
              </w:rPr>
              <w:t xml:space="preserve">Mojave River </w:t>
            </w:r>
            <w:r w:rsidR="00602202" w:rsidRPr="004D5D5F">
              <w:rPr>
                <w:rStyle w:val="Strong"/>
                <w:b w:val="0"/>
                <w:sz w:val="22"/>
                <w:szCs w:val="22"/>
              </w:rPr>
              <w:t>basin</w:t>
            </w:r>
            <w:r w:rsidR="002271E0" w:rsidRPr="004D5D5F">
              <w:rPr>
                <w:rStyle w:val="Strong"/>
                <w:b w:val="0"/>
                <w:sz w:val="22"/>
                <w:szCs w:val="22"/>
              </w:rPr>
              <w:t xml:space="preserve">: Adelanto, Apple Valley, Barstow, Hesperia and portions of San Bernardino County (Spring Valley Lake, Mountain View Acres, </w:t>
            </w:r>
            <w:r w:rsidR="003C3357" w:rsidRPr="004D5D5F">
              <w:rPr>
                <w:rStyle w:val="Strong"/>
                <w:b w:val="0"/>
                <w:sz w:val="22"/>
                <w:szCs w:val="22"/>
              </w:rPr>
              <w:t>Oak Hills and Phelan)</w:t>
            </w:r>
            <w:r w:rsidR="006A2F88">
              <w:rPr>
                <w:rStyle w:val="Strong"/>
                <w:b w:val="0"/>
                <w:sz w:val="22"/>
                <w:szCs w:val="22"/>
              </w:rPr>
              <w:t>. N</w:t>
            </w:r>
            <w:r w:rsidR="00364E3B" w:rsidRPr="00364E3B">
              <w:rPr>
                <w:rFonts w:cs="Arial"/>
                <w:sz w:val="22"/>
                <w:szCs w:val="22"/>
                <w:lang w:val="en"/>
              </w:rPr>
              <w:t>on-traditional Small MS4s</w:t>
            </w:r>
            <w:r w:rsidR="006A2F88">
              <w:rPr>
                <w:rFonts w:cs="Arial"/>
                <w:sz w:val="22"/>
                <w:szCs w:val="22"/>
                <w:lang w:val="en"/>
              </w:rPr>
              <w:t xml:space="preserve"> are also regulated and</w:t>
            </w:r>
            <w:r w:rsidR="00364E3B" w:rsidRPr="00364E3B">
              <w:rPr>
                <w:rFonts w:cs="Arial"/>
                <w:sz w:val="22"/>
                <w:szCs w:val="22"/>
                <w:lang w:val="en"/>
              </w:rPr>
              <w:t xml:space="preserve"> include facilities such as military bases, public campuses,</w:t>
            </w:r>
            <w:r w:rsidR="005A77BD">
              <w:rPr>
                <w:rFonts w:cs="Arial"/>
                <w:sz w:val="22"/>
                <w:szCs w:val="22"/>
                <w:lang w:val="en"/>
              </w:rPr>
              <w:t xml:space="preserve"> </w:t>
            </w:r>
            <w:r w:rsidR="00364E3B" w:rsidRPr="00364E3B">
              <w:rPr>
                <w:rFonts w:cs="Arial"/>
                <w:sz w:val="22"/>
                <w:szCs w:val="22"/>
                <w:lang w:val="en"/>
              </w:rPr>
              <w:t>prison</w:t>
            </w:r>
            <w:r w:rsidR="005A77BD">
              <w:rPr>
                <w:rFonts w:cs="Arial"/>
                <w:sz w:val="22"/>
                <w:szCs w:val="22"/>
                <w:lang w:val="en"/>
              </w:rPr>
              <w:t>s</w:t>
            </w:r>
            <w:r w:rsidR="00364E3B" w:rsidRPr="00364E3B">
              <w:rPr>
                <w:rFonts w:cs="Arial"/>
                <w:sz w:val="22"/>
                <w:szCs w:val="22"/>
                <w:lang w:val="en"/>
              </w:rPr>
              <w:t xml:space="preserve"> and hospital complexes.</w:t>
            </w:r>
          </w:p>
          <w:p w:rsidR="00E30E05" w:rsidRPr="004D5D5F" w:rsidRDefault="007E5129" w:rsidP="00E30E05">
            <w:pPr>
              <w:tabs>
                <w:tab w:val="left" w:pos="1800"/>
              </w:tabs>
              <w:rPr>
                <w:rStyle w:val="Strong"/>
                <w:b w:val="0"/>
                <w:sz w:val="22"/>
                <w:szCs w:val="22"/>
              </w:rPr>
            </w:pPr>
            <w:r w:rsidRPr="004D5D5F">
              <w:rPr>
                <w:rStyle w:val="Strong"/>
                <w:sz w:val="22"/>
                <w:szCs w:val="22"/>
              </w:rPr>
              <w:t xml:space="preserve">Industrial </w:t>
            </w:r>
            <w:r w:rsidR="00481D50" w:rsidRPr="004D5D5F">
              <w:rPr>
                <w:rStyle w:val="Strong"/>
                <w:sz w:val="22"/>
                <w:szCs w:val="22"/>
              </w:rPr>
              <w:t>and C</w:t>
            </w:r>
            <w:r w:rsidR="007F018C" w:rsidRPr="004D5D5F">
              <w:rPr>
                <w:rStyle w:val="Strong"/>
                <w:sz w:val="22"/>
                <w:szCs w:val="22"/>
              </w:rPr>
              <w:t>onstruction</w:t>
            </w:r>
            <w:r w:rsidR="00E30E05" w:rsidRPr="004D5D5F">
              <w:rPr>
                <w:rStyle w:val="Strong"/>
                <w:b w:val="0"/>
                <w:sz w:val="22"/>
                <w:szCs w:val="22"/>
              </w:rPr>
              <w:t xml:space="preserve">:  </w:t>
            </w:r>
            <w:r w:rsidR="004216A3">
              <w:rPr>
                <w:rStyle w:val="Strong"/>
                <w:b w:val="0"/>
                <w:sz w:val="22"/>
                <w:szCs w:val="22"/>
              </w:rPr>
              <w:t xml:space="preserve">In 2017, </w:t>
            </w:r>
            <w:r w:rsidR="00D06DCA" w:rsidRPr="004D5D5F">
              <w:rPr>
                <w:rStyle w:val="Strong"/>
                <w:b w:val="0"/>
                <w:sz w:val="22"/>
                <w:szCs w:val="22"/>
              </w:rPr>
              <w:t>2</w:t>
            </w:r>
            <w:r w:rsidR="005A77BD">
              <w:rPr>
                <w:rStyle w:val="Strong"/>
                <w:b w:val="0"/>
                <w:sz w:val="22"/>
                <w:szCs w:val="22"/>
              </w:rPr>
              <w:t>56</w:t>
            </w:r>
            <w:r w:rsidR="00D06DCA" w:rsidRPr="004D5D5F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7C31A0" w:rsidRPr="004D5D5F">
              <w:rPr>
                <w:rStyle w:val="Strong"/>
                <w:b w:val="0"/>
                <w:sz w:val="22"/>
                <w:szCs w:val="22"/>
              </w:rPr>
              <w:t xml:space="preserve">industrial </w:t>
            </w:r>
            <w:r w:rsidR="001815F6" w:rsidRPr="004D5D5F">
              <w:rPr>
                <w:rStyle w:val="Strong"/>
                <w:b w:val="0"/>
                <w:sz w:val="22"/>
                <w:szCs w:val="22"/>
              </w:rPr>
              <w:t xml:space="preserve">sites </w:t>
            </w:r>
            <w:r w:rsidR="00D06DCA" w:rsidRPr="004D5D5F">
              <w:rPr>
                <w:rStyle w:val="Strong"/>
                <w:b w:val="0"/>
                <w:sz w:val="22"/>
                <w:szCs w:val="22"/>
              </w:rPr>
              <w:t xml:space="preserve">and </w:t>
            </w:r>
            <w:r w:rsidR="001815F6" w:rsidRPr="004D5D5F">
              <w:rPr>
                <w:rStyle w:val="Strong"/>
                <w:b w:val="0"/>
                <w:sz w:val="22"/>
                <w:szCs w:val="22"/>
              </w:rPr>
              <w:t>approximately</w:t>
            </w:r>
            <w:r w:rsidR="00CF7C6A" w:rsidRPr="004D5D5F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4216A3">
              <w:rPr>
                <w:rStyle w:val="Strong"/>
                <w:b w:val="0"/>
                <w:sz w:val="22"/>
                <w:szCs w:val="22"/>
              </w:rPr>
              <w:t>392</w:t>
            </w:r>
            <w:r w:rsidR="007C31A0" w:rsidRPr="004D5D5F">
              <w:rPr>
                <w:rStyle w:val="Strong"/>
                <w:b w:val="0"/>
                <w:sz w:val="22"/>
                <w:szCs w:val="22"/>
              </w:rPr>
              <w:t xml:space="preserve"> construction sites</w:t>
            </w:r>
            <w:r w:rsidR="001815F6" w:rsidRPr="004D5D5F">
              <w:rPr>
                <w:rStyle w:val="Strong"/>
                <w:b w:val="0"/>
                <w:sz w:val="22"/>
                <w:szCs w:val="22"/>
              </w:rPr>
              <w:t>.</w:t>
            </w:r>
            <w:r w:rsidR="00D06DCA" w:rsidRPr="004D5D5F">
              <w:rPr>
                <w:rStyle w:val="Strong"/>
                <w:b w:val="0"/>
                <w:sz w:val="22"/>
                <w:szCs w:val="22"/>
              </w:rPr>
              <w:t xml:space="preserve"> </w:t>
            </w:r>
          </w:p>
          <w:p w:rsidR="007E5129" w:rsidRPr="00C139DA" w:rsidRDefault="001C2323" w:rsidP="00547C5C">
            <w:pPr>
              <w:tabs>
                <w:tab w:val="left" w:pos="1800"/>
              </w:tabs>
              <w:rPr>
                <w:rStyle w:val="Strong"/>
                <w:b w:val="0"/>
                <w:sz w:val="23"/>
                <w:szCs w:val="23"/>
              </w:rPr>
            </w:pPr>
            <w:r w:rsidRPr="004D5D5F">
              <w:rPr>
                <w:rStyle w:val="Strong"/>
                <w:b w:val="0"/>
                <w:sz w:val="22"/>
                <w:szCs w:val="22"/>
              </w:rPr>
              <w:t>Approx</w:t>
            </w:r>
            <w:r w:rsidR="00F75F02" w:rsidRPr="004D5D5F">
              <w:rPr>
                <w:rStyle w:val="Strong"/>
                <w:b w:val="0"/>
                <w:sz w:val="22"/>
                <w:szCs w:val="22"/>
              </w:rPr>
              <w:t xml:space="preserve">imately </w:t>
            </w:r>
            <w:r w:rsidR="00E31BB4">
              <w:rPr>
                <w:rStyle w:val="Strong"/>
                <w:b w:val="0"/>
                <w:sz w:val="22"/>
                <w:szCs w:val="22"/>
              </w:rPr>
              <w:t>2</w:t>
            </w:r>
            <w:r w:rsidR="00FF72F5" w:rsidRPr="004D5D5F">
              <w:rPr>
                <w:rStyle w:val="Strong"/>
                <w:b w:val="0"/>
                <w:sz w:val="22"/>
                <w:szCs w:val="22"/>
              </w:rPr>
              <w:t xml:space="preserve">.5 </w:t>
            </w:r>
            <w:r w:rsidR="00547C5C">
              <w:rPr>
                <w:rStyle w:val="Strong"/>
                <w:b w:val="0"/>
                <w:sz w:val="22"/>
                <w:szCs w:val="22"/>
              </w:rPr>
              <w:t>PYs</w:t>
            </w:r>
            <w:r w:rsidRPr="004D5D5F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FF72F5" w:rsidRPr="004D5D5F">
              <w:rPr>
                <w:rStyle w:val="Strong"/>
                <w:b w:val="0"/>
                <w:sz w:val="22"/>
                <w:szCs w:val="22"/>
              </w:rPr>
              <w:t>funded</w:t>
            </w:r>
            <w:r w:rsidR="007F018C" w:rsidRPr="004D5D5F">
              <w:rPr>
                <w:rStyle w:val="Strong"/>
                <w:b w:val="0"/>
                <w:sz w:val="22"/>
                <w:szCs w:val="22"/>
              </w:rPr>
              <w:t xml:space="preserve">, including Lake Tahoe MS4 </w:t>
            </w:r>
            <w:r w:rsidR="00F75F02" w:rsidRPr="004D5D5F">
              <w:rPr>
                <w:rStyle w:val="Strong"/>
                <w:b w:val="0"/>
                <w:sz w:val="22"/>
                <w:szCs w:val="22"/>
              </w:rPr>
              <w:t xml:space="preserve">and </w:t>
            </w:r>
            <w:r w:rsidR="00B43CB9" w:rsidRPr="004D5D5F">
              <w:rPr>
                <w:rStyle w:val="Strong"/>
                <w:b w:val="0"/>
                <w:sz w:val="22"/>
                <w:szCs w:val="22"/>
              </w:rPr>
              <w:t xml:space="preserve">TMDL </w:t>
            </w:r>
            <w:r w:rsidR="007C31A0" w:rsidRPr="004D5D5F">
              <w:rPr>
                <w:rStyle w:val="Strong"/>
                <w:b w:val="0"/>
                <w:sz w:val="22"/>
                <w:szCs w:val="22"/>
              </w:rPr>
              <w:t>funding</w:t>
            </w:r>
            <w:r w:rsidRPr="004D5D5F">
              <w:rPr>
                <w:rStyle w:val="Strong"/>
                <w:b w:val="0"/>
                <w:sz w:val="22"/>
                <w:szCs w:val="22"/>
              </w:rPr>
              <w:t>.</w:t>
            </w:r>
          </w:p>
        </w:tc>
      </w:tr>
      <w:tr w:rsidR="00D22E6D" w:rsidTr="00F014BC">
        <w:trPr>
          <w:jc w:val="center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D22E6D" w:rsidRPr="00E11A4B" w:rsidRDefault="00D22E6D" w:rsidP="006E02DD">
            <w:pPr>
              <w:rPr>
                <w:rStyle w:val="Strong"/>
                <w:b w:val="0"/>
                <w:sz w:val="12"/>
                <w:szCs w:val="12"/>
              </w:rPr>
            </w:pPr>
          </w:p>
        </w:tc>
      </w:tr>
      <w:tr w:rsidR="00D22E6D" w:rsidTr="00F014BC">
        <w:trPr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18F2" w:rsidRPr="00F014BC" w:rsidRDefault="00FF72F5" w:rsidP="007745F2">
            <w:pPr>
              <w:tabs>
                <w:tab w:val="left" w:pos="1815"/>
              </w:tabs>
              <w:spacing w:after="120"/>
              <w:rPr>
                <w:rStyle w:val="Strong"/>
                <w:b w:val="0"/>
                <w:sz w:val="32"/>
                <w:szCs w:val="32"/>
              </w:rPr>
            </w:pPr>
            <w:r w:rsidRPr="00F014BC">
              <w:rPr>
                <w:rStyle w:val="Strong"/>
                <w:b w:val="0"/>
                <w:sz w:val="32"/>
                <w:szCs w:val="32"/>
              </w:rPr>
              <w:t>Key Efforts</w:t>
            </w:r>
          </w:p>
          <w:p w:rsidR="007F018C" w:rsidRPr="004D5D5F" w:rsidRDefault="00E47FD1" w:rsidP="007745F2">
            <w:pPr>
              <w:spacing w:after="120"/>
              <w:rPr>
                <w:rStyle w:val="Strong"/>
                <w:b w:val="0"/>
                <w:sz w:val="22"/>
                <w:szCs w:val="22"/>
              </w:rPr>
            </w:pPr>
            <w:r w:rsidRPr="004D5D5F">
              <w:rPr>
                <w:rStyle w:val="Strong"/>
                <w:b w:val="0"/>
                <w:sz w:val="22"/>
                <w:szCs w:val="22"/>
              </w:rPr>
              <w:t xml:space="preserve">Maintain effective programs </w:t>
            </w:r>
            <w:r w:rsidR="00E30E05" w:rsidRPr="004D5D5F">
              <w:rPr>
                <w:rStyle w:val="Strong"/>
                <w:b w:val="0"/>
                <w:sz w:val="22"/>
                <w:szCs w:val="22"/>
              </w:rPr>
              <w:t>across the Region</w:t>
            </w:r>
            <w:r w:rsidR="007C31A0" w:rsidRPr="004D5D5F">
              <w:rPr>
                <w:rStyle w:val="Strong"/>
                <w:b w:val="0"/>
                <w:sz w:val="22"/>
                <w:szCs w:val="22"/>
              </w:rPr>
              <w:t xml:space="preserve"> by</w:t>
            </w:r>
            <w:r w:rsidR="005A1B49" w:rsidRPr="004D5D5F">
              <w:rPr>
                <w:rStyle w:val="Strong"/>
                <w:b w:val="0"/>
                <w:sz w:val="22"/>
                <w:szCs w:val="22"/>
              </w:rPr>
              <w:t>:</w:t>
            </w:r>
          </w:p>
          <w:p w:rsidR="00833EEC" w:rsidRPr="004D5D5F" w:rsidRDefault="00833EEC" w:rsidP="003C7376">
            <w:pPr>
              <w:pStyle w:val="ListParagraph"/>
              <w:numPr>
                <w:ilvl w:val="0"/>
                <w:numId w:val="6"/>
              </w:numPr>
              <w:rPr>
                <w:rStyle w:val="Strong"/>
                <w:sz w:val="22"/>
                <w:szCs w:val="22"/>
              </w:rPr>
            </w:pPr>
            <w:r w:rsidRPr="004D5D5F">
              <w:rPr>
                <w:rStyle w:val="Strong"/>
                <w:b w:val="0"/>
                <w:sz w:val="22"/>
                <w:szCs w:val="22"/>
              </w:rPr>
              <w:t>Comment</w:t>
            </w:r>
            <w:r w:rsidR="00822F5D" w:rsidRPr="004D5D5F">
              <w:rPr>
                <w:rStyle w:val="Strong"/>
                <w:b w:val="0"/>
                <w:sz w:val="22"/>
                <w:szCs w:val="22"/>
              </w:rPr>
              <w:t>ing</w:t>
            </w:r>
            <w:r w:rsidRPr="004D5D5F">
              <w:rPr>
                <w:rStyle w:val="Strong"/>
                <w:b w:val="0"/>
                <w:sz w:val="22"/>
                <w:szCs w:val="22"/>
              </w:rPr>
              <w:t xml:space="preserve"> on environmental </w:t>
            </w:r>
            <w:r w:rsidR="00CE404A" w:rsidRPr="004D5D5F">
              <w:rPr>
                <w:rStyle w:val="Strong"/>
                <w:b w:val="0"/>
                <w:sz w:val="22"/>
                <w:szCs w:val="22"/>
              </w:rPr>
              <w:t xml:space="preserve">documents, advising </w:t>
            </w:r>
            <w:r w:rsidR="00AB2939">
              <w:rPr>
                <w:rStyle w:val="Strong"/>
                <w:b w:val="0"/>
                <w:sz w:val="22"/>
                <w:szCs w:val="22"/>
              </w:rPr>
              <w:t xml:space="preserve">permittees </w:t>
            </w:r>
            <w:r w:rsidR="00CE404A" w:rsidRPr="004D5D5F">
              <w:rPr>
                <w:rStyle w:val="Strong"/>
                <w:b w:val="0"/>
                <w:sz w:val="22"/>
                <w:szCs w:val="22"/>
              </w:rPr>
              <w:t xml:space="preserve">on </w:t>
            </w:r>
            <w:r w:rsidRPr="004D5D5F">
              <w:rPr>
                <w:rStyle w:val="Strong"/>
                <w:b w:val="0"/>
                <w:sz w:val="22"/>
                <w:szCs w:val="22"/>
              </w:rPr>
              <w:t>requirements</w:t>
            </w:r>
            <w:r w:rsidR="00CE404A" w:rsidRPr="004D5D5F">
              <w:rPr>
                <w:rStyle w:val="Strong"/>
                <w:b w:val="0"/>
                <w:sz w:val="22"/>
                <w:szCs w:val="22"/>
              </w:rPr>
              <w:t xml:space="preserve"> and</w:t>
            </w:r>
            <w:r w:rsidRPr="004D5D5F">
              <w:rPr>
                <w:rStyle w:val="Strong"/>
                <w:b w:val="0"/>
                <w:sz w:val="22"/>
                <w:szCs w:val="22"/>
              </w:rPr>
              <w:t xml:space="preserve"> storm water pollution </w:t>
            </w:r>
            <w:r w:rsidR="00CE404A" w:rsidRPr="004D5D5F">
              <w:rPr>
                <w:rStyle w:val="Strong"/>
                <w:b w:val="0"/>
                <w:sz w:val="22"/>
                <w:szCs w:val="22"/>
              </w:rPr>
              <w:t xml:space="preserve">prevention through </w:t>
            </w:r>
            <w:r w:rsidRPr="004D5D5F">
              <w:rPr>
                <w:rStyle w:val="Strong"/>
                <w:b w:val="0"/>
                <w:sz w:val="22"/>
                <w:szCs w:val="22"/>
              </w:rPr>
              <w:t>Low Impact Development</w:t>
            </w:r>
            <w:r w:rsidR="00CE404A" w:rsidRPr="004D5D5F">
              <w:rPr>
                <w:rStyle w:val="Strong"/>
                <w:b w:val="0"/>
                <w:sz w:val="22"/>
                <w:szCs w:val="22"/>
              </w:rPr>
              <w:t xml:space="preserve"> and similar</w:t>
            </w:r>
            <w:r w:rsidRPr="004D5D5F">
              <w:rPr>
                <w:rStyle w:val="Strong"/>
                <w:b w:val="0"/>
                <w:sz w:val="22"/>
                <w:szCs w:val="22"/>
              </w:rPr>
              <w:t xml:space="preserve"> methods. </w:t>
            </w:r>
          </w:p>
          <w:p w:rsidR="003D18F2" w:rsidRPr="004D5D5F" w:rsidRDefault="008B0938" w:rsidP="003C7376">
            <w:pPr>
              <w:pStyle w:val="ListParagraph"/>
              <w:numPr>
                <w:ilvl w:val="0"/>
                <w:numId w:val="6"/>
              </w:numPr>
              <w:rPr>
                <w:rStyle w:val="Strong"/>
                <w:sz w:val="22"/>
                <w:szCs w:val="22"/>
              </w:rPr>
            </w:pPr>
            <w:r w:rsidRPr="004D5D5F">
              <w:rPr>
                <w:rStyle w:val="Strong"/>
                <w:b w:val="0"/>
                <w:sz w:val="22"/>
                <w:szCs w:val="22"/>
              </w:rPr>
              <w:t xml:space="preserve">Conducting outreach and administering the permit database, </w:t>
            </w:r>
            <w:r w:rsidR="003D18F2" w:rsidRPr="004D5D5F">
              <w:rPr>
                <w:rStyle w:val="Strong"/>
                <w:b w:val="0"/>
                <w:sz w:val="22"/>
                <w:szCs w:val="22"/>
              </w:rPr>
              <w:t>review</w:t>
            </w:r>
            <w:r w:rsidR="00822F5D" w:rsidRPr="004D5D5F">
              <w:rPr>
                <w:rStyle w:val="Strong"/>
                <w:b w:val="0"/>
                <w:sz w:val="22"/>
                <w:szCs w:val="22"/>
              </w:rPr>
              <w:t>ing</w:t>
            </w:r>
            <w:r w:rsidR="003D18F2" w:rsidRPr="004D5D5F">
              <w:rPr>
                <w:rStyle w:val="Strong"/>
                <w:b w:val="0"/>
                <w:sz w:val="22"/>
                <w:szCs w:val="22"/>
              </w:rPr>
              <w:t xml:space="preserve"> monitoring reports</w:t>
            </w:r>
            <w:r w:rsidRPr="004D5D5F">
              <w:rPr>
                <w:rStyle w:val="Strong"/>
                <w:b w:val="0"/>
                <w:sz w:val="22"/>
                <w:szCs w:val="22"/>
              </w:rPr>
              <w:t xml:space="preserve"> and permit termination requests</w:t>
            </w:r>
            <w:r w:rsidR="003D18F2" w:rsidRPr="004D5D5F">
              <w:rPr>
                <w:rStyle w:val="Strong"/>
                <w:b w:val="0"/>
                <w:sz w:val="22"/>
                <w:szCs w:val="22"/>
              </w:rPr>
              <w:t>,</w:t>
            </w:r>
            <w:r w:rsidR="00C139DA" w:rsidRPr="004D5D5F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Pr="004D5D5F">
              <w:rPr>
                <w:rStyle w:val="Strong"/>
                <w:b w:val="0"/>
                <w:sz w:val="22"/>
                <w:szCs w:val="22"/>
              </w:rPr>
              <w:t xml:space="preserve">conducting inspections, </w:t>
            </w:r>
            <w:r w:rsidR="00C139DA" w:rsidRPr="004D5D5F">
              <w:rPr>
                <w:rStyle w:val="Strong"/>
                <w:b w:val="0"/>
                <w:sz w:val="22"/>
                <w:szCs w:val="22"/>
              </w:rPr>
              <w:t>and</w:t>
            </w:r>
            <w:r w:rsidR="003D18F2" w:rsidRPr="004D5D5F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822F5D" w:rsidRPr="004D5D5F">
              <w:rPr>
                <w:rStyle w:val="Strong"/>
                <w:b w:val="0"/>
                <w:sz w:val="22"/>
                <w:szCs w:val="22"/>
              </w:rPr>
              <w:t>enforc</w:t>
            </w:r>
            <w:r w:rsidR="00DE3265" w:rsidRPr="004D5D5F">
              <w:rPr>
                <w:rStyle w:val="Strong"/>
                <w:b w:val="0"/>
                <w:sz w:val="22"/>
                <w:szCs w:val="22"/>
              </w:rPr>
              <w:t>ing</w:t>
            </w:r>
            <w:r w:rsidR="00FF72F5" w:rsidRPr="004D5D5F">
              <w:rPr>
                <w:rStyle w:val="Strong"/>
                <w:b w:val="0"/>
                <w:sz w:val="22"/>
                <w:szCs w:val="22"/>
              </w:rPr>
              <w:t xml:space="preserve"> for reporting failures</w:t>
            </w:r>
            <w:r w:rsidR="003D18F2" w:rsidRPr="004D5D5F">
              <w:rPr>
                <w:rStyle w:val="Strong"/>
                <w:b w:val="0"/>
                <w:sz w:val="22"/>
                <w:szCs w:val="22"/>
              </w:rPr>
              <w:t xml:space="preserve">. </w:t>
            </w:r>
          </w:p>
          <w:p w:rsidR="003D18F2" w:rsidRPr="004D5D5F" w:rsidRDefault="005A1B49" w:rsidP="003D18F2">
            <w:pPr>
              <w:pStyle w:val="ListParagraph"/>
              <w:numPr>
                <w:ilvl w:val="0"/>
                <w:numId w:val="6"/>
              </w:numPr>
              <w:rPr>
                <w:rStyle w:val="Strong"/>
                <w:sz w:val="22"/>
                <w:szCs w:val="22"/>
              </w:rPr>
            </w:pPr>
            <w:r w:rsidRPr="004D5D5F">
              <w:rPr>
                <w:rStyle w:val="Strong"/>
                <w:b w:val="0"/>
                <w:sz w:val="22"/>
                <w:szCs w:val="22"/>
              </w:rPr>
              <w:t>W</w:t>
            </w:r>
            <w:r w:rsidR="003D18F2" w:rsidRPr="004D5D5F">
              <w:rPr>
                <w:rStyle w:val="Strong"/>
                <w:b w:val="0"/>
                <w:sz w:val="22"/>
                <w:szCs w:val="22"/>
              </w:rPr>
              <w:t>ork</w:t>
            </w:r>
            <w:r w:rsidR="007C31A0" w:rsidRPr="004D5D5F">
              <w:rPr>
                <w:rStyle w:val="Strong"/>
                <w:b w:val="0"/>
                <w:sz w:val="22"/>
                <w:szCs w:val="22"/>
              </w:rPr>
              <w:t>ing</w:t>
            </w:r>
            <w:r w:rsidR="003D18F2" w:rsidRPr="004D5D5F">
              <w:rPr>
                <w:rStyle w:val="Strong"/>
                <w:b w:val="0"/>
                <w:sz w:val="22"/>
                <w:szCs w:val="22"/>
              </w:rPr>
              <w:t xml:space="preserve"> with municipalities </w:t>
            </w:r>
            <w:r w:rsidR="00EE1C0F" w:rsidRPr="004D5D5F">
              <w:rPr>
                <w:rStyle w:val="Strong"/>
                <w:b w:val="0"/>
                <w:sz w:val="22"/>
                <w:szCs w:val="22"/>
              </w:rPr>
              <w:t>under</w:t>
            </w:r>
            <w:r w:rsidR="00DE3265" w:rsidRPr="004D5D5F">
              <w:rPr>
                <w:rStyle w:val="Strong"/>
                <w:b w:val="0"/>
                <w:sz w:val="22"/>
                <w:szCs w:val="22"/>
              </w:rPr>
              <w:t xml:space="preserve"> MS4 permits</w:t>
            </w:r>
            <w:r w:rsidRPr="004D5D5F">
              <w:rPr>
                <w:rStyle w:val="Strong"/>
                <w:b w:val="0"/>
                <w:sz w:val="22"/>
                <w:szCs w:val="22"/>
              </w:rPr>
              <w:t xml:space="preserve"> and </w:t>
            </w:r>
            <w:r w:rsidR="00AB2939">
              <w:rPr>
                <w:rStyle w:val="Strong"/>
                <w:b w:val="0"/>
                <w:sz w:val="22"/>
                <w:szCs w:val="22"/>
              </w:rPr>
              <w:t xml:space="preserve">reviewing </w:t>
            </w:r>
            <w:r w:rsidRPr="004D5D5F">
              <w:rPr>
                <w:rStyle w:val="Strong"/>
                <w:b w:val="0"/>
                <w:sz w:val="22"/>
                <w:szCs w:val="22"/>
              </w:rPr>
              <w:t>monitoring</w:t>
            </w:r>
            <w:r w:rsidR="00EE1C0F" w:rsidRPr="004D5D5F">
              <w:rPr>
                <w:rStyle w:val="Strong"/>
                <w:b w:val="0"/>
                <w:sz w:val="22"/>
                <w:szCs w:val="22"/>
              </w:rPr>
              <w:t>/reporting</w:t>
            </w:r>
            <w:r w:rsidRPr="004D5D5F">
              <w:rPr>
                <w:rStyle w:val="Strong"/>
                <w:b w:val="0"/>
                <w:sz w:val="22"/>
                <w:szCs w:val="22"/>
              </w:rPr>
              <w:t xml:space="preserve"> requirements</w:t>
            </w:r>
            <w:r w:rsidR="00AB2939">
              <w:rPr>
                <w:rStyle w:val="Strong"/>
                <w:b w:val="0"/>
                <w:sz w:val="22"/>
                <w:szCs w:val="22"/>
              </w:rPr>
              <w:t>, especially with regard to implementation of new statewide trash control requirements</w:t>
            </w:r>
            <w:r w:rsidR="003D18F2" w:rsidRPr="004D5D5F">
              <w:rPr>
                <w:rStyle w:val="Strong"/>
                <w:b w:val="0"/>
                <w:sz w:val="22"/>
                <w:szCs w:val="22"/>
              </w:rPr>
              <w:t xml:space="preserve">. </w:t>
            </w:r>
          </w:p>
          <w:p w:rsidR="00F524AD" w:rsidRPr="00AB2939" w:rsidRDefault="00AB2939" w:rsidP="00AB2939">
            <w:pPr>
              <w:pStyle w:val="ListParagraph"/>
              <w:numPr>
                <w:ilvl w:val="0"/>
                <w:numId w:val="6"/>
              </w:numPr>
              <w:rPr>
                <w:rStyle w:val="Strong"/>
              </w:rPr>
            </w:pPr>
            <w:r>
              <w:rPr>
                <w:rStyle w:val="Strong"/>
                <w:b w:val="0"/>
                <w:sz w:val="22"/>
                <w:szCs w:val="22"/>
              </w:rPr>
              <w:t>A</w:t>
            </w:r>
            <w:r w:rsidR="00EE1C0F" w:rsidRPr="004D5D5F">
              <w:rPr>
                <w:rStyle w:val="Strong"/>
                <w:b w:val="0"/>
                <w:sz w:val="22"/>
                <w:szCs w:val="22"/>
              </w:rPr>
              <w:t>ssisting State Water Board staff in permit development.</w:t>
            </w:r>
            <w:r w:rsidR="00432EA3" w:rsidRPr="004D5D5F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EE1C0F" w:rsidRPr="004D5D5F">
              <w:rPr>
                <w:rStyle w:val="Strong"/>
                <w:b w:val="0"/>
                <w:sz w:val="22"/>
                <w:szCs w:val="22"/>
              </w:rPr>
              <w:t>T</w:t>
            </w:r>
            <w:r>
              <w:rPr>
                <w:rStyle w:val="Strong"/>
                <w:b w:val="0"/>
                <w:sz w:val="22"/>
                <w:szCs w:val="22"/>
              </w:rPr>
              <w:t>he State Water Board is planning to reissue the state-wide Construction General Permit in 2018, which applies</w:t>
            </w:r>
            <w:r w:rsidR="000736C1">
              <w:rPr>
                <w:rStyle w:val="Strong"/>
                <w:b w:val="0"/>
                <w:sz w:val="22"/>
                <w:szCs w:val="22"/>
              </w:rPr>
              <w:t xml:space="preserve"> throughout the Lahontan region</w:t>
            </w:r>
            <w:r>
              <w:rPr>
                <w:rStyle w:val="Strong"/>
                <w:b w:val="0"/>
                <w:sz w:val="22"/>
                <w:szCs w:val="22"/>
              </w:rPr>
              <w:t xml:space="preserve"> except at Lake Tahoe. Staff will be advising </w:t>
            </w:r>
            <w:r w:rsidR="000736C1">
              <w:rPr>
                <w:rStyle w:val="Strong"/>
                <w:b w:val="0"/>
                <w:sz w:val="22"/>
                <w:szCs w:val="22"/>
              </w:rPr>
              <w:t xml:space="preserve">State Water Board staff </w:t>
            </w:r>
            <w:r>
              <w:rPr>
                <w:rStyle w:val="Strong"/>
                <w:b w:val="0"/>
                <w:sz w:val="22"/>
                <w:szCs w:val="22"/>
              </w:rPr>
              <w:t>on updating requirements to address regional needs, including provisions for late-fall through winter operations that are currently lacking for the snowy areas of the state.</w:t>
            </w:r>
          </w:p>
          <w:p w:rsidR="00AB2939" w:rsidRPr="00C139DA" w:rsidRDefault="00AB2939" w:rsidP="00AB2939">
            <w:pPr>
              <w:pStyle w:val="ListParagraph"/>
              <w:numPr>
                <w:ilvl w:val="0"/>
                <w:numId w:val="6"/>
              </w:numPr>
              <w:rPr>
                <w:rStyle w:val="Strong"/>
              </w:rPr>
            </w:pPr>
            <w:r>
              <w:rPr>
                <w:rStyle w:val="Strong"/>
                <w:b w:val="0"/>
                <w:sz w:val="22"/>
                <w:szCs w:val="22"/>
              </w:rPr>
              <w:t>Working with USEPA to address the applicability of NPDES requirements in the region.</w:t>
            </w:r>
          </w:p>
        </w:tc>
      </w:tr>
    </w:tbl>
    <w:p w:rsidR="00F014BC" w:rsidRDefault="00F014BC" w:rsidP="006428F3">
      <w:pPr>
        <w:rPr>
          <w:rStyle w:val="Strong"/>
          <w:b w:val="0"/>
        </w:rPr>
        <w:sectPr w:rsidR="00F014BC" w:rsidSect="001A4E94">
          <w:pgSz w:w="12240" w:h="15840"/>
          <w:pgMar w:top="1296" w:right="1296" w:bottom="540" w:left="1296" w:header="720" w:footer="720" w:gutter="0"/>
          <w:cols w:space="720"/>
          <w:docGrid w:linePitch="360"/>
        </w:sectPr>
      </w:pPr>
    </w:p>
    <w:p w:rsidR="00F014BC" w:rsidRPr="00F014BC" w:rsidRDefault="00B03D7D" w:rsidP="006428F3">
      <w:pPr>
        <w:rPr>
          <w:rStyle w:val="Strong"/>
          <w:b w:val="0"/>
          <w:sz w:val="10"/>
        </w:rPr>
      </w:pPr>
      <w:r w:rsidRPr="00C139DA">
        <w:rPr>
          <w:noProof/>
          <w:sz w:val="23"/>
          <w:szCs w:val="23"/>
        </w:rPr>
        <w:lastRenderedPageBreak/>
        <w:drawing>
          <wp:anchor distT="0" distB="0" distL="114300" distR="114300" simplePos="0" relativeHeight="251662591" behindDoc="0" locked="0" layoutInCell="1" allowOverlap="1" wp14:anchorId="73E3CE2E" wp14:editId="05699F91">
            <wp:simplePos x="0" y="0"/>
            <wp:positionH relativeFrom="margin">
              <wp:posOffset>2567940</wp:posOffset>
            </wp:positionH>
            <wp:positionV relativeFrom="margin">
              <wp:posOffset>-13335</wp:posOffset>
            </wp:positionV>
            <wp:extent cx="3171825" cy="2152650"/>
            <wp:effectExtent l="0" t="0" r="0" b="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B43E2" wp14:editId="71081681">
                <wp:simplePos x="0" y="0"/>
                <wp:positionH relativeFrom="column">
                  <wp:posOffset>-3000375</wp:posOffset>
                </wp:positionH>
                <wp:positionV relativeFrom="paragraph">
                  <wp:posOffset>-499110</wp:posOffset>
                </wp:positionV>
                <wp:extent cx="3143250" cy="590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14BC" w:rsidRPr="00B03D7D" w:rsidRDefault="00F014BC" w:rsidP="00F014B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014BC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</w:rPr>
                              <w:t xml:space="preserve">Permittee </w:t>
                            </w:r>
                            <w:proofErr w:type="gramStart"/>
                            <w:r w:rsidRPr="00F014BC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</w:rPr>
                              <w:t>Type</w:t>
                            </w:r>
                            <w:r w:rsidR="00B03D7D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</w:rPr>
                              <w:t>s</w:t>
                            </w:r>
                            <w:proofErr w:type="gramEnd"/>
                            <w:r w:rsidRPr="00F014B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br/>
                            </w:r>
                            <w:r w:rsidRPr="00B03D7D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</w:rPr>
                              <w:t>(Number of permits, not work efforts)*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36.25pt;margin-top:-39.3pt;width:247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" fillcolor="window" stroked="f" strokeweight=".5pt">
                <v:textbox>
                  <w:txbxContent>
                    <w:p w:rsidR="00F014BC" w:rsidRPr="00B03D7D" w:rsidRDefault="00F014BC" w:rsidP="00F014BC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F014BC">
                        <w:rPr>
                          <w:rFonts w:asciiTheme="minorHAnsi" w:hAnsiTheme="minorHAnsi"/>
                          <w:b/>
                          <w:bCs/>
                          <w:sz w:val="36"/>
                        </w:rPr>
                        <w:t xml:space="preserve">Permittee </w:t>
                      </w:r>
                      <w:proofErr w:type="gramStart"/>
                      <w:r w:rsidRPr="00F014BC">
                        <w:rPr>
                          <w:rFonts w:asciiTheme="minorHAnsi" w:hAnsiTheme="minorHAnsi"/>
                          <w:b/>
                          <w:bCs/>
                          <w:sz w:val="36"/>
                        </w:rPr>
                        <w:t>Type</w:t>
                      </w:r>
                      <w:r w:rsidR="00B03D7D">
                        <w:rPr>
                          <w:rFonts w:asciiTheme="minorHAnsi" w:hAnsiTheme="minorHAnsi"/>
                          <w:b/>
                          <w:bCs/>
                          <w:sz w:val="36"/>
                        </w:rPr>
                        <w:t>s</w:t>
                      </w:r>
                      <w:proofErr w:type="gramEnd"/>
                      <w:r w:rsidRPr="00F014BC">
                        <w:rPr>
                          <w:rFonts w:asciiTheme="minorHAnsi" w:hAnsiTheme="minorHAnsi"/>
                          <w:b/>
                          <w:bCs/>
                        </w:rPr>
                        <w:br/>
                      </w:r>
                      <w:r w:rsidRPr="00B03D7D">
                        <w:rPr>
                          <w:rFonts w:asciiTheme="minorHAnsi" w:hAnsiTheme="minorHAnsi"/>
                          <w:b/>
                          <w:bCs/>
                          <w:sz w:val="20"/>
                        </w:rPr>
                        <w:t>(Number of permits, not work efforts)*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45829" wp14:editId="64C6FC20">
                <wp:simplePos x="0" y="0"/>
                <wp:positionH relativeFrom="column">
                  <wp:posOffset>-5695950</wp:posOffset>
                </wp:positionH>
                <wp:positionV relativeFrom="paragraph">
                  <wp:posOffset>-289560</wp:posOffset>
                </wp:positionV>
                <wp:extent cx="2085975" cy="3333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4BC" w:rsidRPr="00F014BC" w:rsidRDefault="00F014BC" w:rsidP="00F014BC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F014BC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</w:rPr>
                              <w:t>Staff Activities</w:t>
                            </w:r>
                          </w:p>
                          <w:p w:rsidR="00F014BC" w:rsidRDefault="00F014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margin-left:-448.5pt;margin-top:-22.8pt;width:164.2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" fillcolor="white [3201]" stroked="f" strokeweight=".5pt">
                <v:textbox>
                  <w:txbxContent>
                    <w:p w:rsidR="00F014BC" w:rsidRPr="00F014BC" w:rsidRDefault="00F014BC" w:rsidP="00F014BC">
                      <w:pPr>
                        <w:jc w:val="center"/>
                        <w:rPr>
                          <w:rFonts w:asciiTheme="minorHAnsi" w:hAnsiTheme="minorHAnsi"/>
                          <w:sz w:val="36"/>
                        </w:rPr>
                      </w:pPr>
                      <w:r w:rsidRPr="00F014BC">
                        <w:rPr>
                          <w:rFonts w:asciiTheme="minorHAnsi" w:hAnsiTheme="minorHAnsi"/>
                          <w:b/>
                          <w:bCs/>
                          <w:sz w:val="36"/>
                        </w:rPr>
                        <w:t>Staff Activities</w:t>
                      </w:r>
                    </w:p>
                    <w:p w:rsidR="00F014BC" w:rsidRDefault="00F014BC"/>
                  </w:txbxContent>
                </v:textbox>
              </v:shape>
            </w:pict>
          </mc:Fallback>
        </mc:AlternateContent>
      </w:r>
      <w:r w:rsidR="00F014BC">
        <w:rPr>
          <w:noProof/>
        </w:rPr>
        <w:drawing>
          <wp:anchor distT="0" distB="0" distL="114300" distR="114300" simplePos="0" relativeHeight="251662336" behindDoc="0" locked="0" layoutInCell="1" allowOverlap="1" wp14:anchorId="40C352A8" wp14:editId="2046DA9D">
            <wp:simplePos x="0" y="0"/>
            <wp:positionH relativeFrom="margin">
              <wp:posOffset>-222885</wp:posOffset>
            </wp:positionH>
            <wp:positionV relativeFrom="margin">
              <wp:posOffset>-87630</wp:posOffset>
            </wp:positionV>
            <wp:extent cx="3600450" cy="2160270"/>
            <wp:effectExtent l="0" t="0" r="0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203DC5" w:rsidTr="00F014BC">
        <w:tc>
          <w:tcPr>
            <w:tcW w:w="986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014BC" w:rsidRPr="00F014BC" w:rsidRDefault="00F014BC" w:rsidP="00F014BC">
            <w:pPr>
              <w:spacing w:before="120"/>
              <w:rPr>
                <w:bCs/>
                <w:sz w:val="32"/>
              </w:rPr>
            </w:pPr>
            <w:r w:rsidRPr="00F014BC">
              <w:rPr>
                <w:bCs/>
                <w:sz w:val="32"/>
              </w:rPr>
              <w:t xml:space="preserve">Accomplishments </w:t>
            </w:r>
          </w:p>
          <w:p w:rsidR="00F014BC" w:rsidRPr="00F014BC" w:rsidRDefault="00F014BC" w:rsidP="00697963">
            <w:pPr>
              <w:numPr>
                <w:ilvl w:val="0"/>
                <w:numId w:val="2"/>
              </w:numPr>
              <w:ind w:left="360"/>
              <w:rPr>
                <w:bCs/>
              </w:rPr>
            </w:pPr>
            <w:r w:rsidRPr="00F014BC">
              <w:rPr>
                <w:bCs/>
              </w:rPr>
              <w:t xml:space="preserve">Staff oversaw compliance assurance actions related to dischargers in the General Permits for </w:t>
            </w:r>
            <w:r w:rsidR="001A71CB">
              <w:rPr>
                <w:bCs/>
              </w:rPr>
              <w:t>Victorville-area MS4s and Industrial sites,</w:t>
            </w:r>
            <w:r w:rsidRPr="00F014BC">
              <w:rPr>
                <w:bCs/>
              </w:rPr>
              <w:t xml:space="preserve"> and for Lake Tahoe Marinas. </w:t>
            </w:r>
          </w:p>
          <w:p w:rsidR="00F014BC" w:rsidRPr="00F014BC" w:rsidRDefault="00F014BC" w:rsidP="00697963">
            <w:pPr>
              <w:numPr>
                <w:ilvl w:val="0"/>
                <w:numId w:val="2"/>
              </w:numPr>
              <w:ind w:left="360"/>
              <w:rPr>
                <w:bCs/>
              </w:rPr>
            </w:pPr>
            <w:r w:rsidRPr="00F014BC">
              <w:rPr>
                <w:bCs/>
              </w:rPr>
              <w:t>Staff oversaw compliance assurance actions in 2016 related to required re-enrollment by dischargers in the reissued Statewide General Industrial Permit.</w:t>
            </w:r>
          </w:p>
          <w:p w:rsidR="00F014BC" w:rsidRDefault="00F014BC" w:rsidP="00697963">
            <w:pPr>
              <w:numPr>
                <w:ilvl w:val="0"/>
                <w:numId w:val="2"/>
              </w:numPr>
              <w:ind w:left="360"/>
              <w:rPr>
                <w:bCs/>
              </w:rPr>
            </w:pPr>
            <w:r w:rsidRPr="00F014BC">
              <w:rPr>
                <w:bCs/>
              </w:rPr>
              <w:t>Staff completed enforcement actions in 201</w:t>
            </w:r>
            <w:r w:rsidR="001A71CB">
              <w:rPr>
                <w:bCs/>
              </w:rPr>
              <w:t>7</w:t>
            </w:r>
            <w:r w:rsidRPr="00F014BC">
              <w:rPr>
                <w:bCs/>
              </w:rPr>
              <w:t xml:space="preserve"> to address failures with meeting annual reporting requirements in the Construction and Industrial programs.  </w:t>
            </w:r>
          </w:p>
          <w:p w:rsidR="00F014BC" w:rsidRDefault="00F014BC" w:rsidP="001A71CB">
            <w:pPr>
              <w:numPr>
                <w:ilvl w:val="0"/>
                <w:numId w:val="2"/>
              </w:numPr>
              <w:spacing w:after="120"/>
              <w:ind w:left="360"/>
              <w:rPr>
                <w:rStyle w:val="Strong"/>
                <w:b w:val="0"/>
              </w:rPr>
            </w:pPr>
            <w:r w:rsidRPr="00F014BC">
              <w:rPr>
                <w:bCs/>
              </w:rPr>
              <w:t xml:space="preserve">Renewed Lake Tahoe Municipal Stormwater Permit </w:t>
            </w:r>
            <w:r w:rsidR="001A71CB">
              <w:rPr>
                <w:bCs/>
              </w:rPr>
              <w:t xml:space="preserve">and </w:t>
            </w:r>
            <w:r w:rsidRPr="00F014BC">
              <w:rPr>
                <w:bCs/>
              </w:rPr>
              <w:t>set next 5</w:t>
            </w:r>
            <w:r w:rsidR="001A71CB">
              <w:rPr>
                <w:bCs/>
              </w:rPr>
              <w:t>-</w:t>
            </w:r>
            <w:r w:rsidRPr="00F014BC">
              <w:rPr>
                <w:bCs/>
              </w:rPr>
              <w:t>year sediment load reductions for Placer County, El Dorado County and City of South Lake Tahoe</w:t>
            </w:r>
            <w:r w:rsidR="001A71CB">
              <w:rPr>
                <w:bCs/>
              </w:rPr>
              <w:t>.</w:t>
            </w:r>
            <w:r w:rsidRPr="00F014BC">
              <w:rPr>
                <w:bCs/>
              </w:rPr>
              <w:t xml:space="preserve">  </w:t>
            </w:r>
          </w:p>
        </w:tc>
      </w:tr>
      <w:tr w:rsidR="00203DC5" w:rsidTr="00F014BC">
        <w:tc>
          <w:tcPr>
            <w:tcW w:w="9864" w:type="dxa"/>
            <w:tcBorders>
              <w:left w:val="nil"/>
              <w:right w:val="nil"/>
            </w:tcBorders>
          </w:tcPr>
          <w:p w:rsidR="00F014BC" w:rsidRPr="00F014BC" w:rsidRDefault="00F014BC" w:rsidP="006428F3">
            <w:pPr>
              <w:rPr>
                <w:rStyle w:val="Strong"/>
                <w:b w:val="0"/>
                <w:sz w:val="12"/>
              </w:rPr>
            </w:pPr>
          </w:p>
        </w:tc>
      </w:tr>
      <w:tr w:rsidR="00203DC5" w:rsidTr="00F014BC">
        <w:tc>
          <w:tcPr>
            <w:tcW w:w="986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014BC" w:rsidRPr="00E11A4B" w:rsidRDefault="00F014BC" w:rsidP="00F014BC">
            <w:pPr>
              <w:tabs>
                <w:tab w:val="left" w:pos="1815"/>
              </w:tabs>
              <w:spacing w:before="120" w:after="240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32"/>
              </w:rPr>
              <w:t>Performance T</w:t>
            </w:r>
            <w:r w:rsidRPr="00BC03BB">
              <w:rPr>
                <w:rStyle w:val="Strong"/>
                <w:b w:val="0"/>
                <w:sz w:val="32"/>
              </w:rPr>
              <w:t xml:space="preserve">argets for </w:t>
            </w:r>
            <w:r>
              <w:rPr>
                <w:rStyle w:val="Strong"/>
                <w:b w:val="0"/>
                <w:sz w:val="32"/>
              </w:rPr>
              <w:t>Fiscal Year 201</w:t>
            </w:r>
            <w:r w:rsidR="00BC201A">
              <w:rPr>
                <w:rStyle w:val="Strong"/>
                <w:b w:val="0"/>
                <w:sz w:val="32"/>
              </w:rPr>
              <w:t>6</w:t>
            </w:r>
            <w:r w:rsidRPr="00BC03BB">
              <w:rPr>
                <w:rStyle w:val="Strong"/>
                <w:b w:val="0"/>
                <w:sz w:val="32"/>
              </w:rPr>
              <w:t xml:space="preserve"> – </w:t>
            </w:r>
            <w:r>
              <w:rPr>
                <w:rStyle w:val="Strong"/>
                <w:b w:val="0"/>
                <w:sz w:val="32"/>
              </w:rPr>
              <w:t>201</w:t>
            </w:r>
            <w:r w:rsidR="00BC201A">
              <w:rPr>
                <w:rStyle w:val="Strong"/>
                <w:b w:val="0"/>
                <w:sz w:val="32"/>
              </w:rPr>
              <w:t>7</w:t>
            </w:r>
            <w:r>
              <w:rPr>
                <w:rStyle w:val="Strong"/>
                <w:b w:val="0"/>
              </w:rPr>
              <w:t xml:space="preserve">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5"/>
              <w:gridCol w:w="3060"/>
              <w:gridCol w:w="2438"/>
            </w:tblGrid>
            <w:tr w:rsidR="00203DC5" w:rsidRPr="004D5D5F" w:rsidTr="007F375A">
              <w:tc>
                <w:tcPr>
                  <w:tcW w:w="4135" w:type="dxa"/>
                </w:tcPr>
                <w:p w:rsidR="00F014BC" w:rsidRPr="004D5D5F" w:rsidRDefault="00F014BC" w:rsidP="007F375A">
                  <w:pPr>
                    <w:rPr>
                      <w:rStyle w:val="Strong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</w:tcPr>
                <w:p w:rsidR="00F014BC" w:rsidRPr="004D5D5F" w:rsidRDefault="00F014BC" w:rsidP="007F375A">
                  <w:pPr>
                    <w:jc w:val="center"/>
                    <w:rPr>
                      <w:rStyle w:val="Strong"/>
                      <w:b w:val="0"/>
                      <w:sz w:val="22"/>
                      <w:szCs w:val="22"/>
                    </w:rPr>
                  </w:pPr>
                  <w:r w:rsidRPr="004D5D5F">
                    <w:rPr>
                      <w:rStyle w:val="Strong"/>
                      <w:b w:val="0"/>
                      <w:sz w:val="22"/>
                      <w:szCs w:val="22"/>
                    </w:rPr>
                    <w:t>Target</w:t>
                  </w:r>
                </w:p>
              </w:tc>
              <w:tc>
                <w:tcPr>
                  <w:tcW w:w="2438" w:type="dxa"/>
                </w:tcPr>
                <w:p w:rsidR="00F014BC" w:rsidRPr="004D5D5F" w:rsidRDefault="00F014BC" w:rsidP="007F375A">
                  <w:pPr>
                    <w:jc w:val="center"/>
                    <w:rPr>
                      <w:rStyle w:val="Strong"/>
                      <w:b w:val="0"/>
                      <w:sz w:val="22"/>
                      <w:szCs w:val="22"/>
                    </w:rPr>
                  </w:pPr>
                  <w:r w:rsidRPr="004D5D5F">
                    <w:rPr>
                      <w:rStyle w:val="Strong"/>
                      <w:b w:val="0"/>
                      <w:sz w:val="22"/>
                      <w:szCs w:val="22"/>
                    </w:rPr>
                    <w:t>Performed</w:t>
                  </w:r>
                </w:p>
              </w:tc>
            </w:tr>
            <w:tr w:rsidR="00203DC5" w:rsidRPr="004D5D5F" w:rsidTr="007F375A">
              <w:tc>
                <w:tcPr>
                  <w:tcW w:w="4135" w:type="dxa"/>
                </w:tcPr>
                <w:p w:rsidR="00F014BC" w:rsidRPr="004D5D5F" w:rsidRDefault="00F014BC" w:rsidP="007F375A">
                  <w:pPr>
                    <w:rPr>
                      <w:rStyle w:val="Strong"/>
                      <w:b w:val="0"/>
                      <w:sz w:val="22"/>
                      <w:szCs w:val="22"/>
                    </w:rPr>
                  </w:pPr>
                  <w:r w:rsidRPr="004D5D5F">
                    <w:rPr>
                      <w:rStyle w:val="Strong"/>
                      <w:b w:val="0"/>
                      <w:sz w:val="22"/>
                      <w:szCs w:val="22"/>
                    </w:rPr>
                    <w:t>Construction site Inspections:</w:t>
                  </w:r>
                </w:p>
              </w:tc>
              <w:tc>
                <w:tcPr>
                  <w:tcW w:w="3060" w:type="dxa"/>
                </w:tcPr>
                <w:p w:rsidR="00F014BC" w:rsidRPr="004D5D5F" w:rsidRDefault="00953D7E" w:rsidP="007F375A">
                  <w:pPr>
                    <w:jc w:val="center"/>
                    <w:rPr>
                      <w:rStyle w:val="Strong"/>
                      <w:b w:val="0"/>
                      <w:sz w:val="22"/>
                      <w:szCs w:val="22"/>
                    </w:rPr>
                  </w:pPr>
                  <w:r>
                    <w:rPr>
                      <w:rStyle w:val="Strong"/>
                      <w:b w:val="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2438" w:type="dxa"/>
                </w:tcPr>
                <w:p w:rsidR="00F014BC" w:rsidRPr="004D5D5F" w:rsidRDefault="00953D7E" w:rsidP="007F375A">
                  <w:pPr>
                    <w:jc w:val="center"/>
                    <w:rPr>
                      <w:rStyle w:val="Strong"/>
                      <w:b w:val="0"/>
                      <w:sz w:val="22"/>
                      <w:szCs w:val="22"/>
                    </w:rPr>
                  </w:pPr>
                  <w:r>
                    <w:rPr>
                      <w:rStyle w:val="Strong"/>
                      <w:b w:val="0"/>
                      <w:sz w:val="22"/>
                      <w:szCs w:val="22"/>
                    </w:rPr>
                    <w:t>64</w:t>
                  </w:r>
                </w:p>
              </w:tc>
            </w:tr>
            <w:tr w:rsidR="00203DC5" w:rsidRPr="004D5D5F" w:rsidTr="007F375A">
              <w:tc>
                <w:tcPr>
                  <w:tcW w:w="4135" w:type="dxa"/>
                </w:tcPr>
                <w:p w:rsidR="00F014BC" w:rsidRPr="004D5D5F" w:rsidRDefault="00F014BC" w:rsidP="007F375A">
                  <w:pPr>
                    <w:rPr>
                      <w:rStyle w:val="Strong"/>
                      <w:b w:val="0"/>
                      <w:sz w:val="22"/>
                      <w:szCs w:val="22"/>
                    </w:rPr>
                  </w:pPr>
                  <w:r w:rsidRPr="004D5D5F">
                    <w:rPr>
                      <w:rStyle w:val="Strong"/>
                      <w:b w:val="0"/>
                      <w:sz w:val="22"/>
                      <w:szCs w:val="22"/>
                    </w:rPr>
                    <w:t>Industrial facility Inspections:</w:t>
                  </w:r>
                </w:p>
              </w:tc>
              <w:tc>
                <w:tcPr>
                  <w:tcW w:w="3060" w:type="dxa"/>
                </w:tcPr>
                <w:p w:rsidR="00F014BC" w:rsidRPr="004D5D5F" w:rsidRDefault="00953D7E" w:rsidP="007F375A">
                  <w:pPr>
                    <w:jc w:val="center"/>
                    <w:rPr>
                      <w:rStyle w:val="Strong"/>
                      <w:b w:val="0"/>
                      <w:sz w:val="22"/>
                      <w:szCs w:val="22"/>
                    </w:rPr>
                  </w:pPr>
                  <w:r>
                    <w:rPr>
                      <w:rStyle w:val="Strong"/>
                      <w:b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438" w:type="dxa"/>
                </w:tcPr>
                <w:p w:rsidR="00F014BC" w:rsidRPr="004D5D5F" w:rsidRDefault="00953D7E" w:rsidP="007F375A">
                  <w:pPr>
                    <w:jc w:val="center"/>
                    <w:rPr>
                      <w:rStyle w:val="Strong"/>
                      <w:b w:val="0"/>
                      <w:sz w:val="22"/>
                      <w:szCs w:val="22"/>
                    </w:rPr>
                  </w:pPr>
                  <w:r>
                    <w:rPr>
                      <w:rStyle w:val="Strong"/>
                      <w:b w:val="0"/>
                      <w:sz w:val="22"/>
                      <w:szCs w:val="22"/>
                    </w:rPr>
                    <w:t>15</w:t>
                  </w:r>
                </w:p>
              </w:tc>
            </w:tr>
            <w:tr w:rsidR="00203DC5" w:rsidRPr="004D5D5F" w:rsidTr="007F375A">
              <w:tc>
                <w:tcPr>
                  <w:tcW w:w="4135" w:type="dxa"/>
                </w:tcPr>
                <w:p w:rsidR="00F014BC" w:rsidRPr="004D5D5F" w:rsidRDefault="00F014BC" w:rsidP="00F014BC">
                  <w:pPr>
                    <w:spacing w:after="120"/>
                    <w:rPr>
                      <w:rStyle w:val="Strong"/>
                      <w:b w:val="0"/>
                      <w:sz w:val="22"/>
                      <w:szCs w:val="22"/>
                    </w:rPr>
                  </w:pPr>
                  <w:r w:rsidRPr="004D5D5F">
                    <w:rPr>
                      <w:rStyle w:val="Strong"/>
                      <w:b w:val="0"/>
                      <w:sz w:val="22"/>
                      <w:szCs w:val="22"/>
                    </w:rPr>
                    <w:t>MS4-Phase I/II Audits/Inspections</w:t>
                  </w:r>
                </w:p>
              </w:tc>
              <w:tc>
                <w:tcPr>
                  <w:tcW w:w="3060" w:type="dxa"/>
                </w:tcPr>
                <w:p w:rsidR="00F014BC" w:rsidRPr="004D5D5F" w:rsidRDefault="00953D7E" w:rsidP="007F375A">
                  <w:pPr>
                    <w:jc w:val="center"/>
                    <w:rPr>
                      <w:rStyle w:val="Strong"/>
                      <w:b w:val="0"/>
                      <w:sz w:val="22"/>
                      <w:szCs w:val="22"/>
                    </w:rPr>
                  </w:pPr>
                  <w:r>
                    <w:rPr>
                      <w:rStyle w:val="Strong"/>
                      <w:b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38" w:type="dxa"/>
                </w:tcPr>
                <w:p w:rsidR="00F014BC" w:rsidRPr="004D5D5F" w:rsidRDefault="00953D7E" w:rsidP="007F375A">
                  <w:pPr>
                    <w:jc w:val="center"/>
                    <w:rPr>
                      <w:rStyle w:val="Strong"/>
                      <w:b w:val="0"/>
                      <w:sz w:val="22"/>
                      <w:szCs w:val="22"/>
                    </w:rPr>
                  </w:pPr>
                  <w:r>
                    <w:rPr>
                      <w:rStyle w:val="Strong"/>
                      <w:b w:val="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F014BC" w:rsidRDefault="00F014BC" w:rsidP="006428F3">
            <w:pPr>
              <w:rPr>
                <w:rStyle w:val="Strong"/>
                <w:b w:val="0"/>
              </w:rPr>
            </w:pPr>
          </w:p>
        </w:tc>
      </w:tr>
      <w:tr w:rsidR="00203DC5" w:rsidRPr="00F014BC" w:rsidTr="00F014BC">
        <w:tc>
          <w:tcPr>
            <w:tcW w:w="9864" w:type="dxa"/>
            <w:tcBorders>
              <w:left w:val="nil"/>
              <w:right w:val="nil"/>
            </w:tcBorders>
          </w:tcPr>
          <w:p w:rsidR="00F014BC" w:rsidRPr="00F014BC" w:rsidRDefault="00F014BC" w:rsidP="006428F3">
            <w:pPr>
              <w:rPr>
                <w:rStyle w:val="Strong"/>
                <w:b w:val="0"/>
                <w:sz w:val="12"/>
              </w:rPr>
            </w:pPr>
          </w:p>
        </w:tc>
      </w:tr>
      <w:tr w:rsidR="00203DC5" w:rsidTr="00F014BC">
        <w:tc>
          <w:tcPr>
            <w:tcW w:w="986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014BC" w:rsidRPr="004D5D5F" w:rsidRDefault="00F014BC" w:rsidP="00F014BC">
            <w:pPr>
              <w:tabs>
                <w:tab w:val="left" w:pos="1815"/>
              </w:tabs>
              <w:spacing w:before="120" w:after="240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32"/>
              </w:rPr>
              <w:t>Performance T</w:t>
            </w:r>
            <w:r w:rsidRPr="00BC03BB">
              <w:rPr>
                <w:rStyle w:val="Strong"/>
                <w:b w:val="0"/>
                <w:sz w:val="32"/>
              </w:rPr>
              <w:t xml:space="preserve">argets for </w:t>
            </w:r>
            <w:r>
              <w:rPr>
                <w:rStyle w:val="Strong"/>
                <w:b w:val="0"/>
                <w:sz w:val="32"/>
              </w:rPr>
              <w:t>Fiscal Year 201</w:t>
            </w:r>
            <w:r w:rsidR="00BC201A">
              <w:rPr>
                <w:rStyle w:val="Strong"/>
                <w:b w:val="0"/>
                <w:sz w:val="32"/>
              </w:rPr>
              <w:t>7</w:t>
            </w:r>
            <w:r w:rsidRPr="00BC03BB">
              <w:rPr>
                <w:rStyle w:val="Strong"/>
                <w:b w:val="0"/>
                <w:sz w:val="32"/>
              </w:rPr>
              <w:t xml:space="preserve"> – </w:t>
            </w:r>
            <w:r>
              <w:rPr>
                <w:rStyle w:val="Strong"/>
                <w:b w:val="0"/>
                <w:sz w:val="32"/>
              </w:rPr>
              <w:t>201</w:t>
            </w:r>
            <w:r w:rsidR="00BC201A">
              <w:rPr>
                <w:rStyle w:val="Strong"/>
                <w:b w:val="0"/>
                <w:sz w:val="32"/>
              </w:rPr>
              <w:t>8</w:t>
            </w:r>
            <w:r w:rsidRPr="00DF0A5C">
              <w:rPr>
                <w:rStyle w:val="Strong"/>
                <w:b w:val="0"/>
              </w:rPr>
              <w:t xml:space="preserve">    </w:t>
            </w:r>
            <w:r>
              <w:rPr>
                <w:rStyle w:val="Strong"/>
                <w:b w:val="0"/>
                <w:sz w:val="22"/>
              </w:rPr>
              <w:t xml:space="preserve">    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5"/>
              <w:gridCol w:w="3060"/>
              <w:gridCol w:w="2438"/>
            </w:tblGrid>
            <w:tr w:rsidR="00203DC5" w:rsidRPr="004D5D5F" w:rsidTr="007F375A">
              <w:tc>
                <w:tcPr>
                  <w:tcW w:w="4135" w:type="dxa"/>
                </w:tcPr>
                <w:p w:rsidR="00F014BC" w:rsidRPr="004D5D5F" w:rsidRDefault="00F014BC" w:rsidP="007F375A">
                  <w:pPr>
                    <w:rPr>
                      <w:rStyle w:val="Strong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</w:tcPr>
                <w:p w:rsidR="00F014BC" w:rsidRPr="004D5D5F" w:rsidRDefault="00F014BC" w:rsidP="007F375A">
                  <w:pPr>
                    <w:jc w:val="center"/>
                    <w:rPr>
                      <w:rStyle w:val="Strong"/>
                      <w:b w:val="0"/>
                      <w:sz w:val="22"/>
                      <w:szCs w:val="22"/>
                    </w:rPr>
                  </w:pPr>
                  <w:r w:rsidRPr="004D5D5F">
                    <w:rPr>
                      <w:rStyle w:val="Strong"/>
                      <w:b w:val="0"/>
                      <w:sz w:val="22"/>
                      <w:szCs w:val="22"/>
                    </w:rPr>
                    <w:t>Target</w:t>
                  </w:r>
                </w:p>
              </w:tc>
              <w:tc>
                <w:tcPr>
                  <w:tcW w:w="2438" w:type="dxa"/>
                </w:tcPr>
                <w:p w:rsidR="00F014BC" w:rsidRPr="004D5D5F" w:rsidRDefault="00F014BC" w:rsidP="007F375A">
                  <w:pPr>
                    <w:jc w:val="center"/>
                    <w:rPr>
                      <w:rStyle w:val="Strong"/>
                      <w:b w:val="0"/>
                      <w:sz w:val="22"/>
                      <w:szCs w:val="22"/>
                    </w:rPr>
                  </w:pPr>
                  <w:r w:rsidRPr="004D5D5F">
                    <w:rPr>
                      <w:rStyle w:val="Strong"/>
                      <w:b w:val="0"/>
                      <w:sz w:val="22"/>
                      <w:szCs w:val="22"/>
                    </w:rPr>
                    <w:t>Progress to Date</w:t>
                  </w:r>
                </w:p>
              </w:tc>
            </w:tr>
            <w:tr w:rsidR="00203DC5" w:rsidRPr="004D5D5F" w:rsidTr="007F375A">
              <w:tc>
                <w:tcPr>
                  <w:tcW w:w="4135" w:type="dxa"/>
                </w:tcPr>
                <w:p w:rsidR="00F014BC" w:rsidRPr="004D5D5F" w:rsidRDefault="00F014BC" w:rsidP="007F375A">
                  <w:pPr>
                    <w:rPr>
                      <w:rStyle w:val="Strong"/>
                      <w:b w:val="0"/>
                      <w:sz w:val="22"/>
                      <w:szCs w:val="22"/>
                    </w:rPr>
                  </w:pPr>
                  <w:r w:rsidRPr="004D5D5F">
                    <w:rPr>
                      <w:rStyle w:val="Strong"/>
                      <w:b w:val="0"/>
                      <w:sz w:val="22"/>
                      <w:szCs w:val="22"/>
                    </w:rPr>
                    <w:t>Construction site Inspections:</w:t>
                  </w:r>
                </w:p>
              </w:tc>
              <w:tc>
                <w:tcPr>
                  <w:tcW w:w="3060" w:type="dxa"/>
                </w:tcPr>
                <w:p w:rsidR="00F014BC" w:rsidRPr="004D5D5F" w:rsidRDefault="00641A38" w:rsidP="007F375A">
                  <w:pPr>
                    <w:jc w:val="center"/>
                    <w:rPr>
                      <w:rStyle w:val="Strong"/>
                      <w:b w:val="0"/>
                      <w:sz w:val="22"/>
                      <w:szCs w:val="22"/>
                    </w:rPr>
                  </w:pPr>
                  <w:r>
                    <w:rPr>
                      <w:rStyle w:val="Strong"/>
                      <w:b w:val="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2438" w:type="dxa"/>
                </w:tcPr>
                <w:p w:rsidR="00F014BC" w:rsidRPr="004D5D5F" w:rsidRDefault="00F65AD5" w:rsidP="007F375A">
                  <w:pPr>
                    <w:jc w:val="center"/>
                    <w:rPr>
                      <w:rStyle w:val="Strong"/>
                      <w:b w:val="0"/>
                      <w:sz w:val="22"/>
                      <w:szCs w:val="22"/>
                    </w:rPr>
                  </w:pPr>
                  <w:r>
                    <w:rPr>
                      <w:rStyle w:val="Strong"/>
                      <w:b w:val="0"/>
                      <w:sz w:val="22"/>
                      <w:szCs w:val="22"/>
                    </w:rPr>
                    <w:t>12</w:t>
                  </w:r>
                </w:p>
              </w:tc>
            </w:tr>
            <w:tr w:rsidR="00203DC5" w:rsidRPr="004D5D5F" w:rsidTr="007F375A">
              <w:tc>
                <w:tcPr>
                  <w:tcW w:w="4135" w:type="dxa"/>
                </w:tcPr>
                <w:p w:rsidR="00F014BC" w:rsidRPr="004D5D5F" w:rsidRDefault="00F014BC" w:rsidP="007F375A">
                  <w:pPr>
                    <w:rPr>
                      <w:rStyle w:val="Strong"/>
                      <w:b w:val="0"/>
                      <w:sz w:val="22"/>
                      <w:szCs w:val="22"/>
                    </w:rPr>
                  </w:pPr>
                  <w:r w:rsidRPr="004D5D5F">
                    <w:rPr>
                      <w:rStyle w:val="Strong"/>
                      <w:b w:val="0"/>
                      <w:sz w:val="22"/>
                      <w:szCs w:val="22"/>
                    </w:rPr>
                    <w:t>Industrial facility Inspections:</w:t>
                  </w:r>
                </w:p>
              </w:tc>
              <w:tc>
                <w:tcPr>
                  <w:tcW w:w="3060" w:type="dxa"/>
                </w:tcPr>
                <w:p w:rsidR="00F014BC" w:rsidRPr="004D5D5F" w:rsidRDefault="00641A38" w:rsidP="007F375A">
                  <w:pPr>
                    <w:jc w:val="center"/>
                    <w:rPr>
                      <w:rStyle w:val="Strong"/>
                      <w:b w:val="0"/>
                      <w:sz w:val="22"/>
                      <w:szCs w:val="22"/>
                    </w:rPr>
                  </w:pPr>
                  <w:r>
                    <w:rPr>
                      <w:rStyle w:val="Strong"/>
                      <w:b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438" w:type="dxa"/>
                </w:tcPr>
                <w:p w:rsidR="00F014BC" w:rsidRPr="004D5D5F" w:rsidRDefault="00F65AD5" w:rsidP="007F375A">
                  <w:pPr>
                    <w:jc w:val="center"/>
                    <w:rPr>
                      <w:rStyle w:val="Strong"/>
                      <w:b w:val="0"/>
                      <w:sz w:val="22"/>
                      <w:szCs w:val="22"/>
                    </w:rPr>
                  </w:pPr>
                  <w:r>
                    <w:rPr>
                      <w:rStyle w:val="Strong"/>
                      <w:b w:val="0"/>
                      <w:sz w:val="22"/>
                      <w:szCs w:val="22"/>
                    </w:rPr>
                    <w:t>5</w:t>
                  </w:r>
                </w:p>
              </w:tc>
            </w:tr>
            <w:tr w:rsidR="00203DC5" w:rsidRPr="004D5D5F" w:rsidTr="007F375A">
              <w:tc>
                <w:tcPr>
                  <w:tcW w:w="4135" w:type="dxa"/>
                </w:tcPr>
                <w:p w:rsidR="00F014BC" w:rsidRPr="004D5D5F" w:rsidRDefault="00F014BC" w:rsidP="00F014BC">
                  <w:pPr>
                    <w:spacing w:after="120"/>
                    <w:rPr>
                      <w:rStyle w:val="Strong"/>
                      <w:b w:val="0"/>
                      <w:sz w:val="22"/>
                      <w:szCs w:val="22"/>
                    </w:rPr>
                  </w:pPr>
                  <w:r w:rsidRPr="004D5D5F">
                    <w:rPr>
                      <w:rStyle w:val="Strong"/>
                      <w:b w:val="0"/>
                      <w:sz w:val="22"/>
                      <w:szCs w:val="22"/>
                    </w:rPr>
                    <w:t>MS4-Phase I/II Audits/Inspections</w:t>
                  </w:r>
                </w:p>
              </w:tc>
              <w:tc>
                <w:tcPr>
                  <w:tcW w:w="3060" w:type="dxa"/>
                </w:tcPr>
                <w:p w:rsidR="00F014BC" w:rsidRPr="004D5D5F" w:rsidRDefault="00641A38" w:rsidP="007F375A">
                  <w:pPr>
                    <w:jc w:val="center"/>
                    <w:rPr>
                      <w:rStyle w:val="Strong"/>
                      <w:b w:val="0"/>
                      <w:sz w:val="22"/>
                      <w:szCs w:val="22"/>
                    </w:rPr>
                  </w:pPr>
                  <w:r>
                    <w:rPr>
                      <w:rStyle w:val="Strong"/>
                      <w:b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438" w:type="dxa"/>
                </w:tcPr>
                <w:p w:rsidR="00F014BC" w:rsidRPr="004D5D5F" w:rsidRDefault="00F65AD5" w:rsidP="007F375A">
                  <w:pPr>
                    <w:jc w:val="center"/>
                    <w:rPr>
                      <w:rStyle w:val="Strong"/>
                      <w:b w:val="0"/>
                      <w:sz w:val="22"/>
                      <w:szCs w:val="22"/>
                    </w:rPr>
                  </w:pPr>
                  <w:r>
                    <w:rPr>
                      <w:rStyle w:val="Strong"/>
                      <w:b w:val="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F014BC" w:rsidRDefault="00F014BC" w:rsidP="006428F3">
            <w:pPr>
              <w:rPr>
                <w:rStyle w:val="Strong"/>
                <w:b w:val="0"/>
              </w:rPr>
            </w:pPr>
          </w:p>
        </w:tc>
      </w:tr>
      <w:tr w:rsidR="00203DC5" w:rsidRPr="00F014BC" w:rsidTr="00F014BC">
        <w:tc>
          <w:tcPr>
            <w:tcW w:w="9864" w:type="dxa"/>
            <w:tcBorders>
              <w:left w:val="nil"/>
              <w:right w:val="nil"/>
            </w:tcBorders>
          </w:tcPr>
          <w:p w:rsidR="00F014BC" w:rsidRPr="00F014BC" w:rsidRDefault="00F014BC" w:rsidP="006428F3">
            <w:pPr>
              <w:rPr>
                <w:rStyle w:val="Strong"/>
                <w:b w:val="0"/>
                <w:sz w:val="12"/>
              </w:rPr>
            </w:pPr>
          </w:p>
        </w:tc>
      </w:tr>
      <w:tr w:rsidR="00203DC5" w:rsidTr="00F014BC">
        <w:tc>
          <w:tcPr>
            <w:tcW w:w="9864" w:type="dxa"/>
            <w:shd w:val="clear" w:color="auto" w:fill="F2DBDB" w:themeFill="accent2" w:themeFillTint="33"/>
          </w:tcPr>
          <w:p w:rsidR="00F014BC" w:rsidRDefault="00F014BC" w:rsidP="00F014BC">
            <w:pPr>
              <w:pStyle w:val="ListParagraph"/>
              <w:spacing w:before="120"/>
              <w:ind w:left="0"/>
              <w:rPr>
                <w:sz w:val="32"/>
                <w:szCs w:val="32"/>
              </w:rPr>
            </w:pPr>
            <w:r w:rsidRPr="00F807AA">
              <w:rPr>
                <w:sz w:val="32"/>
                <w:szCs w:val="32"/>
              </w:rPr>
              <w:t>Unaddressed Work</w:t>
            </w:r>
          </w:p>
          <w:p w:rsidR="00F014BC" w:rsidRPr="004D5D5F" w:rsidRDefault="00F014BC" w:rsidP="00F014BC">
            <w:pPr>
              <w:pStyle w:val="ListParagraph"/>
              <w:numPr>
                <w:ilvl w:val="0"/>
                <w:numId w:val="3"/>
              </w:numPr>
              <w:spacing w:before="120"/>
              <w:ind w:left="360"/>
              <w:rPr>
                <w:rStyle w:val="Strong"/>
                <w:b w:val="0"/>
                <w:sz w:val="22"/>
                <w:szCs w:val="22"/>
              </w:rPr>
            </w:pPr>
            <w:r w:rsidRPr="004D5D5F">
              <w:rPr>
                <w:rStyle w:val="Strong"/>
                <w:b w:val="0"/>
                <w:sz w:val="22"/>
                <w:szCs w:val="22"/>
              </w:rPr>
              <w:t xml:space="preserve">Over 85% of the </w:t>
            </w:r>
            <w:r w:rsidR="00BC201A">
              <w:rPr>
                <w:rStyle w:val="Strong"/>
                <w:b w:val="0"/>
                <w:sz w:val="22"/>
                <w:szCs w:val="22"/>
              </w:rPr>
              <w:t>Industrial</w:t>
            </w:r>
            <w:r w:rsidR="00DC6D6A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BC201A">
              <w:rPr>
                <w:rStyle w:val="Strong"/>
                <w:b w:val="0"/>
                <w:sz w:val="22"/>
                <w:szCs w:val="22"/>
              </w:rPr>
              <w:t xml:space="preserve">and Construction </w:t>
            </w:r>
            <w:r w:rsidRPr="004D5D5F">
              <w:rPr>
                <w:rStyle w:val="Strong"/>
                <w:b w:val="0"/>
                <w:sz w:val="22"/>
                <w:szCs w:val="22"/>
              </w:rPr>
              <w:t>sites in the program are never inspected</w:t>
            </w:r>
          </w:p>
          <w:p w:rsidR="00F014BC" w:rsidRPr="004D5D5F" w:rsidRDefault="00F014BC" w:rsidP="00F014BC">
            <w:pPr>
              <w:pStyle w:val="ListParagraph"/>
              <w:numPr>
                <w:ilvl w:val="0"/>
                <w:numId w:val="3"/>
              </w:numPr>
              <w:ind w:left="360"/>
              <w:rPr>
                <w:rStyle w:val="Strong"/>
                <w:b w:val="0"/>
                <w:sz w:val="22"/>
                <w:szCs w:val="22"/>
              </w:rPr>
            </w:pPr>
            <w:r w:rsidRPr="004D5D5F">
              <w:rPr>
                <w:rStyle w:val="Strong"/>
                <w:b w:val="0"/>
                <w:sz w:val="22"/>
                <w:szCs w:val="22"/>
              </w:rPr>
              <w:t>Over 80% of Storm Water Management and Pollution Prevention Plans are not reviewed.</w:t>
            </w:r>
          </w:p>
          <w:p w:rsidR="00F014BC" w:rsidRPr="004D5D5F" w:rsidRDefault="00F014BC" w:rsidP="00F014BC">
            <w:pPr>
              <w:pStyle w:val="ListParagraph"/>
              <w:numPr>
                <w:ilvl w:val="0"/>
                <w:numId w:val="3"/>
              </w:numPr>
              <w:spacing w:after="240"/>
              <w:ind w:left="360"/>
              <w:rPr>
                <w:rStyle w:val="Strong"/>
                <w:b w:val="0"/>
                <w:sz w:val="22"/>
                <w:szCs w:val="22"/>
              </w:rPr>
            </w:pPr>
            <w:r w:rsidRPr="004D5D5F">
              <w:rPr>
                <w:rStyle w:val="Strong"/>
                <w:b w:val="0"/>
                <w:sz w:val="22"/>
                <w:szCs w:val="22"/>
              </w:rPr>
              <w:t>Penalties for lack of reports</w:t>
            </w:r>
            <w:r w:rsidR="00EF4057">
              <w:rPr>
                <w:rStyle w:val="Strong"/>
                <w:b w:val="0"/>
                <w:sz w:val="22"/>
                <w:szCs w:val="22"/>
              </w:rPr>
              <w:t xml:space="preserve">, and </w:t>
            </w:r>
            <w:r w:rsidRPr="004D5D5F">
              <w:rPr>
                <w:rStyle w:val="Strong"/>
                <w:b w:val="0"/>
                <w:sz w:val="22"/>
                <w:szCs w:val="22"/>
              </w:rPr>
              <w:t xml:space="preserve">late </w:t>
            </w:r>
            <w:r w:rsidR="00EF4057">
              <w:rPr>
                <w:rStyle w:val="Strong"/>
                <w:b w:val="0"/>
                <w:sz w:val="22"/>
                <w:szCs w:val="22"/>
              </w:rPr>
              <w:t xml:space="preserve">or deficient </w:t>
            </w:r>
            <w:r w:rsidRPr="004D5D5F">
              <w:rPr>
                <w:rStyle w:val="Strong"/>
                <w:b w:val="0"/>
                <w:sz w:val="22"/>
                <w:szCs w:val="22"/>
              </w:rPr>
              <w:t>reports are not assessed</w:t>
            </w:r>
          </w:p>
          <w:p w:rsidR="00F014BC" w:rsidRPr="004D5D5F" w:rsidRDefault="00F014BC" w:rsidP="00F014BC">
            <w:pPr>
              <w:pStyle w:val="ListParagraph"/>
              <w:numPr>
                <w:ilvl w:val="0"/>
                <w:numId w:val="3"/>
              </w:numPr>
              <w:ind w:left="360"/>
              <w:rPr>
                <w:rStyle w:val="Strong"/>
                <w:b w:val="0"/>
                <w:sz w:val="22"/>
                <w:szCs w:val="22"/>
              </w:rPr>
            </w:pPr>
            <w:r w:rsidRPr="004D5D5F">
              <w:rPr>
                <w:rStyle w:val="Strong"/>
                <w:b w:val="0"/>
                <w:sz w:val="22"/>
                <w:szCs w:val="22"/>
              </w:rPr>
              <w:t>Unknown number of facilities are not enrolled in the permits where permits apply</w:t>
            </w:r>
            <w:r w:rsidR="00EF4057">
              <w:rPr>
                <w:rStyle w:val="Strong"/>
                <w:b w:val="0"/>
                <w:sz w:val="22"/>
                <w:szCs w:val="22"/>
              </w:rPr>
              <w:t xml:space="preserve"> = “non-filers”</w:t>
            </w:r>
          </w:p>
          <w:p w:rsidR="00F014BC" w:rsidRPr="004D5D5F" w:rsidRDefault="00F014BC" w:rsidP="00F014BC">
            <w:pPr>
              <w:pStyle w:val="ListParagraph"/>
              <w:numPr>
                <w:ilvl w:val="0"/>
                <w:numId w:val="3"/>
              </w:numPr>
              <w:ind w:left="360"/>
              <w:rPr>
                <w:rStyle w:val="Strong"/>
                <w:b w:val="0"/>
                <w:sz w:val="22"/>
                <w:szCs w:val="22"/>
              </w:rPr>
            </w:pPr>
            <w:r w:rsidRPr="004D5D5F">
              <w:rPr>
                <w:rStyle w:val="Strong"/>
                <w:b w:val="0"/>
                <w:sz w:val="22"/>
                <w:szCs w:val="22"/>
              </w:rPr>
              <w:t xml:space="preserve">Lack of storm water permits to protect State </w:t>
            </w:r>
            <w:r w:rsidR="00EF4057">
              <w:rPr>
                <w:rStyle w:val="Strong"/>
                <w:b w:val="0"/>
                <w:sz w:val="22"/>
                <w:szCs w:val="22"/>
              </w:rPr>
              <w:t xml:space="preserve">and/or federal </w:t>
            </w:r>
            <w:r w:rsidRPr="004D5D5F">
              <w:rPr>
                <w:rStyle w:val="Strong"/>
                <w:b w:val="0"/>
                <w:sz w:val="22"/>
                <w:szCs w:val="22"/>
              </w:rPr>
              <w:t xml:space="preserve">waters from degradation by municipal and industrial wastes in most-urbanized portion of the region (Lancaster/Palmdale) </w:t>
            </w:r>
          </w:p>
          <w:p w:rsidR="00F014BC" w:rsidRPr="00F014BC" w:rsidRDefault="004516EF" w:rsidP="00203DC5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Una</w:t>
            </w:r>
            <w:r w:rsidR="000736C1">
              <w:rPr>
                <w:rStyle w:val="Strong"/>
                <w:b w:val="0"/>
                <w:sz w:val="22"/>
                <w:szCs w:val="22"/>
              </w:rPr>
              <w:t>ble to address m</w:t>
            </w:r>
            <w:r w:rsidR="00F014BC" w:rsidRPr="004D5D5F">
              <w:rPr>
                <w:rStyle w:val="Strong"/>
                <w:b w:val="0"/>
                <w:sz w:val="22"/>
                <w:szCs w:val="22"/>
              </w:rPr>
              <w:t>unicipal</w:t>
            </w:r>
            <w:r w:rsidR="00203DC5">
              <w:rPr>
                <w:rStyle w:val="Strong"/>
                <w:b w:val="0"/>
                <w:sz w:val="22"/>
                <w:szCs w:val="22"/>
              </w:rPr>
              <w:t xml:space="preserve"> program</w:t>
            </w:r>
            <w:r w:rsidR="00F014BC" w:rsidRPr="004D5D5F">
              <w:rPr>
                <w:rStyle w:val="Strong"/>
                <w:b w:val="0"/>
                <w:sz w:val="22"/>
                <w:szCs w:val="22"/>
              </w:rPr>
              <w:t xml:space="preserve"> deficiencies in South basin with respect to permit compliance </w:t>
            </w:r>
            <w:r w:rsidR="00EF4057">
              <w:rPr>
                <w:rStyle w:val="Strong"/>
                <w:b w:val="0"/>
                <w:sz w:val="22"/>
                <w:szCs w:val="22"/>
              </w:rPr>
              <w:t>and implementing L</w:t>
            </w:r>
            <w:r w:rsidR="00F014BC" w:rsidRPr="004D5D5F">
              <w:rPr>
                <w:rStyle w:val="Strong"/>
                <w:b w:val="0"/>
                <w:sz w:val="22"/>
                <w:szCs w:val="22"/>
              </w:rPr>
              <w:t xml:space="preserve">ow </w:t>
            </w:r>
            <w:r w:rsidR="00EF4057">
              <w:rPr>
                <w:rStyle w:val="Strong"/>
                <w:b w:val="0"/>
                <w:sz w:val="22"/>
                <w:szCs w:val="22"/>
              </w:rPr>
              <w:t>Impact D</w:t>
            </w:r>
            <w:r w:rsidR="00F014BC" w:rsidRPr="004D5D5F">
              <w:rPr>
                <w:rStyle w:val="Strong"/>
                <w:b w:val="0"/>
                <w:sz w:val="22"/>
                <w:szCs w:val="22"/>
              </w:rPr>
              <w:t>evelopment practices to maintain natural hydrology and watershed resiliency</w:t>
            </w:r>
            <w:r w:rsidR="000736C1">
              <w:rPr>
                <w:rStyle w:val="Strong"/>
                <w:b w:val="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6428F3" w:rsidRPr="006A22C8" w:rsidRDefault="006428F3" w:rsidP="006428F3">
      <w:pPr>
        <w:rPr>
          <w:rStyle w:val="Strong"/>
          <w:b w:val="0"/>
        </w:rPr>
      </w:pPr>
    </w:p>
    <w:sectPr w:rsidR="006428F3" w:rsidRPr="006A22C8" w:rsidSect="00F014BC">
      <w:type w:val="continuous"/>
      <w:pgSz w:w="12240" w:h="15840"/>
      <w:pgMar w:top="1296" w:right="1296" w:bottom="5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B3" w:rsidRDefault="00AF3FB3" w:rsidP="00A8517D">
      <w:r>
        <w:separator/>
      </w:r>
    </w:p>
  </w:endnote>
  <w:endnote w:type="continuationSeparator" w:id="0">
    <w:p w:rsidR="00AF3FB3" w:rsidRDefault="00AF3FB3" w:rsidP="00A8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B3" w:rsidRDefault="00AF3FB3" w:rsidP="00A8517D">
      <w:r>
        <w:separator/>
      </w:r>
    </w:p>
  </w:footnote>
  <w:footnote w:type="continuationSeparator" w:id="0">
    <w:p w:rsidR="00AF3FB3" w:rsidRDefault="00AF3FB3" w:rsidP="00A8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D66"/>
    <w:multiLevelType w:val="hybridMultilevel"/>
    <w:tmpl w:val="6158F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34954"/>
    <w:multiLevelType w:val="hybridMultilevel"/>
    <w:tmpl w:val="C9A0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8482C"/>
    <w:multiLevelType w:val="hybridMultilevel"/>
    <w:tmpl w:val="3D34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C571B"/>
    <w:multiLevelType w:val="hybridMultilevel"/>
    <w:tmpl w:val="D3CA8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F61C4C"/>
    <w:multiLevelType w:val="hybridMultilevel"/>
    <w:tmpl w:val="63C05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956164"/>
    <w:multiLevelType w:val="hybridMultilevel"/>
    <w:tmpl w:val="DF986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BD2C2C"/>
    <w:multiLevelType w:val="hybridMultilevel"/>
    <w:tmpl w:val="B382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571BF"/>
    <w:multiLevelType w:val="hybridMultilevel"/>
    <w:tmpl w:val="E770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D44DD"/>
    <w:multiLevelType w:val="hybridMultilevel"/>
    <w:tmpl w:val="21F6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50305"/>
    <w:multiLevelType w:val="hybridMultilevel"/>
    <w:tmpl w:val="4D644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CE2276"/>
    <w:multiLevelType w:val="hybridMultilevel"/>
    <w:tmpl w:val="D13A59B8"/>
    <w:lvl w:ilvl="0" w:tplc="56161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FA1AB8"/>
    <w:multiLevelType w:val="hybridMultilevel"/>
    <w:tmpl w:val="C2E09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53F5F"/>
    <w:multiLevelType w:val="hybridMultilevel"/>
    <w:tmpl w:val="BC52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666A3"/>
    <w:multiLevelType w:val="hybridMultilevel"/>
    <w:tmpl w:val="178A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45CE2"/>
    <w:multiLevelType w:val="hybridMultilevel"/>
    <w:tmpl w:val="735A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40"/>
    <w:rsid w:val="0001018C"/>
    <w:rsid w:val="00035CAB"/>
    <w:rsid w:val="0004423C"/>
    <w:rsid w:val="000572D3"/>
    <w:rsid w:val="000736C1"/>
    <w:rsid w:val="000762AF"/>
    <w:rsid w:val="00094E0D"/>
    <w:rsid w:val="000A2D34"/>
    <w:rsid w:val="000B38BB"/>
    <w:rsid w:val="000D2DAA"/>
    <w:rsid w:val="000D71D5"/>
    <w:rsid w:val="000E014E"/>
    <w:rsid w:val="000E1447"/>
    <w:rsid w:val="000E2D13"/>
    <w:rsid w:val="000E4FBB"/>
    <w:rsid w:val="00120A8B"/>
    <w:rsid w:val="00127A8B"/>
    <w:rsid w:val="0013508E"/>
    <w:rsid w:val="00150981"/>
    <w:rsid w:val="00151807"/>
    <w:rsid w:val="001815F6"/>
    <w:rsid w:val="00182604"/>
    <w:rsid w:val="00186F5B"/>
    <w:rsid w:val="001879A4"/>
    <w:rsid w:val="00196039"/>
    <w:rsid w:val="00196884"/>
    <w:rsid w:val="001A4E94"/>
    <w:rsid w:val="001A71CB"/>
    <w:rsid w:val="001B4830"/>
    <w:rsid w:val="001C2323"/>
    <w:rsid w:val="001D10DE"/>
    <w:rsid w:val="001F2DFF"/>
    <w:rsid w:val="00203DC5"/>
    <w:rsid w:val="00210726"/>
    <w:rsid w:val="002271E0"/>
    <w:rsid w:val="00274865"/>
    <w:rsid w:val="00283629"/>
    <w:rsid w:val="00283FC4"/>
    <w:rsid w:val="00285EA9"/>
    <w:rsid w:val="002C35DA"/>
    <w:rsid w:val="002E08D7"/>
    <w:rsid w:val="002E0A12"/>
    <w:rsid w:val="002F2244"/>
    <w:rsid w:val="002F69E6"/>
    <w:rsid w:val="003073E8"/>
    <w:rsid w:val="00311105"/>
    <w:rsid w:val="003356C8"/>
    <w:rsid w:val="00346001"/>
    <w:rsid w:val="00364E3B"/>
    <w:rsid w:val="00365C4A"/>
    <w:rsid w:val="00375CDD"/>
    <w:rsid w:val="00397597"/>
    <w:rsid w:val="003B074F"/>
    <w:rsid w:val="003B07E8"/>
    <w:rsid w:val="003C3357"/>
    <w:rsid w:val="003C7376"/>
    <w:rsid w:val="003D1458"/>
    <w:rsid w:val="003D18F2"/>
    <w:rsid w:val="003E0433"/>
    <w:rsid w:val="003E0454"/>
    <w:rsid w:val="003E10F7"/>
    <w:rsid w:val="003F4BF5"/>
    <w:rsid w:val="00402E6D"/>
    <w:rsid w:val="00404267"/>
    <w:rsid w:val="00417F2C"/>
    <w:rsid w:val="004216A3"/>
    <w:rsid w:val="00432EA3"/>
    <w:rsid w:val="004516EF"/>
    <w:rsid w:val="004526D7"/>
    <w:rsid w:val="004568D4"/>
    <w:rsid w:val="00480529"/>
    <w:rsid w:val="0048137B"/>
    <w:rsid w:val="00481D50"/>
    <w:rsid w:val="00486F72"/>
    <w:rsid w:val="0049336F"/>
    <w:rsid w:val="004B5FF0"/>
    <w:rsid w:val="004B782C"/>
    <w:rsid w:val="004C0815"/>
    <w:rsid w:val="004C17E8"/>
    <w:rsid w:val="004C3D38"/>
    <w:rsid w:val="004C6197"/>
    <w:rsid w:val="004D171C"/>
    <w:rsid w:val="004D2DE2"/>
    <w:rsid w:val="004D5D5F"/>
    <w:rsid w:val="005013DA"/>
    <w:rsid w:val="00503353"/>
    <w:rsid w:val="00504F45"/>
    <w:rsid w:val="00521318"/>
    <w:rsid w:val="00526AEC"/>
    <w:rsid w:val="00542F59"/>
    <w:rsid w:val="00545F49"/>
    <w:rsid w:val="00547C5C"/>
    <w:rsid w:val="00560737"/>
    <w:rsid w:val="0056374E"/>
    <w:rsid w:val="00572047"/>
    <w:rsid w:val="005810B1"/>
    <w:rsid w:val="00584AEE"/>
    <w:rsid w:val="00590AE1"/>
    <w:rsid w:val="0059312B"/>
    <w:rsid w:val="005A1B49"/>
    <w:rsid w:val="005A2F37"/>
    <w:rsid w:val="005A77BD"/>
    <w:rsid w:val="005B0632"/>
    <w:rsid w:val="005D17B8"/>
    <w:rsid w:val="005D7BC5"/>
    <w:rsid w:val="005E3FE6"/>
    <w:rsid w:val="005E79BD"/>
    <w:rsid w:val="00602202"/>
    <w:rsid w:val="006202FC"/>
    <w:rsid w:val="00632D66"/>
    <w:rsid w:val="00634D47"/>
    <w:rsid w:val="00641A38"/>
    <w:rsid w:val="006428F3"/>
    <w:rsid w:val="006443C5"/>
    <w:rsid w:val="00655F2A"/>
    <w:rsid w:val="00663ABC"/>
    <w:rsid w:val="00682F07"/>
    <w:rsid w:val="00685F70"/>
    <w:rsid w:val="00692E79"/>
    <w:rsid w:val="00697963"/>
    <w:rsid w:val="006A22C8"/>
    <w:rsid w:val="006A2F88"/>
    <w:rsid w:val="006B0891"/>
    <w:rsid w:val="006C3513"/>
    <w:rsid w:val="006E02DD"/>
    <w:rsid w:val="006E50B8"/>
    <w:rsid w:val="006F30E6"/>
    <w:rsid w:val="00704521"/>
    <w:rsid w:val="00710731"/>
    <w:rsid w:val="007320CA"/>
    <w:rsid w:val="00757181"/>
    <w:rsid w:val="007745F2"/>
    <w:rsid w:val="00785AC3"/>
    <w:rsid w:val="007B07F3"/>
    <w:rsid w:val="007B26D3"/>
    <w:rsid w:val="007C31A0"/>
    <w:rsid w:val="007D72CA"/>
    <w:rsid w:val="007E5129"/>
    <w:rsid w:val="007E5AB5"/>
    <w:rsid w:val="007F018C"/>
    <w:rsid w:val="007F414E"/>
    <w:rsid w:val="00802548"/>
    <w:rsid w:val="00804AD5"/>
    <w:rsid w:val="00810D68"/>
    <w:rsid w:val="0082107B"/>
    <w:rsid w:val="00822F5D"/>
    <w:rsid w:val="00833EEC"/>
    <w:rsid w:val="00835EA4"/>
    <w:rsid w:val="0083783E"/>
    <w:rsid w:val="0087148A"/>
    <w:rsid w:val="00880AD2"/>
    <w:rsid w:val="008813F8"/>
    <w:rsid w:val="00891C26"/>
    <w:rsid w:val="00896D6C"/>
    <w:rsid w:val="008A31E0"/>
    <w:rsid w:val="008B0938"/>
    <w:rsid w:val="008B2A90"/>
    <w:rsid w:val="008B4B29"/>
    <w:rsid w:val="008B53CE"/>
    <w:rsid w:val="008C029D"/>
    <w:rsid w:val="008D2140"/>
    <w:rsid w:val="008D66B7"/>
    <w:rsid w:val="008F0360"/>
    <w:rsid w:val="00905AFA"/>
    <w:rsid w:val="009370D6"/>
    <w:rsid w:val="00951770"/>
    <w:rsid w:val="00951B90"/>
    <w:rsid w:val="00953D7E"/>
    <w:rsid w:val="009670AB"/>
    <w:rsid w:val="00976DBE"/>
    <w:rsid w:val="00983A3E"/>
    <w:rsid w:val="0099215A"/>
    <w:rsid w:val="00994320"/>
    <w:rsid w:val="009951D6"/>
    <w:rsid w:val="009E02E0"/>
    <w:rsid w:val="009E1118"/>
    <w:rsid w:val="009E7F67"/>
    <w:rsid w:val="009F5486"/>
    <w:rsid w:val="00A419C5"/>
    <w:rsid w:val="00A66CE9"/>
    <w:rsid w:val="00A84236"/>
    <w:rsid w:val="00A8517D"/>
    <w:rsid w:val="00A8692F"/>
    <w:rsid w:val="00A93501"/>
    <w:rsid w:val="00AB2939"/>
    <w:rsid w:val="00AC22FC"/>
    <w:rsid w:val="00AF3FB3"/>
    <w:rsid w:val="00B03D7D"/>
    <w:rsid w:val="00B074CD"/>
    <w:rsid w:val="00B11F51"/>
    <w:rsid w:val="00B40F89"/>
    <w:rsid w:val="00B43CB9"/>
    <w:rsid w:val="00B45987"/>
    <w:rsid w:val="00B80B13"/>
    <w:rsid w:val="00B8171C"/>
    <w:rsid w:val="00B86C8B"/>
    <w:rsid w:val="00BA013A"/>
    <w:rsid w:val="00BA3741"/>
    <w:rsid w:val="00BA49C7"/>
    <w:rsid w:val="00BC03BB"/>
    <w:rsid w:val="00BC062B"/>
    <w:rsid w:val="00BC201A"/>
    <w:rsid w:val="00BE3B62"/>
    <w:rsid w:val="00BF019C"/>
    <w:rsid w:val="00BF481E"/>
    <w:rsid w:val="00C139DA"/>
    <w:rsid w:val="00C31251"/>
    <w:rsid w:val="00C32C7B"/>
    <w:rsid w:val="00C463CC"/>
    <w:rsid w:val="00C56A1B"/>
    <w:rsid w:val="00C83751"/>
    <w:rsid w:val="00C8763E"/>
    <w:rsid w:val="00C95421"/>
    <w:rsid w:val="00CA4F71"/>
    <w:rsid w:val="00CD384C"/>
    <w:rsid w:val="00CD522A"/>
    <w:rsid w:val="00CE404A"/>
    <w:rsid w:val="00CE522A"/>
    <w:rsid w:val="00CF228A"/>
    <w:rsid w:val="00CF2B2F"/>
    <w:rsid w:val="00CF7C6A"/>
    <w:rsid w:val="00D06DCA"/>
    <w:rsid w:val="00D15B62"/>
    <w:rsid w:val="00D22E6D"/>
    <w:rsid w:val="00D41CD4"/>
    <w:rsid w:val="00D4304B"/>
    <w:rsid w:val="00D70CBE"/>
    <w:rsid w:val="00D95240"/>
    <w:rsid w:val="00DA0B39"/>
    <w:rsid w:val="00DB7938"/>
    <w:rsid w:val="00DC45A2"/>
    <w:rsid w:val="00DC6D6A"/>
    <w:rsid w:val="00DD4F03"/>
    <w:rsid w:val="00DE3265"/>
    <w:rsid w:val="00DF0A5C"/>
    <w:rsid w:val="00DF3AC0"/>
    <w:rsid w:val="00DF4B05"/>
    <w:rsid w:val="00E07CB4"/>
    <w:rsid w:val="00E11A4B"/>
    <w:rsid w:val="00E22A8B"/>
    <w:rsid w:val="00E30E05"/>
    <w:rsid w:val="00E31BB4"/>
    <w:rsid w:val="00E47FD1"/>
    <w:rsid w:val="00E97B8F"/>
    <w:rsid w:val="00ED69F7"/>
    <w:rsid w:val="00ED7FD0"/>
    <w:rsid w:val="00EE1C0F"/>
    <w:rsid w:val="00EF2113"/>
    <w:rsid w:val="00EF3D66"/>
    <w:rsid w:val="00EF4057"/>
    <w:rsid w:val="00F014BC"/>
    <w:rsid w:val="00F025A0"/>
    <w:rsid w:val="00F02B9B"/>
    <w:rsid w:val="00F26D07"/>
    <w:rsid w:val="00F32E0A"/>
    <w:rsid w:val="00F524AD"/>
    <w:rsid w:val="00F52821"/>
    <w:rsid w:val="00F65AD5"/>
    <w:rsid w:val="00F75F02"/>
    <w:rsid w:val="00F829CB"/>
    <w:rsid w:val="00F86950"/>
    <w:rsid w:val="00F9030B"/>
    <w:rsid w:val="00F97B02"/>
    <w:rsid w:val="00FA2C2A"/>
    <w:rsid w:val="00FA635E"/>
    <w:rsid w:val="00FB1BD0"/>
    <w:rsid w:val="00FB754F"/>
    <w:rsid w:val="00FC327B"/>
    <w:rsid w:val="00FC32EA"/>
    <w:rsid w:val="00FC6294"/>
    <w:rsid w:val="00FE15F2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6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26D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6D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styleId="Emphasis">
    <w:name w:val="Emphasis"/>
    <w:basedOn w:val="DefaultParagraphFont"/>
    <w:qFormat/>
    <w:rsid w:val="004526D7"/>
    <w:rPr>
      <w:i/>
      <w:iCs/>
    </w:rPr>
  </w:style>
  <w:style w:type="character" w:styleId="Strong">
    <w:name w:val="Strong"/>
    <w:basedOn w:val="DefaultParagraphFont"/>
    <w:uiPriority w:val="22"/>
    <w:qFormat/>
    <w:rsid w:val="004526D7"/>
    <w:rPr>
      <w:b/>
      <w:bCs/>
    </w:rPr>
  </w:style>
  <w:style w:type="table" w:styleId="TableGrid">
    <w:name w:val="Table Grid"/>
    <w:basedOn w:val="TableNormal"/>
    <w:rsid w:val="008D2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C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2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F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83A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3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3A3E"/>
    <w:rPr>
      <w:rFonts w:ascii="Arial" w:hAnsi="Arial"/>
    </w:rPr>
  </w:style>
  <w:style w:type="character" w:styleId="Hyperlink">
    <w:name w:val="Hyperlink"/>
    <w:basedOn w:val="DefaultParagraphFont"/>
    <w:rsid w:val="009E02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85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51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A85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517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7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72F5"/>
    <w:rPr>
      <w:rFonts w:ascii="Arial" w:hAnsi="Arial"/>
      <w:b/>
      <w:bCs/>
    </w:rPr>
  </w:style>
  <w:style w:type="character" w:styleId="FollowedHyperlink">
    <w:name w:val="FollowedHyperlink"/>
    <w:basedOn w:val="DefaultParagraphFont"/>
    <w:rsid w:val="009951D6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014BC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F014BC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6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26D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6D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styleId="Emphasis">
    <w:name w:val="Emphasis"/>
    <w:basedOn w:val="DefaultParagraphFont"/>
    <w:qFormat/>
    <w:rsid w:val="004526D7"/>
    <w:rPr>
      <w:i/>
      <w:iCs/>
    </w:rPr>
  </w:style>
  <w:style w:type="character" w:styleId="Strong">
    <w:name w:val="Strong"/>
    <w:basedOn w:val="DefaultParagraphFont"/>
    <w:uiPriority w:val="22"/>
    <w:qFormat/>
    <w:rsid w:val="004526D7"/>
    <w:rPr>
      <w:b/>
      <w:bCs/>
    </w:rPr>
  </w:style>
  <w:style w:type="table" w:styleId="TableGrid">
    <w:name w:val="Table Grid"/>
    <w:basedOn w:val="TableNormal"/>
    <w:rsid w:val="008D2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C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2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F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83A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3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3A3E"/>
    <w:rPr>
      <w:rFonts w:ascii="Arial" w:hAnsi="Arial"/>
    </w:rPr>
  </w:style>
  <w:style w:type="character" w:styleId="Hyperlink">
    <w:name w:val="Hyperlink"/>
    <w:basedOn w:val="DefaultParagraphFont"/>
    <w:rsid w:val="009E02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85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51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A85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517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7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72F5"/>
    <w:rPr>
      <w:rFonts w:ascii="Arial" w:hAnsi="Arial"/>
      <w:b/>
      <w:bCs/>
    </w:rPr>
  </w:style>
  <w:style w:type="character" w:styleId="FollowedHyperlink">
    <w:name w:val="FollowedHyperlink"/>
    <w:basedOn w:val="DefaultParagraphFont"/>
    <w:rsid w:val="009951D6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014BC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F014BC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244858633177177"/>
          <c:y val="7.2043171327721964E-2"/>
          <c:w val="0.60985867757521306"/>
          <c:h val="0.8985970780201147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Permittee Types</c:v>
                </c:pt>
              </c:strCache>
            </c:strRef>
          </c:tx>
          <c:dLbls>
            <c:dLbl>
              <c:idx val="0"/>
              <c:layout>
                <c:manualLayout>
                  <c:x val="-0.18263157894736842"/>
                  <c:y val="0.16572449995474703"/>
                </c:manualLayout>
              </c:layout>
              <c:tx>
                <c:rich>
                  <a:bodyPr/>
                  <a:lstStyle/>
                  <a:p>
                    <a:r>
                      <a:rPr lang="en-US" sz="800" baseline="0"/>
                      <a:t>Construction</a:t>
                    </a:r>
                  </a:p>
                  <a:p>
                    <a:r>
                      <a:rPr lang="en-US" sz="800" baseline="0"/>
                      <a:t>392</a:t>
                    </a:r>
                  </a:p>
                  <a:p>
                    <a:endParaRPr lang="en-US" sz="800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Industrial, 256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Municipal/ Caltrans, 13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Construction</c:v>
                </c:pt>
                <c:pt idx="1">
                  <c:v>Industrial</c:v>
                </c:pt>
                <c:pt idx="2">
                  <c:v>Municipal/ Caltrans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475</c:v>
                </c:pt>
                <c:pt idx="1">
                  <c:v>219</c:v>
                </c:pt>
                <c:pt idx="2">
                  <c:v>11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299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838950440929459E-3"/>
          <c:y val="0.11430160338868532"/>
          <c:w val="0.79164192971453784"/>
          <c:h val="0.8856983966113146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Staff Activities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3"/>
              <c:layout/>
              <c:spPr/>
              <c:txPr>
                <a:bodyPr rot="0" anchor="t" anchorCtr="0"/>
                <a:lstStyle/>
                <a:p>
                  <a:pPr>
                    <a:defRPr sz="800"/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4204022938112698"/>
                  <c:y val="0.2503097893432466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Permit Administration</c:v>
                </c:pt>
                <c:pt idx="1">
                  <c:v>Report Verification</c:v>
                </c:pt>
                <c:pt idx="2">
                  <c:v>Enforcement</c:v>
                </c:pt>
                <c:pt idx="3">
                  <c:v>Inspections</c:v>
                </c:pt>
                <c:pt idx="4">
                  <c:v>Other, database mgmt.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29</c:v>
                </c:pt>
                <c:pt idx="1">
                  <c:v>18</c:v>
                </c:pt>
                <c:pt idx="2">
                  <c:v>15</c:v>
                </c:pt>
                <c:pt idx="3">
                  <c:v>12</c:v>
                </c:pt>
                <c:pt idx="4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82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4D16-DF86-431B-8175-3F173378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613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Shay</dc:creator>
  <cp:lastModifiedBy>Miller, Alan@Waterboards</cp:lastModifiedBy>
  <cp:revision>5</cp:revision>
  <cp:lastPrinted>2017-02-22T00:34:00Z</cp:lastPrinted>
  <dcterms:created xsi:type="dcterms:W3CDTF">2018-03-12T22:36:00Z</dcterms:created>
  <dcterms:modified xsi:type="dcterms:W3CDTF">2018-03-22T15:40:00Z</dcterms:modified>
</cp:coreProperties>
</file>