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E7" w:rsidRPr="00526D8E" w:rsidRDefault="00447614" w:rsidP="00526D8E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APPENDIX 1</w:t>
      </w:r>
    </w:p>
    <w:p w:rsidR="00EE12E7" w:rsidRDefault="00326393" w:rsidP="00A01EEF">
      <w:pPr>
        <w:spacing w:after="120"/>
        <w:jc w:val="center"/>
        <w:rPr>
          <w:b/>
        </w:rPr>
      </w:pPr>
      <w:r>
        <w:rPr>
          <w:b/>
          <w:bCs/>
        </w:rPr>
        <w:t>AGRONOMIC</w:t>
      </w:r>
      <w:r w:rsidR="00B55C4A">
        <w:rPr>
          <w:b/>
        </w:rPr>
        <w:t xml:space="preserve"> RATE GUIDANCE</w:t>
      </w:r>
    </w:p>
    <w:p w:rsidR="00526D8E" w:rsidRDefault="00526D8E" w:rsidP="00526D8E">
      <w:pPr>
        <w:pStyle w:val="Title"/>
        <w:rPr>
          <w:sz w:val="24"/>
        </w:rPr>
      </w:pPr>
      <w:r>
        <w:rPr>
          <w:sz w:val="24"/>
        </w:rPr>
        <w:t>CALIFORNIA REGIONAL WATER QUALITY CONTROL BOARD</w:t>
      </w:r>
    </w:p>
    <w:p w:rsidR="00526D8E" w:rsidRDefault="00526D8E" w:rsidP="00526D8E">
      <w:pPr>
        <w:spacing w:after="120"/>
        <w:jc w:val="center"/>
        <w:rPr>
          <w:b/>
        </w:rPr>
      </w:pPr>
      <w:r>
        <w:rPr>
          <w:b/>
          <w:bCs/>
        </w:rPr>
        <w:t>SAN FRANCISCO BAY REGION</w:t>
      </w:r>
    </w:p>
    <w:p w:rsidR="00AA02B1" w:rsidRPr="009D0AD1" w:rsidRDefault="00AA02B1" w:rsidP="00AA02B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For the</w:t>
      </w:r>
      <w:r w:rsidRPr="009D0AD1">
        <w:rPr>
          <w:bCs/>
          <w:sz w:val="22"/>
          <w:szCs w:val="22"/>
        </w:rPr>
        <w:t xml:space="preserve"> Genera</w:t>
      </w:r>
      <w:r>
        <w:rPr>
          <w:bCs/>
          <w:sz w:val="22"/>
          <w:szCs w:val="22"/>
        </w:rPr>
        <w:t>l Waste Discharge Requirements f</w:t>
      </w:r>
      <w:r w:rsidRPr="009D0AD1">
        <w:rPr>
          <w:bCs/>
          <w:sz w:val="22"/>
          <w:szCs w:val="22"/>
        </w:rPr>
        <w:t xml:space="preserve">or </w:t>
      </w:r>
    </w:p>
    <w:p w:rsidR="00AA02B1" w:rsidRPr="009D0AD1" w:rsidRDefault="00AA02B1" w:rsidP="00AA02B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Discharges of Winery Waste to Land Within t</w:t>
      </w:r>
      <w:r w:rsidRPr="009D0AD1">
        <w:rPr>
          <w:bCs/>
          <w:sz w:val="22"/>
          <w:szCs w:val="22"/>
        </w:rPr>
        <w:t xml:space="preserve">he San Francisco Bay Region </w:t>
      </w:r>
    </w:p>
    <w:p w:rsidR="00AA02B1" w:rsidRDefault="00A87B03" w:rsidP="00AA02B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Order No. R2-2017-XXXX</w:t>
      </w:r>
    </w:p>
    <w:p w:rsidR="00AA02B1" w:rsidRPr="00AA02B1" w:rsidRDefault="00AA02B1">
      <w:pPr>
        <w:pBdr>
          <w:bottom w:val="double" w:sz="6" w:space="1" w:color="auto"/>
        </w:pBdr>
        <w:jc w:val="center"/>
        <w:rPr>
          <w:sz w:val="12"/>
          <w:szCs w:val="12"/>
        </w:rPr>
      </w:pPr>
    </w:p>
    <w:p w:rsidR="00326393" w:rsidRDefault="00326393" w:rsidP="00326393">
      <w:pPr>
        <w:spacing w:before="120"/>
        <w:rPr>
          <w:szCs w:val="24"/>
        </w:rPr>
      </w:pPr>
      <w:r w:rsidRPr="00F24F0A">
        <w:rPr>
          <w:szCs w:val="24"/>
        </w:rPr>
        <w:t xml:space="preserve">This document is intended to provide general guidance on approaches </w:t>
      </w:r>
      <w:r>
        <w:rPr>
          <w:szCs w:val="24"/>
        </w:rPr>
        <w:t>and methods for determining agronomic rates of wastewater application to land</w:t>
      </w:r>
      <w:r w:rsidRPr="00F24F0A">
        <w:rPr>
          <w:szCs w:val="24"/>
        </w:rPr>
        <w:t>. It is not to be construed as an endorsement of any particular method or an exhaustive list of options.</w:t>
      </w:r>
    </w:p>
    <w:p w:rsidR="00D72626" w:rsidRPr="00D72626" w:rsidRDefault="00D72626" w:rsidP="007061E7">
      <w:pPr>
        <w:rPr>
          <w:szCs w:val="24"/>
        </w:rPr>
      </w:pPr>
    </w:p>
    <w:p w:rsidR="00EE12E7" w:rsidRPr="00D72626" w:rsidRDefault="00AA455D" w:rsidP="003916A3">
      <w:pPr>
        <w:spacing w:after="120"/>
        <w:rPr>
          <w:b/>
          <w:bCs/>
          <w:szCs w:val="24"/>
          <w:u w:val="single"/>
        </w:rPr>
      </w:pPr>
      <w:r w:rsidRPr="00D72626">
        <w:rPr>
          <w:b/>
          <w:bCs/>
          <w:szCs w:val="24"/>
          <w:u w:val="single"/>
        </w:rPr>
        <w:t>General</w:t>
      </w:r>
    </w:p>
    <w:p w:rsidR="00A87B03" w:rsidRPr="00A87B03" w:rsidRDefault="008F390B" w:rsidP="00A87B03">
      <w:pPr>
        <w:rPr>
          <w:szCs w:val="24"/>
        </w:rPr>
      </w:pPr>
      <w:r w:rsidRPr="00D72626">
        <w:rPr>
          <w:szCs w:val="24"/>
        </w:rPr>
        <w:t xml:space="preserve">This guidance is intended for Dischargers who </w:t>
      </w:r>
      <w:r w:rsidR="007061E7">
        <w:rPr>
          <w:szCs w:val="24"/>
        </w:rPr>
        <w:t xml:space="preserve">apply </w:t>
      </w:r>
      <w:r w:rsidR="00A87B03">
        <w:rPr>
          <w:szCs w:val="24"/>
        </w:rPr>
        <w:t xml:space="preserve">treated </w:t>
      </w:r>
      <w:r w:rsidRPr="00D72626">
        <w:rPr>
          <w:szCs w:val="24"/>
        </w:rPr>
        <w:t>wastewater to land</w:t>
      </w:r>
      <w:r w:rsidR="00D72626" w:rsidRPr="00D72626">
        <w:rPr>
          <w:szCs w:val="24"/>
        </w:rPr>
        <w:t xml:space="preserve"> via subsurface or land surface </w:t>
      </w:r>
      <w:r w:rsidR="0017261D" w:rsidRPr="00D72626">
        <w:rPr>
          <w:szCs w:val="24"/>
        </w:rPr>
        <w:t>irrigation</w:t>
      </w:r>
      <w:r w:rsidRPr="00D72626">
        <w:rPr>
          <w:szCs w:val="24"/>
        </w:rPr>
        <w:t xml:space="preserve"> at an agronomic rate</w:t>
      </w:r>
      <w:r w:rsidR="00A87B03">
        <w:rPr>
          <w:szCs w:val="24"/>
        </w:rPr>
        <w:t xml:space="preserve"> in accordance with the </w:t>
      </w:r>
      <w:r w:rsidR="00A87B03" w:rsidRPr="00A87B03">
        <w:rPr>
          <w:szCs w:val="24"/>
        </w:rPr>
        <w:t>General Wa</w:t>
      </w:r>
      <w:r w:rsidR="00A87B03">
        <w:rPr>
          <w:szCs w:val="24"/>
        </w:rPr>
        <w:t xml:space="preserve">ste Discharge Requirements for </w:t>
      </w:r>
      <w:r w:rsidR="00A87B03" w:rsidRPr="00A87B03">
        <w:rPr>
          <w:szCs w:val="24"/>
        </w:rPr>
        <w:t xml:space="preserve">Discharges of Winery Waste to Land Within the San Francisco Bay Region </w:t>
      </w:r>
    </w:p>
    <w:p w:rsidR="008F390B" w:rsidRPr="00D72626" w:rsidRDefault="00A87B03" w:rsidP="00A87B03">
      <w:pPr>
        <w:rPr>
          <w:szCs w:val="24"/>
        </w:rPr>
      </w:pPr>
      <w:r w:rsidRPr="00A87B03">
        <w:rPr>
          <w:szCs w:val="24"/>
        </w:rPr>
        <w:t>Order No. R2-2017-XXXX</w:t>
      </w:r>
      <w:r w:rsidR="008F390B" w:rsidRPr="00D72626">
        <w:rPr>
          <w:szCs w:val="24"/>
        </w:rPr>
        <w:t>.</w:t>
      </w:r>
    </w:p>
    <w:p w:rsidR="00326393" w:rsidRPr="00D72626" w:rsidRDefault="00326393" w:rsidP="003916A3">
      <w:pPr>
        <w:rPr>
          <w:szCs w:val="24"/>
        </w:rPr>
      </w:pPr>
    </w:p>
    <w:p w:rsidR="00326393" w:rsidRPr="00D72626" w:rsidRDefault="008F390B" w:rsidP="003916A3">
      <w:pPr>
        <w:rPr>
          <w:szCs w:val="24"/>
        </w:rPr>
      </w:pPr>
      <w:r w:rsidRPr="00D72626">
        <w:rPr>
          <w:szCs w:val="24"/>
        </w:rPr>
        <w:t>Definitions of a</w:t>
      </w:r>
      <w:r w:rsidR="00326393" w:rsidRPr="00D72626">
        <w:rPr>
          <w:szCs w:val="24"/>
        </w:rPr>
        <w:t>gronomic rate</w:t>
      </w:r>
      <w:r w:rsidRPr="00D72626">
        <w:rPr>
          <w:szCs w:val="24"/>
        </w:rPr>
        <w:t>s</w:t>
      </w:r>
      <w:r w:rsidR="00326393" w:rsidRPr="00D72626">
        <w:rPr>
          <w:szCs w:val="24"/>
        </w:rPr>
        <w:t xml:space="preserve"> </w:t>
      </w:r>
      <w:r w:rsidRPr="00D72626">
        <w:rPr>
          <w:szCs w:val="24"/>
        </w:rPr>
        <w:t>include:</w:t>
      </w:r>
    </w:p>
    <w:p w:rsidR="008F390B" w:rsidRPr="00D72626" w:rsidRDefault="008F390B" w:rsidP="003916A3">
      <w:pPr>
        <w:rPr>
          <w:szCs w:val="24"/>
        </w:rPr>
      </w:pPr>
    </w:p>
    <w:p w:rsidR="008F390B" w:rsidRPr="00D72626" w:rsidRDefault="008F390B" w:rsidP="008F390B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>The land application of irrigation water and nutrients at rates of application in accordance with a plan for nutrient management that will enhance soil productivity and provide the crop or forage growth with needed nutrients for optimum health and growth.</w:t>
      </w:r>
      <w:r w:rsidRPr="00D72626">
        <w:rPr>
          <w:rStyle w:val="FootnoteReference"/>
          <w:rFonts w:ascii="Times New Roman" w:hAnsi="Times New Roman"/>
          <w:sz w:val="24"/>
        </w:rPr>
        <w:footnoteReference w:id="1"/>
      </w:r>
    </w:p>
    <w:p w:rsidR="008F390B" w:rsidRPr="00D72626" w:rsidRDefault="008F390B" w:rsidP="008F390B">
      <w:pPr>
        <w:pStyle w:val="ListParagraph"/>
        <w:ind w:left="360"/>
        <w:rPr>
          <w:rFonts w:ascii="Times New Roman" w:hAnsi="Times New Roman"/>
          <w:sz w:val="24"/>
        </w:rPr>
      </w:pPr>
    </w:p>
    <w:p w:rsidR="008F390B" w:rsidRPr="00D72626" w:rsidRDefault="008F390B" w:rsidP="008F390B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>Rate at which a viable crop can be maintained and there is minimal leaching of chemical downwards below the root zone. Crops should be maintained for maximum nutrient uptake when used for wastewater treatment.</w:t>
      </w:r>
      <w:r w:rsidRPr="00D72626">
        <w:rPr>
          <w:rStyle w:val="FootnoteReference"/>
          <w:rFonts w:ascii="Times New Roman" w:hAnsi="Times New Roman"/>
          <w:sz w:val="24"/>
        </w:rPr>
        <w:footnoteReference w:id="2"/>
      </w:r>
    </w:p>
    <w:p w:rsidR="0006626E" w:rsidRPr="00D72626" w:rsidRDefault="0006626E" w:rsidP="0006626E">
      <w:pPr>
        <w:pStyle w:val="ListParagraph"/>
        <w:rPr>
          <w:rFonts w:ascii="Times New Roman" w:hAnsi="Times New Roman"/>
          <w:sz w:val="24"/>
        </w:rPr>
      </w:pPr>
    </w:p>
    <w:p w:rsidR="0006626E" w:rsidRPr="00D72626" w:rsidRDefault="0006626E" w:rsidP="0006626E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>Specific rate of effluent applied that provides the precise amount of water and nutrient loading, which selected grasses/crops require without having any excess water or nutrient percolate beyond the root zone.</w:t>
      </w:r>
      <w:r w:rsidRPr="00D72626">
        <w:rPr>
          <w:rStyle w:val="FootnoteReference"/>
          <w:rFonts w:ascii="Times New Roman" w:hAnsi="Times New Roman"/>
          <w:sz w:val="24"/>
        </w:rPr>
        <w:footnoteReference w:id="3"/>
      </w:r>
      <w:r w:rsidRPr="00D72626">
        <w:rPr>
          <w:rFonts w:ascii="Times New Roman" w:hAnsi="Times New Roman"/>
          <w:sz w:val="24"/>
        </w:rPr>
        <w:t xml:space="preserve">  </w:t>
      </w:r>
    </w:p>
    <w:p w:rsidR="00326393" w:rsidRPr="00D72626" w:rsidRDefault="00326393" w:rsidP="003916A3">
      <w:pPr>
        <w:rPr>
          <w:szCs w:val="24"/>
        </w:rPr>
      </w:pPr>
    </w:p>
    <w:p w:rsidR="00D72626" w:rsidRPr="00D72626" w:rsidRDefault="00D72626" w:rsidP="007061E7">
      <w:pPr>
        <w:spacing w:after="120"/>
        <w:rPr>
          <w:b/>
          <w:szCs w:val="24"/>
        </w:rPr>
      </w:pPr>
      <w:r w:rsidRPr="00D72626">
        <w:rPr>
          <w:b/>
          <w:szCs w:val="24"/>
        </w:rPr>
        <w:t>Goal and Role of Agronomic Rate</w:t>
      </w:r>
    </w:p>
    <w:p w:rsidR="00D72626" w:rsidRDefault="003B373E" w:rsidP="0017261D">
      <w:pPr>
        <w:rPr>
          <w:szCs w:val="24"/>
        </w:rPr>
      </w:pPr>
      <w:r>
        <w:rPr>
          <w:szCs w:val="24"/>
        </w:rPr>
        <w:t>Land treatment is the application o</w:t>
      </w:r>
      <w:r w:rsidR="00314A47">
        <w:rPr>
          <w:szCs w:val="24"/>
        </w:rPr>
        <w:t xml:space="preserve">f pre-treated wastewater to </w:t>
      </w:r>
      <w:r>
        <w:rPr>
          <w:szCs w:val="24"/>
        </w:rPr>
        <w:t>land at a controlled rated in a designed and engineered setting</w:t>
      </w:r>
      <w:r w:rsidRPr="003B373E">
        <w:rPr>
          <w:szCs w:val="24"/>
        </w:rPr>
        <w:t>.</w:t>
      </w:r>
      <w:r>
        <w:rPr>
          <w:szCs w:val="24"/>
        </w:rPr>
        <w:t xml:space="preserve"> </w:t>
      </w:r>
      <w:r w:rsidR="00D72626" w:rsidRPr="00D72626">
        <w:rPr>
          <w:szCs w:val="24"/>
        </w:rPr>
        <w:t xml:space="preserve">A goal of a land treatment system </w:t>
      </w:r>
      <w:r>
        <w:rPr>
          <w:szCs w:val="24"/>
        </w:rPr>
        <w:t>is to provide supplemental wastewater treatment in order to m</w:t>
      </w:r>
      <w:r w:rsidR="00D72626" w:rsidRPr="00D72626">
        <w:rPr>
          <w:szCs w:val="24"/>
        </w:rPr>
        <w:t>eet</w:t>
      </w:r>
      <w:r>
        <w:rPr>
          <w:szCs w:val="24"/>
        </w:rPr>
        <w:t xml:space="preserve"> </w:t>
      </w:r>
      <w:r w:rsidR="00D72626" w:rsidRPr="00D72626">
        <w:rPr>
          <w:szCs w:val="24"/>
        </w:rPr>
        <w:t xml:space="preserve">the San Francisco Bay Basin Water Quality Control </w:t>
      </w:r>
      <w:r>
        <w:rPr>
          <w:szCs w:val="24"/>
        </w:rPr>
        <w:t xml:space="preserve">Plan </w:t>
      </w:r>
      <w:r w:rsidR="00D72626" w:rsidRPr="00D72626">
        <w:rPr>
          <w:szCs w:val="24"/>
        </w:rPr>
        <w:t>groundwater water quality objectives.</w:t>
      </w:r>
      <w:r>
        <w:rPr>
          <w:rStyle w:val="FootnoteReference"/>
          <w:szCs w:val="24"/>
        </w:rPr>
        <w:footnoteReference w:id="4"/>
      </w:r>
      <w:r w:rsidR="00D72626" w:rsidRPr="00D72626">
        <w:rPr>
          <w:szCs w:val="24"/>
        </w:rPr>
        <w:t xml:space="preserve"> </w:t>
      </w:r>
      <w:r w:rsidRPr="00D72626">
        <w:rPr>
          <w:szCs w:val="24"/>
        </w:rPr>
        <w:t xml:space="preserve">Using agronomic rates ensures that the nutrients in </w:t>
      </w:r>
      <w:r w:rsidRPr="00D72626">
        <w:rPr>
          <w:szCs w:val="24"/>
        </w:rPr>
        <w:lastRenderedPageBreak/>
        <w:t>winery p</w:t>
      </w:r>
      <w:r w:rsidR="00314A47">
        <w:rPr>
          <w:szCs w:val="24"/>
        </w:rPr>
        <w:t>rocessing wastewater and solids</w:t>
      </w:r>
      <w:r>
        <w:rPr>
          <w:szCs w:val="24"/>
        </w:rPr>
        <w:t xml:space="preserve"> discharged to land are used </w:t>
      </w:r>
      <w:r w:rsidRPr="00D72626">
        <w:rPr>
          <w:szCs w:val="24"/>
        </w:rPr>
        <w:t>effic</w:t>
      </w:r>
      <w:r>
        <w:rPr>
          <w:szCs w:val="24"/>
        </w:rPr>
        <w:t>iently by vegetation or crops</w:t>
      </w:r>
      <w:r w:rsidRPr="00D72626">
        <w:rPr>
          <w:szCs w:val="24"/>
        </w:rPr>
        <w:t>.</w:t>
      </w:r>
      <w:r>
        <w:rPr>
          <w:szCs w:val="24"/>
        </w:rPr>
        <w:t xml:space="preserve"> </w:t>
      </w:r>
      <w:r w:rsidR="00D72626" w:rsidRPr="00D72626">
        <w:rPr>
          <w:szCs w:val="24"/>
        </w:rPr>
        <w:t xml:space="preserve">Goals of applying wastewater to land via land surface and subsurface irrigation </w:t>
      </w:r>
      <w:r w:rsidR="007061E7">
        <w:rPr>
          <w:szCs w:val="24"/>
        </w:rPr>
        <w:t>at agronomic rates include</w:t>
      </w:r>
      <w:r w:rsidR="00D72626" w:rsidRPr="00D72626">
        <w:rPr>
          <w:szCs w:val="24"/>
        </w:rPr>
        <w:t>:</w:t>
      </w:r>
    </w:p>
    <w:p w:rsidR="007061E7" w:rsidRPr="00D72626" w:rsidRDefault="007061E7" w:rsidP="0017261D">
      <w:pPr>
        <w:rPr>
          <w:szCs w:val="24"/>
        </w:rPr>
      </w:pPr>
    </w:p>
    <w:p w:rsidR="00D72626" w:rsidRPr="00D72626" w:rsidRDefault="00D72626" w:rsidP="00D7262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 xml:space="preserve">Nutrient uptake by the crop is maximized and leaching below the root zone to the uppermost aquifer is minimized, and </w:t>
      </w:r>
    </w:p>
    <w:p w:rsidR="00D72626" w:rsidRPr="00D72626" w:rsidRDefault="00D72626" w:rsidP="00D7262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>The land treatment system provides maximum treatment when the application rate doe</w:t>
      </w:r>
      <w:r w:rsidR="0017261D">
        <w:rPr>
          <w:rFonts w:ascii="Times New Roman" w:hAnsi="Times New Roman"/>
          <w:sz w:val="24"/>
        </w:rPr>
        <w:t>s not exceed the agronomic rate.</w:t>
      </w:r>
    </w:p>
    <w:p w:rsidR="00951D43" w:rsidRPr="00D72626" w:rsidRDefault="00951D43" w:rsidP="00D963B2">
      <w:pPr>
        <w:rPr>
          <w:szCs w:val="24"/>
        </w:rPr>
      </w:pPr>
    </w:p>
    <w:p w:rsidR="0070038B" w:rsidRPr="00D72626" w:rsidRDefault="00951D43" w:rsidP="0070038B">
      <w:pPr>
        <w:spacing w:after="120"/>
        <w:rPr>
          <w:szCs w:val="24"/>
        </w:rPr>
      </w:pPr>
      <w:r w:rsidRPr="00D72626">
        <w:rPr>
          <w:szCs w:val="24"/>
        </w:rPr>
        <w:t xml:space="preserve">A nutrient balance for vegetation or crops can be used to determine the agronomic nutrient application rate. The nutrient balance </w:t>
      </w:r>
      <w:r w:rsidR="00927C15">
        <w:rPr>
          <w:szCs w:val="24"/>
        </w:rPr>
        <w:t>includes</w:t>
      </w:r>
      <w:r w:rsidRPr="00D72626">
        <w:rPr>
          <w:szCs w:val="24"/>
        </w:rPr>
        <w:t xml:space="preserve"> three components needed to calcul</w:t>
      </w:r>
      <w:r w:rsidR="0070038B" w:rsidRPr="00D72626">
        <w:rPr>
          <w:szCs w:val="24"/>
        </w:rPr>
        <w:t xml:space="preserve">ate an application rate: </w:t>
      </w:r>
    </w:p>
    <w:p w:rsidR="0070038B" w:rsidRPr="00D72626" w:rsidRDefault="0070038B" w:rsidP="0070038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 xml:space="preserve">nutrients the crops </w:t>
      </w:r>
      <w:r w:rsidR="00314A47">
        <w:rPr>
          <w:rFonts w:ascii="Times New Roman" w:hAnsi="Times New Roman"/>
          <w:sz w:val="24"/>
        </w:rPr>
        <w:t>require</w:t>
      </w:r>
      <w:r w:rsidRPr="00D72626">
        <w:rPr>
          <w:rFonts w:ascii="Times New Roman" w:hAnsi="Times New Roman"/>
          <w:sz w:val="24"/>
        </w:rPr>
        <w:t xml:space="preserve">, </w:t>
      </w:r>
    </w:p>
    <w:p w:rsidR="0070038B" w:rsidRPr="00D72626" w:rsidRDefault="0070038B" w:rsidP="0070038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>n</w:t>
      </w:r>
      <w:r w:rsidR="00951D43" w:rsidRPr="00D72626">
        <w:rPr>
          <w:rFonts w:ascii="Times New Roman" w:hAnsi="Times New Roman"/>
          <w:sz w:val="24"/>
        </w:rPr>
        <w:t xml:space="preserve">utrients </w:t>
      </w:r>
      <w:r w:rsidRPr="00D72626">
        <w:rPr>
          <w:rFonts w:ascii="Times New Roman" w:hAnsi="Times New Roman"/>
          <w:sz w:val="24"/>
        </w:rPr>
        <w:t xml:space="preserve">available to the </w:t>
      </w:r>
      <w:r w:rsidR="00951D43" w:rsidRPr="00D72626">
        <w:rPr>
          <w:rFonts w:ascii="Times New Roman" w:hAnsi="Times New Roman"/>
          <w:sz w:val="24"/>
        </w:rPr>
        <w:t>crops from pr</w:t>
      </w:r>
      <w:r w:rsidRPr="00D72626">
        <w:rPr>
          <w:rFonts w:ascii="Times New Roman" w:hAnsi="Times New Roman"/>
          <w:sz w:val="24"/>
        </w:rPr>
        <w:t xml:space="preserve">ior nutrient applications, and </w:t>
      </w:r>
    </w:p>
    <w:p w:rsidR="00951D43" w:rsidRPr="00D72626" w:rsidRDefault="00951D43" w:rsidP="00951D4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 xml:space="preserve">nutrients available from </w:t>
      </w:r>
      <w:r w:rsidR="0070038B" w:rsidRPr="00D72626">
        <w:rPr>
          <w:rFonts w:ascii="Times New Roman" w:hAnsi="Times New Roman"/>
          <w:sz w:val="24"/>
        </w:rPr>
        <w:t>the winery processing solids and wastewater</w:t>
      </w:r>
      <w:r w:rsidRPr="00D72626">
        <w:rPr>
          <w:rFonts w:ascii="Times New Roman" w:hAnsi="Times New Roman"/>
          <w:sz w:val="24"/>
        </w:rPr>
        <w:t>.</w:t>
      </w:r>
    </w:p>
    <w:p w:rsidR="0047049C" w:rsidRPr="00D72626" w:rsidRDefault="0047049C" w:rsidP="003916A3">
      <w:pPr>
        <w:rPr>
          <w:szCs w:val="24"/>
        </w:rPr>
      </w:pPr>
    </w:p>
    <w:p w:rsidR="003916A3" w:rsidRPr="00D72626" w:rsidRDefault="0006626E">
      <w:pPr>
        <w:rPr>
          <w:b/>
          <w:szCs w:val="24"/>
          <w:u w:val="single"/>
        </w:rPr>
      </w:pPr>
      <w:r w:rsidRPr="00D72626">
        <w:rPr>
          <w:b/>
          <w:szCs w:val="24"/>
          <w:u w:val="single"/>
        </w:rPr>
        <w:t>Suggested Best Management Practices</w:t>
      </w:r>
    </w:p>
    <w:p w:rsidR="0006626E" w:rsidRPr="00D72626" w:rsidRDefault="0006626E">
      <w:pPr>
        <w:rPr>
          <w:szCs w:val="24"/>
        </w:rPr>
      </w:pPr>
    </w:p>
    <w:p w:rsidR="0006626E" w:rsidRPr="00D72626" w:rsidRDefault="0006626E" w:rsidP="0006626E">
      <w:pPr>
        <w:rPr>
          <w:szCs w:val="24"/>
        </w:rPr>
      </w:pPr>
      <w:r w:rsidRPr="00D72626">
        <w:rPr>
          <w:szCs w:val="24"/>
        </w:rPr>
        <w:t>A direct method for t</w:t>
      </w:r>
      <w:r w:rsidR="0061381C">
        <w:rPr>
          <w:szCs w:val="24"/>
        </w:rPr>
        <w:t xml:space="preserve">he Discharger to accomplish an </w:t>
      </w:r>
      <w:r w:rsidR="0061381C" w:rsidRPr="0061381C">
        <w:rPr>
          <w:b/>
          <w:szCs w:val="24"/>
        </w:rPr>
        <w:t>agronomic rate</w:t>
      </w:r>
      <w:r w:rsidRPr="00D72626">
        <w:rPr>
          <w:szCs w:val="24"/>
        </w:rPr>
        <w:t xml:space="preserve"> is to:</w:t>
      </w:r>
    </w:p>
    <w:p w:rsidR="0006626E" w:rsidRPr="00D72626" w:rsidRDefault="0006626E" w:rsidP="0006626E">
      <w:pPr>
        <w:rPr>
          <w:szCs w:val="24"/>
        </w:rPr>
      </w:pPr>
    </w:p>
    <w:p w:rsidR="0006626E" w:rsidRPr="00D72626" w:rsidRDefault="0006626E" w:rsidP="00951D43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>Know the amount of water and nutrients required by the vegetation/grass/crop</w:t>
      </w:r>
      <w:r w:rsidR="00951D43" w:rsidRPr="00D72626">
        <w:rPr>
          <w:rFonts w:ascii="Times New Roman" w:hAnsi="Times New Roman"/>
          <w:sz w:val="24"/>
        </w:rPr>
        <w:t>.</w:t>
      </w:r>
    </w:p>
    <w:p w:rsidR="00951D43" w:rsidRPr="00D72626" w:rsidRDefault="0006626E" w:rsidP="00951D43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>Determine the soil moisture and any residual nutrient loading in the soil plus the</w:t>
      </w:r>
      <w:r w:rsidR="00951D43" w:rsidRPr="00D72626">
        <w:rPr>
          <w:rFonts w:ascii="Times New Roman" w:hAnsi="Times New Roman"/>
          <w:sz w:val="24"/>
        </w:rPr>
        <w:t xml:space="preserve"> nutrient value of the effluent.</w:t>
      </w:r>
    </w:p>
    <w:p w:rsidR="00951D43" w:rsidRPr="00D72626" w:rsidRDefault="0006626E" w:rsidP="00951D43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>Record the soil moisture, the soil’s residual nutrient loading and the</w:t>
      </w:r>
      <w:r w:rsidR="00951D43" w:rsidRPr="00D72626">
        <w:rPr>
          <w:rFonts w:ascii="Times New Roman" w:hAnsi="Times New Roman"/>
          <w:sz w:val="24"/>
        </w:rPr>
        <w:t xml:space="preserve"> nutrient value of the effluent.</w:t>
      </w:r>
    </w:p>
    <w:p w:rsidR="0006626E" w:rsidRPr="00D72626" w:rsidRDefault="0006626E" w:rsidP="0006626E">
      <w:pPr>
        <w:pStyle w:val="ListParagraph"/>
        <w:numPr>
          <w:ilvl w:val="0"/>
          <w:numId w:val="8"/>
        </w:numPr>
        <w:ind w:left="36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>Apply the difference between what is needed and what is available in the soil.</w:t>
      </w:r>
    </w:p>
    <w:p w:rsidR="0006626E" w:rsidRPr="00D72626" w:rsidRDefault="0006626E">
      <w:pPr>
        <w:rPr>
          <w:szCs w:val="24"/>
        </w:rPr>
      </w:pPr>
    </w:p>
    <w:p w:rsidR="004230E1" w:rsidRPr="00D72626" w:rsidRDefault="004230E1">
      <w:pPr>
        <w:rPr>
          <w:b/>
          <w:szCs w:val="24"/>
          <w:u w:val="single"/>
        </w:rPr>
      </w:pPr>
      <w:r w:rsidRPr="00D72626">
        <w:rPr>
          <w:b/>
          <w:szCs w:val="24"/>
          <w:u w:val="single"/>
        </w:rPr>
        <w:br w:type="page"/>
      </w:r>
    </w:p>
    <w:p w:rsidR="006542F4" w:rsidRPr="00D72626" w:rsidRDefault="005C4ED3" w:rsidP="00B55C4A">
      <w:pPr>
        <w:rPr>
          <w:b/>
          <w:szCs w:val="24"/>
          <w:u w:val="single"/>
        </w:rPr>
      </w:pPr>
      <w:r w:rsidRPr="00D72626">
        <w:rPr>
          <w:b/>
          <w:szCs w:val="24"/>
          <w:u w:val="single"/>
        </w:rPr>
        <w:lastRenderedPageBreak/>
        <w:t>Supplemental Resources</w:t>
      </w:r>
    </w:p>
    <w:p w:rsidR="006542F4" w:rsidRPr="00D72626" w:rsidRDefault="006542F4" w:rsidP="00B55C4A">
      <w:pPr>
        <w:rPr>
          <w:szCs w:val="24"/>
        </w:rPr>
      </w:pPr>
    </w:p>
    <w:p w:rsidR="006542F4" w:rsidRPr="00D72626" w:rsidRDefault="006542F4" w:rsidP="00B55C4A">
      <w:pPr>
        <w:rPr>
          <w:szCs w:val="24"/>
        </w:rPr>
      </w:pPr>
      <w:r w:rsidRPr="00D72626">
        <w:rPr>
          <w:szCs w:val="24"/>
        </w:rPr>
        <w:t xml:space="preserve">The following publications contain additional information on determining </w:t>
      </w:r>
      <w:r w:rsidR="00951D43" w:rsidRPr="00D72626">
        <w:rPr>
          <w:szCs w:val="24"/>
        </w:rPr>
        <w:t>agronomic</w:t>
      </w:r>
      <w:r w:rsidRPr="00D72626">
        <w:rPr>
          <w:szCs w:val="24"/>
        </w:rPr>
        <w:t xml:space="preserve"> rates:</w:t>
      </w:r>
    </w:p>
    <w:p w:rsidR="006542F4" w:rsidRPr="00D72626" w:rsidRDefault="006542F4" w:rsidP="00B55C4A">
      <w:pPr>
        <w:rPr>
          <w:szCs w:val="24"/>
        </w:rPr>
      </w:pPr>
    </w:p>
    <w:p w:rsidR="005C4ED3" w:rsidRPr="00D72626" w:rsidRDefault="00951D43" w:rsidP="007061E7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 xml:space="preserve">U.S. Environmental Protection Agency. Appendix I – Agronomic Nutrient Application Rate. </w:t>
      </w:r>
    </w:p>
    <w:p w:rsidR="00951D43" w:rsidRPr="00D72626" w:rsidRDefault="00951D43" w:rsidP="007061E7">
      <w:pPr>
        <w:pStyle w:val="ListParagraph"/>
        <w:spacing w:after="120"/>
        <w:ind w:left="360"/>
        <w:contextualSpacing w:val="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>Although this resource was designed for c</w:t>
      </w:r>
      <w:r w:rsidR="0070038B" w:rsidRPr="00D72626">
        <w:rPr>
          <w:rFonts w:ascii="Times New Roman" w:hAnsi="Times New Roman"/>
          <w:sz w:val="24"/>
        </w:rPr>
        <w:t>oncentrated</w:t>
      </w:r>
      <w:r w:rsidRPr="00D72626">
        <w:rPr>
          <w:rFonts w:ascii="Times New Roman" w:hAnsi="Times New Roman"/>
          <w:sz w:val="24"/>
        </w:rPr>
        <w:t xml:space="preserve"> animal</w:t>
      </w:r>
      <w:r w:rsidR="0070038B" w:rsidRPr="00D72626">
        <w:rPr>
          <w:rFonts w:ascii="Times New Roman" w:hAnsi="Times New Roman"/>
          <w:sz w:val="24"/>
        </w:rPr>
        <w:t xml:space="preserve"> feeding operations</w:t>
      </w:r>
      <w:r w:rsidRPr="00D72626">
        <w:rPr>
          <w:rFonts w:ascii="Times New Roman" w:hAnsi="Times New Roman"/>
          <w:sz w:val="24"/>
        </w:rPr>
        <w:t>, a methodology on performing a nutrient balance is included</w:t>
      </w:r>
      <w:r w:rsidR="0070038B" w:rsidRPr="00D72626">
        <w:rPr>
          <w:rFonts w:ascii="Times New Roman" w:hAnsi="Times New Roman"/>
          <w:sz w:val="24"/>
        </w:rPr>
        <w:t xml:space="preserve"> in the publication</w:t>
      </w:r>
      <w:r w:rsidRPr="00D72626">
        <w:rPr>
          <w:rFonts w:ascii="Times New Roman" w:hAnsi="Times New Roman"/>
          <w:sz w:val="24"/>
        </w:rPr>
        <w:t>.</w:t>
      </w:r>
    </w:p>
    <w:p w:rsidR="00951D43" w:rsidRPr="00D72626" w:rsidRDefault="00951D43" w:rsidP="00951D43">
      <w:pPr>
        <w:pStyle w:val="ListParagraph"/>
        <w:ind w:left="36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 xml:space="preserve">Accessible online at </w:t>
      </w:r>
      <w:hyperlink r:id="rId8" w:history="1">
        <w:r w:rsidRPr="005E7FEB">
          <w:rPr>
            <w:rStyle w:val="Hyperlink"/>
            <w:rFonts w:ascii="Times New Roman" w:hAnsi="Times New Roman"/>
            <w:sz w:val="24"/>
            <w:u w:val="none"/>
          </w:rPr>
          <w:t>https://www3.epa.gov/npdes/pubs/cafo_manure_guidance_appendixi.pdf</w:t>
        </w:r>
      </w:hyperlink>
    </w:p>
    <w:p w:rsidR="0070038B" w:rsidRPr="00D72626" w:rsidRDefault="0070038B" w:rsidP="00951D43">
      <w:pPr>
        <w:pStyle w:val="ListParagraph"/>
        <w:ind w:left="360"/>
        <w:rPr>
          <w:rFonts w:ascii="Times New Roman" w:hAnsi="Times New Roman"/>
          <w:sz w:val="24"/>
        </w:rPr>
      </w:pPr>
    </w:p>
    <w:p w:rsidR="00951D43" w:rsidRDefault="0070038B" w:rsidP="007061E7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 xml:space="preserve">Colorado Department of </w:t>
      </w:r>
      <w:r w:rsidR="0017261D">
        <w:rPr>
          <w:rFonts w:ascii="Times New Roman" w:hAnsi="Times New Roman"/>
          <w:sz w:val="24"/>
        </w:rPr>
        <w:t xml:space="preserve">Public Health and Environment. </w:t>
      </w:r>
      <w:r w:rsidR="001F2F40">
        <w:rPr>
          <w:rFonts w:ascii="Times New Roman" w:hAnsi="Times New Roman"/>
          <w:sz w:val="24"/>
        </w:rPr>
        <w:t>Guide for Determining Agronomic Rates for the Use of Reclaimed Domestic Wastewater.</w:t>
      </w:r>
    </w:p>
    <w:p w:rsidR="0017261D" w:rsidRDefault="0017261D" w:rsidP="0017261D">
      <w:pPr>
        <w:pStyle w:val="ListParagraph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Accessible online at</w:t>
      </w:r>
    </w:p>
    <w:p w:rsidR="0017261D" w:rsidRPr="005E7FEB" w:rsidRDefault="00D52324" w:rsidP="0017261D">
      <w:pPr>
        <w:pStyle w:val="ListParagraph"/>
        <w:ind w:left="360"/>
        <w:rPr>
          <w:rFonts w:ascii="Times New Roman" w:hAnsi="Times New Roman"/>
          <w:sz w:val="24"/>
        </w:rPr>
      </w:pPr>
      <w:hyperlink r:id="rId9" w:history="1">
        <w:r w:rsidR="0017261D" w:rsidRPr="005E7FEB">
          <w:rPr>
            <w:rStyle w:val="Hyperlink"/>
            <w:rFonts w:ascii="Times New Roman" w:hAnsi="Times New Roman"/>
            <w:sz w:val="24"/>
            <w:u w:val="none"/>
          </w:rPr>
          <w:t>https://www.colorado.gov/pacific/sites/default/files/WQP21_0.PDF</w:t>
        </w:r>
      </w:hyperlink>
    </w:p>
    <w:p w:rsidR="0070038B" w:rsidRPr="00D72626" w:rsidRDefault="0070038B" w:rsidP="0070038B">
      <w:pPr>
        <w:pStyle w:val="ListParagraph"/>
        <w:ind w:left="360"/>
        <w:rPr>
          <w:rFonts w:ascii="Times New Roman" w:hAnsi="Times New Roman"/>
          <w:sz w:val="24"/>
        </w:rPr>
      </w:pPr>
    </w:p>
    <w:p w:rsidR="0070038B" w:rsidRDefault="0070038B" w:rsidP="007061E7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ascii="Times New Roman" w:hAnsi="Times New Roman"/>
          <w:sz w:val="24"/>
        </w:rPr>
      </w:pPr>
      <w:r w:rsidRPr="00D72626">
        <w:rPr>
          <w:rFonts w:ascii="Times New Roman" w:hAnsi="Times New Roman"/>
          <w:sz w:val="24"/>
        </w:rPr>
        <w:t xml:space="preserve">Hermanson, R., Pan, W., Perillo, C., Stevens, R., and Stockle, C. Washington State University. Nitrogen Use by Crops and the Fate of Nitrogen in the Soil and Vadose Zone. A Literature Search. </w:t>
      </w:r>
    </w:p>
    <w:p w:rsidR="001F2F40" w:rsidRDefault="001F2F40" w:rsidP="001F2F40">
      <w:pPr>
        <w:ind w:left="360"/>
      </w:pPr>
      <w:r w:rsidRPr="001F2F40">
        <w:t xml:space="preserve">Accessible online at </w:t>
      </w:r>
      <w:hyperlink r:id="rId10" w:history="1">
        <w:r w:rsidRPr="005E7FEB">
          <w:rPr>
            <w:rStyle w:val="Hyperlink"/>
            <w:szCs w:val="24"/>
            <w:u w:val="none"/>
          </w:rPr>
          <w:t>https://fortress.wa.gov/ecy/publications/documents/0010015.pdf</w:t>
        </w:r>
      </w:hyperlink>
    </w:p>
    <w:p w:rsidR="005E7FEB" w:rsidRDefault="005E7FEB" w:rsidP="001F2F40">
      <w:pPr>
        <w:ind w:left="360"/>
      </w:pPr>
    </w:p>
    <w:p w:rsidR="005E7FEB" w:rsidRDefault="005E7FEB" w:rsidP="005E7FEB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Oldham, Larry</w:t>
      </w:r>
      <w:r w:rsidRPr="00D7262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Nutrient Management Guidelines for Agronomic Crops Grown in Mississippi. Chapter: Best Management Practices for Nutrients in Agronomic Crop Production. Mississippi State University Department of Plant and Soil Sciences.</w:t>
      </w:r>
      <w:r w:rsidRPr="00D72626">
        <w:rPr>
          <w:rFonts w:ascii="Times New Roman" w:hAnsi="Times New Roman"/>
          <w:sz w:val="24"/>
        </w:rPr>
        <w:t xml:space="preserve"> </w:t>
      </w:r>
    </w:p>
    <w:p w:rsidR="005E7FEB" w:rsidRDefault="005E7FEB" w:rsidP="005E7FEB">
      <w:pPr>
        <w:ind w:left="360"/>
      </w:pPr>
      <w:r w:rsidRPr="001F2F40">
        <w:t>Accessible online at</w:t>
      </w:r>
    </w:p>
    <w:p w:rsidR="005E7FEB" w:rsidRPr="005E7FEB" w:rsidRDefault="00D52324" w:rsidP="005E7FEB">
      <w:pPr>
        <w:ind w:left="360"/>
      </w:pPr>
      <w:hyperlink r:id="rId11" w:history="1">
        <w:r w:rsidR="005E7FEB" w:rsidRPr="005E7FEB">
          <w:rPr>
            <w:rStyle w:val="Hyperlink"/>
            <w:u w:val="none"/>
          </w:rPr>
          <w:t>https://www.deq.state.ms.us/mdeq.nsf/pdf/NPS_Nutr_Manage_Guidelines_Agronomics_MS/$File/Nutr_Manage_Guidelines_Agronomics_MS.pdf?OpenElement</w:t>
        </w:r>
      </w:hyperlink>
    </w:p>
    <w:p w:rsidR="005E7FEB" w:rsidRPr="001F2F40" w:rsidRDefault="005E7FEB" w:rsidP="005E7FEB">
      <w:pPr>
        <w:ind w:left="360"/>
      </w:pPr>
      <w:r w:rsidRPr="001F2F40">
        <w:t xml:space="preserve"> </w:t>
      </w:r>
    </w:p>
    <w:p w:rsidR="005E7FEB" w:rsidRPr="001F2F40" w:rsidRDefault="005E7FEB" w:rsidP="005E7FEB"/>
    <w:p w:rsidR="001F2F40" w:rsidRDefault="001F2F40" w:rsidP="001F2F40">
      <w:pPr>
        <w:pStyle w:val="ListParagraph"/>
        <w:ind w:left="360"/>
        <w:rPr>
          <w:rFonts w:ascii="Times New Roman" w:hAnsi="Times New Roman"/>
          <w:sz w:val="24"/>
        </w:rPr>
      </w:pPr>
    </w:p>
    <w:p w:rsidR="0070038B" w:rsidRPr="00D72626" w:rsidRDefault="0070038B" w:rsidP="0070038B">
      <w:pPr>
        <w:pStyle w:val="ListParagraph"/>
        <w:rPr>
          <w:rFonts w:ascii="Times New Roman" w:hAnsi="Times New Roman"/>
          <w:sz w:val="24"/>
        </w:rPr>
      </w:pPr>
    </w:p>
    <w:p w:rsidR="0070038B" w:rsidRPr="00D72626" w:rsidRDefault="0070038B" w:rsidP="0070038B">
      <w:pPr>
        <w:pStyle w:val="ListParagraph"/>
        <w:ind w:left="360"/>
        <w:rPr>
          <w:rFonts w:ascii="Times New Roman" w:hAnsi="Times New Roman"/>
          <w:sz w:val="24"/>
        </w:rPr>
      </w:pPr>
    </w:p>
    <w:p w:rsidR="0070038B" w:rsidRPr="0070038B" w:rsidRDefault="0070038B" w:rsidP="0070038B">
      <w:pPr>
        <w:pStyle w:val="ListParagraph"/>
        <w:ind w:left="360"/>
        <w:rPr>
          <w:rFonts w:ascii="Times New Roman" w:hAnsi="Times New Roman"/>
          <w:sz w:val="24"/>
        </w:rPr>
      </w:pPr>
    </w:p>
    <w:sectPr w:rsidR="0070038B" w:rsidRPr="0070038B" w:rsidSect="009C30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A1" w:rsidRDefault="005A77A1">
      <w:r>
        <w:separator/>
      </w:r>
    </w:p>
  </w:endnote>
  <w:endnote w:type="continuationSeparator" w:id="0">
    <w:p w:rsidR="005A77A1" w:rsidRDefault="005A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E7" w:rsidRDefault="00EE12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2E7" w:rsidRDefault="00EE1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E7" w:rsidRDefault="005A6D28" w:rsidP="005A6D28">
    <w:pPr>
      <w:pStyle w:val="Footer"/>
      <w:rPr>
        <w:sz w:val="20"/>
      </w:rPr>
    </w:pPr>
    <w:r w:rsidRPr="00053662">
      <w:rPr>
        <w:rStyle w:val="PageNumber"/>
        <w:bCs/>
        <w:sz w:val="18"/>
        <w:szCs w:val="18"/>
      </w:rPr>
      <w:t>Or</w:t>
    </w:r>
    <w:r w:rsidR="00A87B03">
      <w:rPr>
        <w:rStyle w:val="PageNumber"/>
        <w:bCs/>
        <w:sz w:val="18"/>
        <w:szCs w:val="18"/>
      </w:rPr>
      <w:t>der No. R2-2017</w:t>
    </w:r>
    <w:r w:rsidR="0079178C">
      <w:rPr>
        <w:rStyle w:val="PageNumber"/>
        <w:bCs/>
        <w:sz w:val="18"/>
        <w:szCs w:val="18"/>
      </w:rPr>
      <w:t>-</w:t>
    </w:r>
    <w:r w:rsidR="00EB31A8">
      <w:rPr>
        <w:rStyle w:val="PageNumber"/>
        <w:bCs/>
        <w:sz w:val="18"/>
        <w:szCs w:val="18"/>
      </w:rPr>
      <w:t>X</w:t>
    </w:r>
    <w:r w:rsidR="0079178C">
      <w:rPr>
        <w:rStyle w:val="PageNumber"/>
        <w:bCs/>
        <w:sz w:val="18"/>
        <w:szCs w:val="18"/>
      </w:rPr>
      <w:t>XXX Appendix</w:t>
    </w:r>
    <w:r w:rsidR="00447614">
      <w:rPr>
        <w:rStyle w:val="PageNumber"/>
        <w:bCs/>
        <w:sz w:val="18"/>
        <w:szCs w:val="18"/>
      </w:rPr>
      <w:t xml:space="preserve"> 1</w:t>
    </w:r>
    <w:r w:rsidRPr="005A6D28">
      <w:rPr>
        <w:sz w:val="20"/>
      </w:rPr>
      <w:ptab w:relativeTo="margin" w:alignment="center" w:leader="none"/>
    </w:r>
    <w:r w:rsidRPr="005A6D28">
      <w:rPr>
        <w:sz w:val="20"/>
      </w:rPr>
      <w:ptab w:relativeTo="margin" w:alignment="right" w:leader="none"/>
    </w:r>
    <w:r w:rsidR="006C27B6" w:rsidRPr="006C27B6">
      <w:rPr>
        <w:sz w:val="18"/>
      </w:rPr>
      <w:t xml:space="preserve"> </w:t>
    </w:r>
    <w:r w:rsidR="006C27B6">
      <w:rPr>
        <w:rStyle w:val="PageNumber"/>
        <w:sz w:val="18"/>
      </w:rPr>
      <w:t>p.</w:t>
    </w:r>
    <w:r w:rsidR="006C27B6" w:rsidRPr="009811A0">
      <w:rPr>
        <w:rStyle w:val="PageNumber"/>
        <w:sz w:val="18"/>
      </w:rPr>
      <w:t xml:space="preserve"> </w:t>
    </w:r>
    <w:r w:rsidR="006C27B6" w:rsidRPr="009811A0">
      <w:rPr>
        <w:rStyle w:val="PageNumber"/>
        <w:sz w:val="18"/>
      </w:rPr>
      <w:fldChar w:fldCharType="begin"/>
    </w:r>
    <w:r w:rsidR="006C27B6" w:rsidRPr="009811A0">
      <w:rPr>
        <w:rStyle w:val="PageNumber"/>
        <w:sz w:val="18"/>
      </w:rPr>
      <w:instrText xml:space="preserve"> PAGE </w:instrText>
    </w:r>
    <w:r w:rsidR="006C27B6" w:rsidRPr="009811A0">
      <w:rPr>
        <w:rStyle w:val="PageNumber"/>
        <w:sz w:val="18"/>
      </w:rPr>
      <w:fldChar w:fldCharType="separate"/>
    </w:r>
    <w:r w:rsidR="00D52324">
      <w:rPr>
        <w:rStyle w:val="PageNumber"/>
        <w:sz w:val="18"/>
      </w:rPr>
      <w:t>1</w:t>
    </w:r>
    <w:r w:rsidR="006C27B6" w:rsidRPr="009811A0">
      <w:rPr>
        <w:rStyle w:val="PageNumber"/>
        <w:sz w:val="18"/>
      </w:rPr>
      <w:fldChar w:fldCharType="end"/>
    </w:r>
    <w:r w:rsidR="006C27B6">
      <w:rPr>
        <w:rStyle w:val="PageNumber"/>
        <w:sz w:val="18"/>
      </w:rPr>
      <w:t xml:space="preserve"> of</w:t>
    </w:r>
    <w:r w:rsidR="006C27B6" w:rsidRPr="009811A0">
      <w:rPr>
        <w:rStyle w:val="PageNumber"/>
        <w:sz w:val="18"/>
      </w:rPr>
      <w:t xml:space="preserve"> </w:t>
    </w:r>
    <w:r w:rsidR="006C27B6" w:rsidRPr="009811A0">
      <w:rPr>
        <w:rStyle w:val="PageNumber"/>
        <w:sz w:val="18"/>
      </w:rPr>
      <w:fldChar w:fldCharType="begin"/>
    </w:r>
    <w:r w:rsidR="006C27B6" w:rsidRPr="009811A0">
      <w:rPr>
        <w:rStyle w:val="PageNumber"/>
        <w:sz w:val="18"/>
      </w:rPr>
      <w:instrText xml:space="preserve"> NUMPAGES </w:instrText>
    </w:r>
    <w:r w:rsidR="006C27B6" w:rsidRPr="009811A0">
      <w:rPr>
        <w:rStyle w:val="PageNumber"/>
        <w:sz w:val="18"/>
      </w:rPr>
      <w:fldChar w:fldCharType="separate"/>
    </w:r>
    <w:r w:rsidR="00D52324">
      <w:rPr>
        <w:rStyle w:val="PageNumber"/>
        <w:sz w:val="18"/>
      </w:rPr>
      <w:t>3</w:t>
    </w:r>
    <w:r w:rsidR="006C27B6" w:rsidRPr="009811A0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E7" w:rsidRPr="006540C6" w:rsidRDefault="006540C6">
    <w:pPr>
      <w:pStyle w:val="Footer"/>
      <w:rPr>
        <w:sz w:val="18"/>
        <w:szCs w:val="18"/>
      </w:rPr>
    </w:pPr>
    <w:r w:rsidRPr="006540C6">
      <w:rPr>
        <w:rStyle w:val="PageNumber"/>
        <w:bCs/>
        <w:sz w:val="18"/>
        <w:szCs w:val="18"/>
      </w:rPr>
      <w:t xml:space="preserve">Order No. R2-2016-XXX Attachment F </w:t>
    </w:r>
    <w:r w:rsidRPr="006540C6">
      <w:rPr>
        <w:sz w:val="18"/>
        <w:szCs w:val="18"/>
      </w:rPr>
      <w:ptab w:relativeTo="margin" w:alignment="center" w:leader="none"/>
    </w:r>
    <w:r w:rsidRPr="006540C6">
      <w:rPr>
        <w:sz w:val="18"/>
        <w:szCs w:val="18"/>
      </w:rPr>
      <w:ptab w:relativeTo="margin" w:alignment="right" w:leader="none"/>
    </w:r>
    <w:r w:rsidRPr="006540C6">
      <w:rPr>
        <w:noProof w:val="0"/>
        <w:sz w:val="18"/>
        <w:szCs w:val="18"/>
      </w:rPr>
      <w:fldChar w:fldCharType="begin"/>
    </w:r>
    <w:r w:rsidRPr="006540C6">
      <w:rPr>
        <w:sz w:val="18"/>
        <w:szCs w:val="18"/>
      </w:rPr>
      <w:instrText xml:space="preserve"> PAGE   \* MERGEFORMAT </w:instrText>
    </w:r>
    <w:r w:rsidRPr="006540C6">
      <w:rPr>
        <w:noProof w:val="0"/>
        <w:sz w:val="18"/>
        <w:szCs w:val="18"/>
      </w:rPr>
      <w:fldChar w:fldCharType="separate"/>
    </w:r>
    <w:r w:rsidR="009C30E4">
      <w:rPr>
        <w:sz w:val="18"/>
        <w:szCs w:val="18"/>
      </w:rPr>
      <w:t>1</w:t>
    </w:r>
    <w:r w:rsidRPr="006540C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A1" w:rsidRDefault="005A77A1">
      <w:r>
        <w:separator/>
      </w:r>
    </w:p>
  </w:footnote>
  <w:footnote w:type="continuationSeparator" w:id="0">
    <w:p w:rsidR="005A77A1" w:rsidRDefault="005A77A1">
      <w:r>
        <w:continuationSeparator/>
      </w:r>
    </w:p>
  </w:footnote>
  <w:footnote w:id="1">
    <w:p w:rsidR="008F390B" w:rsidRPr="00314A47" w:rsidRDefault="008F390B">
      <w:pPr>
        <w:pStyle w:val="FootnoteText"/>
        <w:rPr>
          <w:sz w:val="18"/>
          <w:szCs w:val="18"/>
        </w:rPr>
      </w:pPr>
      <w:r w:rsidRPr="00314A47">
        <w:rPr>
          <w:rStyle w:val="FootnoteReference"/>
          <w:sz w:val="18"/>
          <w:szCs w:val="18"/>
        </w:rPr>
        <w:footnoteRef/>
      </w:r>
      <w:r w:rsidRPr="00314A47">
        <w:rPr>
          <w:sz w:val="18"/>
          <w:szCs w:val="18"/>
        </w:rPr>
        <w:t xml:space="preserve"> Source: Central Valley Regional Water Quality Control Board Order No. R5-2013-0122. Waste Discharge Requirements General Order for Existing Milk Cow Dairies. Attachment E Definitions. Accessible online at </w:t>
      </w:r>
      <w:hyperlink r:id="rId1" w:history="1">
        <w:r w:rsidRPr="00314A47">
          <w:rPr>
            <w:rStyle w:val="Hyperlink"/>
            <w:sz w:val="18"/>
            <w:szCs w:val="18"/>
            <w:u w:val="none"/>
          </w:rPr>
          <w:t>http://www.waterboards.ca.gov/centralvalley/board_decisions/adopted_orders/general_orders/r5-2013-0122.pdf</w:t>
        </w:r>
      </w:hyperlink>
      <w:r w:rsidRPr="00314A47">
        <w:rPr>
          <w:sz w:val="18"/>
          <w:szCs w:val="18"/>
        </w:rPr>
        <w:t xml:space="preserve">. </w:t>
      </w:r>
    </w:p>
  </w:footnote>
  <w:footnote w:id="2">
    <w:p w:rsidR="008F390B" w:rsidRPr="00314A47" w:rsidRDefault="008F390B">
      <w:pPr>
        <w:pStyle w:val="FootnoteText"/>
        <w:rPr>
          <w:sz w:val="18"/>
          <w:szCs w:val="18"/>
        </w:rPr>
      </w:pPr>
      <w:r w:rsidRPr="00314A47">
        <w:rPr>
          <w:rStyle w:val="FootnoteReference"/>
          <w:sz w:val="18"/>
          <w:szCs w:val="18"/>
        </w:rPr>
        <w:footnoteRef/>
      </w:r>
      <w:r w:rsidRPr="00314A47">
        <w:rPr>
          <w:sz w:val="18"/>
          <w:szCs w:val="18"/>
        </w:rPr>
        <w:t xml:space="preserve"> Source: </w:t>
      </w:r>
      <w:r w:rsidR="0006626E" w:rsidRPr="00314A47">
        <w:rPr>
          <w:sz w:val="18"/>
          <w:szCs w:val="18"/>
        </w:rPr>
        <w:t xml:space="preserve">Washington State Department of Ecology. (February 2006). </w:t>
      </w:r>
      <w:r w:rsidRPr="00314A47">
        <w:rPr>
          <w:sz w:val="18"/>
          <w:szCs w:val="18"/>
        </w:rPr>
        <w:t xml:space="preserve">Guidance on Land Treatment of Nutrients in Wastewater, with Emphasis on Nitrogen. </w:t>
      </w:r>
    </w:p>
  </w:footnote>
  <w:footnote w:id="3">
    <w:p w:rsidR="0006626E" w:rsidRPr="00314A47" w:rsidRDefault="0006626E">
      <w:pPr>
        <w:pStyle w:val="FootnoteText"/>
        <w:rPr>
          <w:sz w:val="18"/>
          <w:szCs w:val="18"/>
        </w:rPr>
      </w:pPr>
      <w:r w:rsidRPr="00314A47">
        <w:rPr>
          <w:rStyle w:val="FootnoteReference"/>
          <w:sz w:val="18"/>
          <w:szCs w:val="18"/>
        </w:rPr>
        <w:footnoteRef/>
      </w:r>
      <w:r w:rsidRPr="00314A47">
        <w:rPr>
          <w:sz w:val="18"/>
          <w:szCs w:val="18"/>
        </w:rPr>
        <w:t xml:space="preserve"> Source: Colorado Department of Public Health and Environmental. Guide for Determinig Agronomic Rates for the Use of Reclaimed Domestic Wastewater. </w:t>
      </w:r>
    </w:p>
  </w:footnote>
  <w:footnote w:id="4">
    <w:p w:rsidR="003B373E" w:rsidRPr="00314A47" w:rsidRDefault="003B373E">
      <w:pPr>
        <w:pStyle w:val="FootnoteText"/>
        <w:rPr>
          <w:sz w:val="18"/>
          <w:szCs w:val="18"/>
        </w:rPr>
      </w:pPr>
      <w:r w:rsidRPr="00314A47">
        <w:rPr>
          <w:rStyle w:val="FootnoteReference"/>
          <w:sz w:val="18"/>
          <w:szCs w:val="18"/>
        </w:rPr>
        <w:footnoteRef/>
      </w:r>
      <w:r w:rsidRPr="00314A47">
        <w:rPr>
          <w:sz w:val="18"/>
          <w:szCs w:val="18"/>
        </w:rPr>
        <w:t xml:space="preserve"> The ground water quality objectives in the San Francisco Bay Basin Water Quality Control Plan is accessible online at http://www.waterboards.ca.gov/sanfranciscobay/water_issues/programs/planningtmdls/basinplan/web/bp_ch3.shtml</w:t>
      </w:r>
      <w:r w:rsidR="00314A47" w:rsidRPr="00314A4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24" w:rsidRDefault="00D52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80096"/>
      <w:docPartObj>
        <w:docPartGallery w:val="Watermarks"/>
        <w:docPartUnique/>
      </w:docPartObj>
    </w:sdtPr>
    <w:sdtContent>
      <w:p w:rsidR="00D52324" w:rsidRDefault="00D5232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1727642" o:spid="_x0000_s24577" type="#_x0000_t136" style="position:absolute;margin-left:0;margin-top:0;width:201pt;height:66.7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60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24" w:rsidRDefault="00D52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keepNext/>
        <w:keepLines/>
        <w:tabs>
          <w:tab w:val="num" w:pos="720"/>
        </w:tabs>
        <w:ind w:left="720" w:hanging="720"/>
      </w:pPr>
      <w:rPr>
        <w:rFonts w:ascii="Courier" w:hAnsi="Courier" w:cs="Times New Roman"/>
        <w:sz w:val="20"/>
        <w:szCs w:val="20"/>
      </w:rPr>
    </w:lvl>
    <w:lvl w:ilvl="1">
      <w:start w:val="1"/>
      <w:numFmt w:val="lowerLetter"/>
      <w:pStyle w:val="Level2"/>
      <w:lvlText w:val="%2."/>
      <w:lvlJc w:val="left"/>
      <w:pPr>
        <w:keepNext/>
        <w:keepLines/>
        <w:tabs>
          <w:tab w:val="num" w:pos="1080"/>
        </w:tabs>
        <w:ind w:left="1080" w:hanging="36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82950"/>
    <w:multiLevelType w:val="hybridMultilevel"/>
    <w:tmpl w:val="48204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272F"/>
    <w:multiLevelType w:val="hybridMultilevel"/>
    <w:tmpl w:val="DB004170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BAB5A9C"/>
    <w:multiLevelType w:val="hybridMultilevel"/>
    <w:tmpl w:val="D842064C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E054ED4"/>
    <w:multiLevelType w:val="hybridMultilevel"/>
    <w:tmpl w:val="CF685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0F4D"/>
    <w:multiLevelType w:val="hybridMultilevel"/>
    <w:tmpl w:val="4F0ABD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551C"/>
    <w:multiLevelType w:val="hybridMultilevel"/>
    <w:tmpl w:val="A476D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331D"/>
    <w:multiLevelType w:val="hybridMultilevel"/>
    <w:tmpl w:val="9AF8B386"/>
    <w:lvl w:ilvl="0" w:tplc="91D622AA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2A703FE0"/>
    <w:multiLevelType w:val="hybridMultilevel"/>
    <w:tmpl w:val="9D8C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3D9B"/>
    <w:multiLevelType w:val="hybridMultilevel"/>
    <w:tmpl w:val="6C5C6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D8564E"/>
    <w:multiLevelType w:val="hybridMultilevel"/>
    <w:tmpl w:val="8B0256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17218"/>
    <w:multiLevelType w:val="hybridMultilevel"/>
    <w:tmpl w:val="685286E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96"/>
    <w:rsid w:val="000201DD"/>
    <w:rsid w:val="0006626E"/>
    <w:rsid w:val="00101A74"/>
    <w:rsid w:val="001070BC"/>
    <w:rsid w:val="00134F9A"/>
    <w:rsid w:val="0017261D"/>
    <w:rsid w:val="001A7467"/>
    <w:rsid w:val="001F017D"/>
    <w:rsid w:val="001F2F40"/>
    <w:rsid w:val="002A7AA8"/>
    <w:rsid w:val="002B50AB"/>
    <w:rsid w:val="00314A47"/>
    <w:rsid w:val="003216D7"/>
    <w:rsid w:val="00326393"/>
    <w:rsid w:val="00346C96"/>
    <w:rsid w:val="003916A3"/>
    <w:rsid w:val="003B373E"/>
    <w:rsid w:val="004230E1"/>
    <w:rsid w:val="0043318B"/>
    <w:rsid w:val="00441EA3"/>
    <w:rsid w:val="00447614"/>
    <w:rsid w:val="00463DB1"/>
    <w:rsid w:val="0047049C"/>
    <w:rsid w:val="004D0EFB"/>
    <w:rsid w:val="00526D8E"/>
    <w:rsid w:val="005421A4"/>
    <w:rsid w:val="005A381E"/>
    <w:rsid w:val="005A6D28"/>
    <w:rsid w:val="005A77A1"/>
    <w:rsid w:val="005B3F5F"/>
    <w:rsid w:val="005B68AF"/>
    <w:rsid w:val="005C4ED3"/>
    <w:rsid w:val="005E7FEB"/>
    <w:rsid w:val="00605F94"/>
    <w:rsid w:val="0061381C"/>
    <w:rsid w:val="006540C6"/>
    <w:rsid w:val="006542F4"/>
    <w:rsid w:val="00672B4B"/>
    <w:rsid w:val="006A2342"/>
    <w:rsid w:val="006C27B6"/>
    <w:rsid w:val="0070038B"/>
    <w:rsid w:val="007061E7"/>
    <w:rsid w:val="0079178C"/>
    <w:rsid w:val="00822567"/>
    <w:rsid w:val="008F390B"/>
    <w:rsid w:val="00927C15"/>
    <w:rsid w:val="00951D43"/>
    <w:rsid w:val="009C30E4"/>
    <w:rsid w:val="00A01EEF"/>
    <w:rsid w:val="00A22D5D"/>
    <w:rsid w:val="00A87B03"/>
    <w:rsid w:val="00AA02B1"/>
    <w:rsid w:val="00AA455D"/>
    <w:rsid w:val="00B55B2D"/>
    <w:rsid w:val="00B55C4A"/>
    <w:rsid w:val="00B81813"/>
    <w:rsid w:val="00C01665"/>
    <w:rsid w:val="00CC1164"/>
    <w:rsid w:val="00D52324"/>
    <w:rsid w:val="00D72626"/>
    <w:rsid w:val="00D963B2"/>
    <w:rsid w:val="00DD6F5A"/>
    <w:rsid w:val="00DF260F"/>
    <w:rsid w:val="00E6012A"/>
    <w:rsid w:val="00E94BD4"/>
    <w:rsid w:val="00EB31A8"/>
    <w:rsid w:val="00EE12E7"/>
    <w:rsid w:val="00F00DAC"/>
    <w:rsid w:val="00F86A45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  <w15:docId w15:val="{F365B8A9-2C91-43F3-81AA-864A056C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hanging="8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1440"/>
    </w:pPr>
    <w:rPr>
      <w:b/>
    </w:r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semiHidden/>
    <w:pPr>
      <w:tabs>
        <w:tab w:val="left" w:pos="1271"/>
      </w:tabs>
      <w:ind w:left="1142" w:hanging="485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noProof/>
    </w:rPr>
  </w:style>
  <w:style w:type="paragraph" w:styleId="BodyTextIndent3">
    <w:name w:val="Body Text Indent 3"/>
    <w:basedOn w:val="Normal"/>
    <w:semiHidden/>
    <w:pPr>
      <w:ind w:left="1114"/>
    </w:pPr>
  </w:style>
  <w:style w:type="paragraph" w:styleId="FootnoteText">
    <w:name w:val="footnote text"/>
    <w:basedOn w:val="Normal"/>
    <w:semiHidden/>
    <w:rPr>
      <w:noProof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rPr>
      <w:b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648" w:hanging="648"/>
      <w:outlineLvl w:val="0"/>
    </w:pPr>
    <w:rPr>
      <w:rFonts w:ascii="Courier" w:hAnsi="Courier"/>
      <w:sz w:val="20"/>
      <w:szCs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autoSpaceDE w:val="0"/>
      <w:autoSpaceDN w:val="0"/>
      <w:adjustRightInd w:val="0"/>
      <w:ind w:left="1008" w:hanging="360"/>
      <w:outlineLvl w:val="1"/>
    </w:pPr>
    <w:rPr>
      <w:rFonts w:ascii="Courier" w:hAnsi="Courier"/>
      <w:sz w:val="20"/>
      <w:szCs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  <w:rPr>
      <w:rFonts w:ascii="Courier" w:hAnsi="Courier"/>
      <w:sz w:val="20"/>
      <w:szCs w:val="24"/>
    </w:rPr>
  </w:style>
  <w:style w:type="paragraph" w:customStyle="1" w:styleId="Level4">
    <w:name w:val="Level 4"/>
    <w:basedOn w:val="Normal"/>
    <w:pPr>
      <w:widowControl w:val="0"/>
      <w:autoSpaceDE w:val="0"/>
      <w:autoSpaceDN w:val="0"/>
      <w:adjustRightInd w:val="0"/>
      <w:outlineLvl w:val="3"/>
    </w:pPr>
    <w:rPr>
      <w:rFonts w:ascii="Courier" w:hAnsi="Courier"/>
      <w:sz w:val="20"/>
      <w:szCs w:val="24"/>
    </w:rPr>
  </w:style>
  <w:style w:type="paragraph" w:styleId="ListParagraph">
    <w:name w:val="List Paragraph"/>
    <w:basedOn w:val="Normal"/>
    <w:uiPriority w:val="34"/>
    <w:qFormat/>
    <w:rsid w:val="00B55C4A"/>
    <w:pPr>
      <w:ind w:left="720"/>
      <w:contextualSpacing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4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05F94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A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AA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A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A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AA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epa.gov/npdes/pubs/cafo_manure_guidance_appendixi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q.state.ms.us/mdeq.nsf/pdf/NPS_Nutr_Manage_Guidelines_Agronomics_MS/$File/Nutr_Manage_Guidelines_Agronomics_MS.pdf?OpenEle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tress.wa.gov/ecy/publications/documents/001001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lorado.gov/pacific/sites/default/files/WQP21_0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boards.ca.gov/centralvalley/board_decisions/adopted_orders/general_orders/r5-2013-01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2CAA-B107-4C7F-9938-CF50BB84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SWRCB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William Ray</dc:creator>
  <cp:lastModifiedBy>Gunter, Melissa@Waterboards</cp:lastModifiedBy>
  <cp:revision>16</cp:revision>
  <cp:lastPrinted>2017-06-23T11:47:00Z</cp:lastPrinted>
  <dcterms:created xsi:type="dcterms:W3CDTF">2016-12-27T00:57:00Z</dcterms:created>
  <dcterms:modified xsi:type="dcterms:W3CDTF">2017-07-27T16:58:00Z</dcterms:modified>
</cp:coreProperties>
</file>