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2C15" w14:textId="77777777" w:rsidR="00063478" w:rsidRPr="006008DB" w:rsidRDefault="00063478" w:rsidP="00063478">
      <w:pPr>
        <w:jc w:val="center"/>
        <w:rPr>
          <w:b/>
        </w:rPr>
      </w:pPr>
      <w:r w:rsidRPr="006008DB">
        <w:rPr>
          <w:b/>
        </w:rPr>
        <w:t>CALIFORNIA REGIONAL WATER QUALITY CONTROL BOARD</w:t>
      </w:r>
    </w:p>
    <w:p w14:paraId="61A1C717" w14:textId="77777777" w:rsidR="00063478" w:rsidRPr="006008DB" w:rsidRDefault="00063478" w:rsidP="00063478">
      <w:pPr>
        <w:jc w:val="center"/>
        <w:rPr>
          <w:b/>
        </w:rPr>
      </w:pPr>
      <w:r w:rsidRPr="006008DB">
        <w:rPr>
          <w:b/>
        </w:rPr>
        <w:t>SAN FRANCISCO BAY REGION</w:t>
      </w:r>
    </w:p>
    <w:p w14:paraId="165FB6AB" w14:textId="77777777" w:rsidR="00063478" w:rsidRPr="006008DB" w:rsidRDefault="00063478" w:rsidP="00063478">
      <w:pPr>
        <w:rPr>
          <w:b/>
        </w:rPr>
      </w:pPr>
    </w:p>
    <w:p w14:paraId="70EF7484" w14:textId="77777777" w:rsidR="00063478" w:rsidRPr="006008DB" w:rsidRDefault="00063478" w:rsidP="00063478">
      <w:pPr>
        <w:rPr>
          <w:b/>
        </w:rPr>
      </w:pPr>
    </w:p>
    <w:p w14:paraId="2D55E736" w14:textId="77777777" w:rsidR="00063478" w:rsidRPr="006008DB" w:rsidRDefault="00063478" w:rsidP="00063478">
      <w:pPr>
        <w:rPr>
          <w:b/>
        </w:rPr>
      </w:pPr>
      <w:r w:rsidRPr="006008DB">
        <w:rPr>
          <w:b/>
        </w:rPr>
        <w:t>TENTATIVE ORDER NO. R2-2017-</w:t>
      </w:r>
      <w:r w:rsidRPr="006008DB">
        <w:rPr>
          <w:b/>
          <w:highlight w:val="yellow"/>
        </w:rPr>
        <w:t>XXXX</w:t>
      </w:r>
    </w:p>
    <w:p w14:paraId="5393D4D0" w14:textId="77777777" w:rsidR="00063478" w:rsidRPr="006008DB" w:rsidRDefault="00063478" w:rsidP="00063478">
      <w:pPr>
        <w:rPr>
          <w:b/>
          <w:bCs/>
          <w:caps/>
          <w:snapToGrid w:val="0"/>
        </w:rPr>
      </w:pPr>
    </w:p>
    <w:p w14:paraId="6958135D" w14:textId="77777777" w:rsidR="00063478" w:rsidRPr="006008DB" w:rsidRDefault="00063478" w:rsidP="00063478">
      <w:pPr>
        <w:rPr>
          <w:b/>
          <w:bCs/>
          <w:caps/>
          <w:snapToGrid w:val="0"/>
        </w:rPr>
      </w:pPr>
      <w:r w:rsidRPr="006008DB">
        <w:rPr>
          <w:b/>
          <w:bCs/>
          <w:caps/>
          <w:snapToGrid w:val="0"/>
        </w:rPr>
        <w:t xml:space="preserve">General Waste Discharge Requirements For Discharges OF </w:t>
      </w:r>
    </w:p>
    <w:p w14:paraId="72EBD4E3" w14:textId="77777777" w:rsidR="00063478" w:rsidRPr="006008DB" w:rsidRDefault="00063478" w:rsidP="00063478">
      <w:pPr>
        <w:rPr>
          <w:b/>
          <w:bCs/>
          <w:caps/>
          <w:snapToGrid w:val="0"/>
        </w:rPr>
      </w:pPr>
      <w:r w:rsidRPr="006008DB">
        <w:rPr>
          <w:b/>
          <w:bCs/>
          <w:caps/>
          <w:snapToGrid w:val="0"/>
        </w:rPr>
        <w:t>WINERY WASTE to Land within the San Francisco Bay Region</w:t>
      </w:r>
    </w:p>
    <w:p w14:paraId="5C52FD34" w14:textId="77777777" w:rsidR="00063478" w:rsidRPr="006008DB" w:rsidRDefault="00063478" w:rsidP="00063478">
      <w:pPr>
        <w:rPr>
          <w:b/>
          <w:bCs/>
          <w:caps/>
          <w:snapToGrid w:val="0"/>
        </w:rPr>
      </w:pPr>
    </w:p>
    <w:p w14:paraId="06EC50DE" w14:textId="43F4062C" w:rsidR="00063478" w:rsidRPr="006008DB" w:rsidRDefault="00063478" w:rsidP="00063478">
      <w:pPr>
        <w:rPr>
          <w:b/>
          <w:bCs/>
          <w:caps/>
          <w:snapToGrid w:val="0"/>
        </w:rPr>
      </w:pPr>
      <w:r w:rsidRPr="006008DB">
        <w:rPr>
          <w:rFonts w:eastAsia="Times New Roman"/>
          <w:noProof/>
          <w:color w:val="000000"/>
          <w:w w:val="0"/>
          <w:u w:color="000000"/>
          <w:bdr w:val="none" w:sz="0" w:space="0" w:color="000000"/>
          <w:shd w:val="clear" w:color="000000" w:fill="000000"/>
        </w:rPr>
        <w:drawing>
          <wp:inline distT="0" distB="0" distL="0" distR="0" wp14:anchorId="32E70FEB" wp14:editId="039D8E25">
            <wp:extent cx="5486400" cy="54864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Monkey Collag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5486400"/>
                    </a:xfrm>
                    <a:prstGeom prst="rect">
                      <a:avLst/>
                    </a:prstGeom>
                    <a:ln w="19050" cmpd="sng">
                      <a:solidFill>
                        <a:schemeClr val="tx1"/>
                      </a:solidFill>
                    </a:ln>
                  </pic:spPr>
                </pic:pic>
              </a:graphicData>
            </a:graphic>
          </wp:inline>
        </w:drawing>
      </w:r>
      <w:r w:rsidRPr="006008DB">
        <w:rPr>
          <w:b/>
          <w:bCs/>
          <w:caps/>
          <w:snapToGrid w:val="0"/>
        </w:rPr>
        <w:br w:type="page"/>
      </w:r>
    </w:p>
    <w:p w14:paraId="654DFC08" w14:textId="77777777" w:rsidR="0058704F" w:rsidRPr="00CB58F6" w:rsidRDefault="0058704F" w:rsidP="0058704F">
      <w:pPr>
        <w:jc w:val="center"/>
        <w:rPr>
          <w:b/>
        </w:rPr>
      </w:pPr>
      <w:r w:rsidRPr="00CB58F6">
        <w:rPr>
          <w:b/>
        </w:rPr>
        <w:lastRenderedPageBreak/>
        <w:t>CALIFORNIA REGIONAL WATER QUALITY CONTROL BOARD</w:t>
      </w:r>
    </w:p>
    <w:p w14:paraId="7BCAB3F1" w14:textId="77777777" w:rsidR="0058704F" w:rsidRPr="00CB58F6" w:rsidRDefault="0058704F" w:rsidP="0058704F">
      <w:pPr>
        <w:jc w:val="center"/>
        <w:rPr>
          <w:b/>
        </w:rPr>
      </w:pPr>
      <w:r w:rsidRPr="00CB58F6">
        <w:rPr>
          <w:b/>
        </w:rPr>
        <w:t>SAN FRANCISCO BAY REGION</w:t>
      </w:r>
    </w:p>
    <w:p w14:paraId="2A661A1D" w14:textId="77777777" w:rsidR="0058704F" w:rsidRPr="00CB58F6" w:rsidRDefault="0058704F" w:rsidP="0058704F">
      <w:pPr>
        <w:rPr>
          <w:b/>
        </w:rPr>
      </w:pPr>
    </w:p>
    <w:p w14:paraId="2A04A43A" w14:textId="77777777" w:rsidR="0058704F" w:rsidRPr="00CB58F6" w:rsidRDefault="0058704F" w:rsidP="000F09DF">
      <w:pPr>
        <w:spacing w:after="120"/>
        <w:rPr>
          <w:b/>
        </w:rPr>
      </w:pPr>
      <w:r w:rsidRPr="00CB58F6">
        <w:rPr>
          <w:b/>
        </w:rPr>
        <w:t xml:space="preserve">TENTATIVE ORDER </w:t>
      </w:r>
    </w:p>
    <w:p w14:paraId="0F1D08CF" w14:textId="77777777" w:rsidR="0058704F" w:rsidRPr="00CB58F6" w:rsidRDefault="0058704F" w:rsidP="000F09DF">
      <w:pPr>
        <w:spacing w:after="120"/>
        <w:rPr>
          <w:b/>
        </w:rPr>
      </w:pPr>
      <w:r w:rsidRPr="00CB58F6">
        <w:rPr>
          <w:b/>
        </w:rPr>
        <w:t>ORDER NO. R2-</w:t>
      </w:r>
      <w:r>
        <w:rPr>
          <w:b/>
        </w:rPr>
        <w:t>2017</w:t>
      </w:r>
      <w:r w:rsidRPr="00CB58F6">
        <w:rPr>
          <w:b/>
        </w:rPr>
        <w:t>-XXX</w:t>
      </w:r>
      <w:r>
        <w:rPr>
          <w:b/>
        </w:rPr>
        <w:t>X</w:t>
      </w:r>
    </w:p>
    <w:p w14:paraId="67E7A877" w14:textId="77777777" w:rsidR="0058704F" w:rsidRPr="00CB58F6" w:rsidRDefault="0058704F" w:rsidP="0058704F">
      <w:pPr>
        <w:rPr>
          <w:b/>
          <w:bCs/>
          <w:caps/>
          <w:snapToGrid w:val="0"/>
        </w:rPr>
      </w:pPr>
      <w:r w:rsidRPr="00CB58F6">
        <w:rPr>
          <w:b/>
          <w:bCs/>
          <w:caps/>
          <w:snapToGrid w:val="0"/>
        </w:rPr>
        <w:t xml:space="preserve">General Waste Discharge Requirements For Discharges OF </w:t>
      </w:r>
    </w:p>
    <w:p w14:paraId="4B42922C" w14:textId="34827EAA" w:rsidR="0058704F" w:rsidRDefault="0058704F" w:rsidP="0058704F">
      <w:pPr>
        <w:rPr>
          <w:b/>
        </w:rPr>
      </w:pPr>
      <w:r w:rsidRPr="00CB58F6">
        <w:rPr>
          <w:b/>
          <w:bCs/>
          <w:caps/>
          <w:snapToGrid w:val="0"/>
        </w:rPr>
        <w:t>WINERY WASTE to Land within the San Francisco Bay Region</w:t>
      </w:r>
      <w:r w:rsidRPr="00CB58F6">
        <w:rPr>
          <w:b/>
        </w:rPr>
        <w:t xml:space="preserve"> </w:t>
      </w:r>
    </w:p>
    <w:p w14:paraId="0D42212B" w14:textId="77777777" w:rsidR="000F09DF" w:rsidRPr="0058704F" w:rsidRDefault="000F09DF" w:rsidP="0058704F">
      <w:pPr>
        <w:rPr>
          <w:b/>
        </w:rPr>
      </w:pPr>
    </w:p>
    <w:bookmarkStart w:id="0" w:name="_Toc487002331" w:displacedByCustomXml="next"/>
    <w:sdt>
      <w:sdtPr>
        <w:rPr>
          <w:rFonts w:eastAsiaTheme="minorEastAsia"/>
          <w:b w:val="0"/>
          <w:bCs w:val="0"/>
          <w:snapToGrid/>
        </w:rPr>
        <w:id w:val="1331024817"/>
        <w:docPartObj>
          <w:docPartGallery w:val="Table of Contents"/>
          <w:docPartUnique/>
        </w:docPartObj>
      </w:sdtPr>
      <w:sdtEndPr>
        <w:rPr>
          <w:noProof/>
        </w:rPr>
      </w:sdtEndPr>
      <w:sdtContent>
        <w:p w14:paraId="3FEDA5E6" w14:textId="5BCF08CE" w:rsidR="0058704F" w:rsidRPr="0058704F" w:rsidRDefault="0058704F" w:rsidP="00CF654D">
          <w:pPr>
            <w:pStyle w:val="Heading1"/>
            <w:numPr>
              <w:ilvl w:val="0"/>
              <w:numId w:val="0"/>
            </w:numPr>
            <w:ind w:left="720" w:hanging="720"/>
          </w:pPr>
          <w:r w:rsidRPr="0058704F">
            <w:t>TABLE OF CONTENTS</w:t>
          </w:r>
          <w:bookmarkEnd w:id="0"/>
        </w:p>
        <w:p w14:paraId="7AB5F1DD" w14:textId="552F97A7" w:rsidR="000F09DF" w:rsidRPr="000F09DF" w:rsidRDefault="0058704F" w:rsidP="000F09DF">
          <w:pPr>
            <w:pStyle w:val="TOC1"/>
            <w:tabs>
              <w:tab w:val="clear" w:pos="8630"/>
              <w:tab w:val="right" w:leader="dot" w:pos="8550"/>
            </w:tabs>
            <w:spacing w:before="0" w:after="120"/>
            <w:ind w:right="810"/>
            <w:rPr>
              <w:rFonts w:ascii="Times New Roman" w:hAnsi="Times New Roman"/>
              <w:color w:val="auto"/>
            </w:rPr>
          </w:pPr>
          <w:r w:rsidRPr="000F09DF">
            <w:rPr>
              <w:rFonts w:ascii="Times New Roman" w:hAnsi="Times New Roman"/>
              <w:color w:val="auto"/>
            </w:rPr>
            <w:fldChar w:fldCharType="begin"/>
          </w:r>
          <w:r w:rsidRPr="000F09DF">
            <w:rPr>
              <w:rFonts w:ascii="Times New Roman" w:hAnsi="Times New Roman"/>
              <w:color w:val="auto"/>
            </w:rPr>
            <w:instrText xml:space="preserve"> TOC \o "1-3" \h \z \u </w:instrText>
          </w:r>
          <w:r w:rsidRPr="000F09DF">
            <w:rPr>
              <w:rFonts w:ascii="Times New Roman" w:hAnsi="Times New Roman"/>
              <w:color w:val="auto"/>
            </w:rPr>
            <w:fldChar w:fldCharType="separate"/>
          </w:r>
        </w:p>
        <w:p w14:paraId="310CA74B" w14:textId="603C0339" w:rsidR="000F09DF" w:rsidRPr="000F09DF" w:rsidRDefault="003F28D0" w:rsidP="000F09DF">
          <w:pPr>
            <w:pStyle w:val="TOC1"/>
            <w:tabs>
              <w:tab w:val="clear" w:pos="8630"/>
              <w:tab w:val="left" w:pos="1200"/>
              <w:tab w:val="right" w:leader="dot" w:pos="8550"/>
            </w:tabs>
            <w:spacing w:before="0" w:after="120"/>
            <w:ind w:right="810"/>
            <w:rPr>
              <w:rFonts w:ascii="Times New Roman" w:hAnsi="Times New Roman"/>
              <w:color w:val="auto"/>
            </w:rPr>
          </w:pPr>
          <w:hyperlink w:anchor="_Toc487002332" w:history="1">
            <w:r w:rsidR="000F09DF" w:rsidRPr="000F09DF">
              <w:rPr>
                <w:rStyle w:val="Hyperlink"/>
                <w:rFonts w:ascii="Times New Roman" w:hAnsi="Times New Roman"/>
                <w:color w:val="auto"/>
              </w:rPr>
              <w:t>I.</w:t>
            </w:r>
            <w:r w:rsidR="000F09DF" w:rsidRPr="000F09DF">
              <w:rPr>
                <w:rFonts w:ascii="Times New Roman" w:hAnsi="Times New Roman"/>
                <w:color w:val="auto"/>
              </w:rPr>
              <w:tab/>
            </w:r>
            <w:r w:rsidR="000F09DF" w:rsidRPr="000F09DF">
              <w:rPr>
                <w:rStyle w:val="Hyperlink"/>
                <w:rFonts w:ascii="Times New Roman" w:hAnsi="Times New Roman"/>
                <w:color w:val="auto"/>
              </w:rPr>
              <w:t>Findings</w:t>
            </w:r>
            <w:r w:rsidR="000F09DF" w:rsidRPr="000F09DF">
              <w:rPr>
                <w:rFonts w:ascii="Times New Roman" w:hAnsi="Times New Roman"/>
                <w:webHidden/>
                <w:color w:val="auto"/>
              </w:rPr>
              <w:tab/>
            </w:r>
            <w:r w:rsidR="000F09DF" w:rsidRPr="000F09DF">
              <w:rPr>
                <w:rFonts w:ascii="Times New Roman" w:hAnsi="Times New Roman"/>
                <w:webHidden/>
                <w:color w:val="auto"/>
              </w:rPr>
              <w:fldChar w:fldCharType="begin"/>
            </w:r>
            <w:r w:rsidR="000F09DF" w:rsidRPr="000F09DF">
              <w:rPr>
                <w:rFonts w:ascii="Times New Roman" w:hAnsi="Times New Roman"/>
                <w:webHidden/>
                <w:color w:val="auto"/>
              </w:rPr>
              <w:instrText xml:space="preserve"> PAGEREF _Toc487002332 \h </w:instrText>
            </w:r>
            <w:r w:rsidR="000F09DF" w:rsidRPr="000F09DF">
              <w:rPr>
                <w:rFonts w:ascii="Times New Roman" w:hAnsi="Times New Roman"/>
                <w:webHidden/>
                <w:color w:val="auto"/>
              </w:rPr>
            </w:r>
            <w:r w:rsidR="000F09DF" w:rsidRPr="000F09DF">
              <w:rPr>
                <w:rFonts w:ascii="Times New Roman" w:hAnsi="Times New Roman"/>
                <w:webHidden/>
                <w:color w:val="auto"/>
              </w:rPr>
              <w:fldChar w:fldCharType="separate"/>
            </w:r>
            <w:r w:rsidR="00512EAC">
              <w:rPr>
                <w:rFonts w:ascii="Times New Roman" w:hAnsi="Times New Roman"/>
                <w:webHidden/>
                <w:color w:val="auto"/>
              </w:rPr>
              <w:t>4</w:t>
            </w:r>
            <w:r w:rsidR="000F09DF" w:rsidRPr="000F09DF">
              <w:rPr>
                <w:rFonts w:ascii="Times New Roman" w:hAnsi="Times New Roman"/>
                <w:webHidden/>
                <w:color w:val="auto"/>
              </w:rPr>
              <w:fldChar w:fldCharType="end"/>
            </w:r>
          </w:hyperlink>
        </w:p>
        <w:p w14:paraId="4D7AB366" w14:textId="18AC5D64" w:rsidR="000F09DF" w:rsidRPr="000F09DF" w:rsidRDefault="003F28D0" w:rsidP="00D35F67">
          <w:pPr>
            <w:pStyle w:val="TOC2"/>
            <w:rPr>
              <w:noProof/>
            </w:rPr>
          </w:pPr>
          <w:hyperlink w:anchor="_Toc487002333" w:history="1">
            <w:r w:rsidR="000F09DF" w:rsidRPr="000F09DF">
              <w:rPr>
                <w:rStyle w:val="Hyperlink"/>
                <w:noProof/>
                <w:color w:val="auto"/>
                <w:sz w:val="24"/>
                <w:szCs w:val="24"/>
              </w:rPr>
              <w:t>A.</w:t>
            </w:r>
            <w:r w:rsidR="00D35F67">
              <w:rPr>
                <w:noProof/>
              </w:rPr>
              <w:t xml:space="preserve"> </w:t>
            </w:r>
            <w:r w:rsidR="00D35F67">
              <w:rPr>
                <w:noProof/>
              </w:rPr>
              <w:tab/>
            </w:r>
            <w:r w:rsidR="000F09DF">
              <w:rPr>
                <w:rStyle w:val="Hyperlink"/>
                <w:noProof/>
                <w:color w:val="auto"/>
                <w:sz w:val="24"/>
                <w:szCs w:val="24"/>
              </w:rPr>
              <w:t>Scope o</w:t>
            </w:r>
            <w:r w:rsidR="000F09DF" w:rsidRPr="000F09DF">
              <w:rPr>
                <w:rStyle w:val="Hyperlink"/>
                <w:noProof/>
                <w:color w:val="auto"/>
                <w:sz w:val="24"/>
                <w:szCs w:val="24"/>
              </w:rPr>
              <w:t>f Coverage</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_Toc487002333 \h </w:instrText>
            </w:r>
            <w:r w:rsidR="000F09DF" w:rsidRPr="000F09DF">
              <w:rPr>
                <w:noProof/>
                <w:webHidden/>
              </w:rPr>
            </w:r>
            <w:r w:rsidR="000F09DF" w:rsidRPr="000F09DF">
              <w:rPr>
                <w:noProof/>
                <w:webHidden/>
              </w:rPr>
              <w:fldChar w:fldCharType="separate"/>
            </w:r>
            <w:r w:rsidR="00512EAC">
              <w:rPr>
                <w:noProof/>
                <w:webHidden/>
              </w:rPr>
              <w:t>4</w:t>
            </w:r>
            <w:r w:rsidR="000F09DF" w:rsidRPr="000F09DF">
              <w:rPr>
                <w:noProof/>
                <w:webHidden/>
              </w:rPr>
              <w:fldChar w:fldCharType="end"/>
            </w:r>
          </w:hyperlink>
        </w:p>
        <w:p w14:paraId="77413102" w14:textId="1496B879" w:rsidR="000F09DF" w:rsidRPr="000F09DF" w:rsidRDefault="003F28D0" w:rsidP="00D35F67">
          <w:pPr>
            <w:pStyle w:val="TOC2"/>
            <w:rPr>
              <w:noProof/>
            </w:rPr>
          </w:pPr>
          <w:hyperlink w:anchor="_Toc487002334" w:history="1">
            <w:r w:rsidR="000F09DF" w:rsidRPr="000F09DF">
              <w:rPr>
                <w:rStyle w:val="Hyperlink"/>
                <w:noProof/>
                <w:color w:val="auto"/>
                <w:sz w:val="24"/>
                <w:szCs w:val="24"/>
              </w:rPr>
              <w:t>B.</w:t>
            </w:r>
            <w:r w:rsidR="000F09DF" w:rsidRPr="000F09DF">
              <w:rPr>
                <w:noProof/>
              </w:rPr>
              <w:tab/>
            </w:r>
            <w:r w:rsidR="000F09DF" w:rsidRPr="000F09DF">
              <w:rPr>
                <w:rStyle w:val="Hyperlink"/>
                <w:noProof/>
                <w:color w:val="auto"/>
                <w:sz w:val="24"/>
                <w:szCs w:val="24"/>
              </w:rPr>
              <w:t>Regulatory Framework</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_Toc487002334 \h </w:instrText>
            </w:r>
            <w:r w:rsidR="000F09DF" w:rsidRPr="000F09DF">
              <w:rPr>
                <w:noProof/>
                <w:webHidden/>
              </w:rPr>
            </w:r>
            <w:r w:rsidR="000F09DF" w:rsidRPr="000F09DF">
              <w:rPr>
                <w:noProof/>
                <w:webHidden/>
              </w:rPr>
              <w:fldChar w:fldCharType="separate"/>
            </w:r>
            <w:r w:rsidR="00512EAC">
              <w:rPr>
                <w:noProof/>
                <w:webHidden/>
              </w:rPr>
              <w:t>6</w:t>
            </w:r>
            <w:r w:rsidR="000F09DF" w:rsidRPr="000F09DF">
              <w:rPr>
                <w:noProof/>
                <w:webHidden/>
              </w:rPr>
              <w:fldChar w:fldCharType="end"/>
            </w:r>
          </w:hyperlink>
        </w:p>
        <w:p w14:paraId="1B021B94" w14:textId="44F460C4" w:rsidR="000F09DF" w:rsidRPr="000F09DF" w:rsidRDefault="003F28D0" w:rsidP="00D35F67">
          <w:pPr>
            <w:pStyle w:val="TOC2"/>
            <w:rPr>
              <w:noProof/>
            </w:rPr>
          </w:pPr>
          <w:hyperlink w:anchor="_Toc487002335" w:history="1">
            <w:r w:rsidR="000F09DF" w:rsidRPr="000F09DF">
              <w:rPr>
                <w:rStyle w:val="Hyperlink"/>
                <w:noProof/>
                <w:color w:val="auto"/>
                <w:sz w:val="24"/>
                <w:szCs w:val="24"/>
              </w:rPr>
              <w:t>C.</w:t>
            </w:r>
            <w:r w:rsidR="000F09DF" w:rsidRPr="000F09DF">
              <w:rPr>
                <w:noProof/>
              </w:rPr>
              <w:tab/>
            </w:r>
            <w:r w:rsidR="000F09DF" w:rsidRPr="000F09DF">
              <w:rPr>
                <w:rStyle w:val="Hyperlink"/>
                <w:noProof/>
                <w:color w:val="auto"/>
                <w:sz w:val="24"/>
                <w:szCs w:val="24"/>
              </w:rPr>
              <w:t>Winery Wastewater Treatment Considerations</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_Toc487002335 \h </w:instrText>
            </w:r>
            <w:r w:rsidR="000F09DF" w:rsidRPr="000F09DF">
              <w:rPr>
                <w:noProof/>
                <w:webHidden/>
              </w:rPr>
            </w:r>
            <w:r w:rsidR="000F09DF" w:rsidRPr="000F09DF">
              <w:rPr>
                <w:noProof/>
                <w:webHidden/>
              </w:rPr>
              <w:fldChar w:fldCharType="separate"/>
            </w:r>
            <w:r w:rsidR="00512EAC">
              <w:rPr>
                <w:noProof/>
                <w:webHidden/>
              </w:rPr>
              <w:t>11</w:t>
            </w:r>
            <w:r w:rsidR="000F09DF" w:rsidRPr="000F09DF">
              <w:rPr>
                <w:noProof/>
                <w:webHidden/>
              </w:rPr>
              <w:fldChar w:fldCharType="end"/>
            </w:r>
          </w:hyperlink>
        </w:p>
        <w:p w14:paraId="3AE8CE5D" w14:textId="6E0A7C1D" w:rsidR="000F09DF" w:rsidRPr="000F09DF" w:rsidRDefault="003F28D0" w:rsidP="00D35F67">
          <w:pPr>
            <w:pStyle w:val="TOC2"/>
            <w:rPr>
              <w:noProof/>
            </w:rPr>
          </w:pPr>
          <w:hyperlink w:anchor="_Toc487002336" w:history="1">
            <w:r w:rsidR="000F09DF" w:rsidRPr="000F09DF">
              <w:rPr>
                <w:rStyle w:val="Hyperlink"/>
                <w:noProof/>
                <w:color w:val="auto"/>
                <w:sz w:val="24"/>
                <w:szCs w:val="24"/>
              </w:rPr>
              <w:t>D.</w:t>
            </w:r>
            <w:r w:rsidR="000F09DF" w:rsidRPr="000F09DF">
              <w:rPr>
                <w:noProof/>
              </w:rPr>
              <w:tab/>
            </w:r>
            <w:r w:rsidR="000F09DF" w:rsidRPr="000F09DF">
              <w:rPr>
                <w:rStyle w:val="Hyperlink"/>
                <w:noProof/>
                <w:color w:val="auto"/>
                <w:sz w:val="24"/>
                <w:szCs w:val="24"/>
              </w:rPr>
              <w:t>Winery Wastewater Characteristics</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_Toc487002336 \h </w:instrText>
            </w:r>
            <w:r w:rsidR="000F09DF" w:rsidRPr="000F09DF">
              <w:rPr>
                <w:noProof/>
                <w:webHidden/>
              </w:rPr>
            </w:r>
            <w:r w:rsidR="000F09DF" w:rsidRPr="000F09DF">
              <w:rPr>
                <w:noProof/>
                <w:webHidden/>
              </w:rPr>
              <w:fldChar w:fldCharType="separate"/>
            </w:r>
            <w:r w:rsidR="00512EAC">
              <w:rPr>
                <w:noProof/>
                <w:webHidden/>
              </w:rPr>
              <w:t>12</w:t>
            </w:r>
            <w:r w:rsidR="000F09DF" w:rsidRPr="000F09DF">
              <w:rPr>
                <w:noProof/>
                <w:webHidden/>
              </w:rPr>
              <w:fldChar w:fldCharType="end"/>
            </w:r>
          </w:hyperlink>
        </w:p>
        <w:p w14:paraId="10419836" w14:textId="26F22A96" w:rsidR="000F09DF" w:rsidRPr="000F09DF" w:rsidRDefault="003F28D0" w:rsidP="00D35F67">
          <w:pPr>
            <w:pStyle w:val="TOC2"/>
            <w:rPr>
              <w:noProof/>
            </w:rPr>
          </w:pPr>
          <w:hyperlink w:anchor="_Toc487002337" w:history="1">
            <w:r w:rsidR="000F09DF" w:rsidRPr="000F09DF">
              <w:rPr>
                <w:rStyle w:val="Hyperlink"/>
                <w:noProof/>
                <w:color w:val="auto"/>
                <w:sz w:val="24"/>
                <w:szCs w:val="24"/>
              </w:rPr>
              <w:t>E.</w:t>
            </w:r>
            <w:r w:rsidR="000F09DF" w:rsidRPr="000F09DF">
              <w:rPr>
                <w:noProof/>
              </w:rPr>
              <w:tab/>
            </w:r>
            <w:r w:rsidR="000F09DF" w:rsidRPr="000F09DF">
              <w:rPr>
                <w:rStyle w:val="Hyperlink"/>
                <w:noProof/>
                <w:color w:val="auto"/>
                <w:sz w:val="24"/>
                <w:szCs w:val="24"/>
              </w:rPr>
              <w:t>Effluent Limitations And Numeric Action Levels</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_Toc487002337 \h </w:instrText>
            </w:r>
            <w:r w:rsidR="000F09DF" w:rsidRPr="000F09DF">
              <w:rPr>
                <w:noProof/>
                <w:webHidden/>
              </w:rPr>
            </w:r>
            <w:r w:rsidR="000F09DF" w:rsidRPr="000F09DF">
              <w:rPr>
                <w:noProof/>
                <w:webHidden/>
              </w:rPr>
              <w:fldChar w:fldCharType="separate"/>
            </w:r>
            <w:r w:rsidR="00512EAC">
              <w:rPr>
                <w:noProof/>
                <w:webHidden/>
              </w:rPr>
              <w:t>13</w:t>
            </w:r>
            <w:r w:rsidR="000F09DF" w:rsidRPr="000F09DF">
              <w:rPr>
                <w:noProof/>
                <w:webHidden/>
              </w:rPr>
              <w:fldChar w:fldCharType="end"/>
            </w:r>
          </w:hyperlink>
        </w:p>
        <w:p w14:paraId="3F78FB9A" w14:textId="67AEB682" w:rsidR="000F09DF" w:rsidRPr="000F09DF" w:rsidRDefault="003F28D0" w:rsidP="00D35F67">
          <w:pPr>
            <w:pStyle w:val="TOC2"/>
            <w:rPr>
              <w:noProof/>
            </w:rPr>
          </w:pPr>
          <w:hyperlink w:anchor="_Toc487002338" w:history="1">
            <w:r w:rsidR="000F09DF" w:rsidRPr="000F09DF">
              <w:rPr>
                <w:rStyle w:val="Hyperlink"/>
                <w:noProof/>
                <w:color w:val="auto"/>
                <w:sz w:val="24"/>
                <w:szCs w:val="24"/>
              </w:rPr>
              <w:t>F.</w:t>
            </w:r>
            <w:r w:rsidR="000F09DF" w:rsidRPr="000F09DF">
              <w:rPr>
                <w:noProof/>
              </w:rPr>
              <w:tab/>
            </w:r>
            <w:r w:rsidR="000F09DF" w:rsidRPr="000F09DF">
              <w:rPr>
                <w:rStyle w:val="Hyperlink"/>
                <w:noProof/>
                <w:color w:val="auto"/>
                <w:sz w:val="24"/>
                <w:szCs w:val="24"/>
              </w:rPr>
              <w:t>Discharge Specifications</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_Toc487002338 \h </w:instrText>
            </w:r>
            <w:r w:rsidR="000F09DF" w:rsidRPr="000F09DF">
              <w:rPr>
                <w:noProof/>
                <w:webHidden/>
              </w:rPr>
            </w:r>
            <w:r w:rsidR="000F09DF" w:rsidRPr="000F09DF">
              <w:rPr>
                <w:noProof/>
                <w:webHidden/>
              </w:rPr>
              <w:fldChar w:fldCharType="separate"/>
            </w:r>
            <w:r w:rsidR="00512EAC">
              <w:rPr>
                <w:noProof/>
                <w:webHidden/>
              </w:rPr>
              <w:t>15</w:t>
            </w:r>
            <w:r w:rsidR="000F09DF" w:rsidRPr="000F09DF">
              <w:rPr>
                <w:noProof/>
                <w:webHidden/>
              </w:rPr>
              <w:fldChar w:fldCharType="end"/>
            </w:r>
          </w:hyperlink>
        </w:p>
        <w:p w14:paraId="1F590E53" w14:textId="727573A5" w:rsidR="000F09DF" w:rsidRPr="000F09DF" w:rsidRDefault="003F28D0" w:rsidP="00D35F67">
          <w:pPr>
            <w:pStyle w:val="TOC2"/>
            <w:rPr>
              <w:noProof/>
            </w:rPr>
          </w:pPr>
          <w:hyperlink w:anchor="_Toc487002339" w:history="1">
            <w:r w:rsidR="000F09DF" w:rsidRPr="000F09DF">
              <w:rPr>
                <w:rStyle w:val="Hyperlink"/>
                <w:noProof/>
                <w:color w:val="auto"/>
                <w:sz w:val="24"/>
                <w:szCs w:val="24"/>
              </w:rPr>
              <w:t>G.</w:t>
            </w:r>
            <w:r w:rsidR="000F09DF" w:rsidRPr="000F09DF">
              <w:rPr>
                <w:noProof/>
              </w:rPr>
              <w:tab/>
            </w:r>
            <w:r w:rsidR="000F09DF" w:rsidRPr="000F09DF">
              <w:rPr>
                <w:rStyle w:val="Hyperlink"/>
                <w:noProof/>
                <w:color w:val="auto"/>
                <w:sz w:val="24"/>
                <w:szCs w:val="24"/>
              </w:rPr>
              <w:t>Provisions</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_Toc487002339 \h </w:instrText>
            </w:r>
            <w:r w:rsidR="000F09DF" w:rsidRPr="000F09DF">
              <w:rPr>
                <w:noProof/>
                <w:webHidden/>
              </w:rPr>
            </w:r>
            <w:r w:rsidR="000F09DF" w:rsidRPr="000F09DF">
              <w:rPr>
                <w:noProof/>
                <w:webHidden/>
              </w:rPr>
              <w:fldChar w:fldCharType="separate"/>
            </w:r>
            <w:r w:rsidR="00512EAC">
              <w:rPr>
                <w:noProof/>
                <w:webHidden/>
              </w:rPr>
              <w:t>16</w:t>
            </w:r>
            <w:r w:rsidR="000F09DF" w:rsidRPr="000F09DF">
              <w:rPr>
                <w:noProof/>
                <w:webHidden/>
              </w:rPr>
              <w:fldChar w:fldCharType="end"/>
            </w:r>
          </w:hyperlink>
        </w:p>
        <w:p w14:paraId="368755A7" w14:textId="70C96E0C" w:rsidR="000F09DF" w:rsidRPr="000F09DF" w:rsidRDefault="003F28D0" w:rsidP="00D35F67">
          <w:pPr>
            <w:pStyle w:val="TOC2"/>
            <w:rPr>
              <w:noProof/>
            </w:rPr>
          </w:pPr>
          <w:hyperlink w:anchor="_Toc487002340" w:history="1">
            <w:r w:rsidR="000F09DF" w:rsidRPr="000F09DF">
              <w:rPr>
                <w:rStyle w:val="Hyperlink"/>
                <w:noProof/>
                <w:color w:val="auto"/>
                <w:sz w:val="24"/>
                <w:szCs w:val="24"/>
              </w:rPr>
              <w:t>H.</w:t>
            </w:r>
            <w:r w:rsidR="000F09DF" w:rsidRPr="000F09DF">
              <w:rPr>
                <w:noProof/>
              </w:rPr>
              <w:tab/>
            </w:r>
            <w:r w:rsidR="000F09DF" w:rsidRPr="000F09DF">
              <w:rPr>
                <w:rStyle w:val="Hyperlink"/>
                <w:noProof/>
                <w:color w:val="auto"/>
                <w:sz w:val="24"/>
                <w:szCs w:val="24"/>
              </w:rPr>
              <w:t>California Environmental Quality Act</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_Toc487002340 \h </w:instrText>
            </w:r>
            <w:r w:rsidR="000F09DF" w:rsidRPr="000F09DF">
              <w:rPr>
                <w:noProof/>
                <w:webHidden/>
              </w:rPr>
            </w:r>
            <w:r w:rsidR="000F09DF" w:rsidRPr="000F09DF">
              <w:rPr>
                <w:noProof/>
                <w:webHidden/>
              </w:rPr>
              <w:fldChar w:fldCharType="separate"/>
            </w:r>
            <w:r w:rsidR="00512EAC">
              <w:rPr>
                <w:noProof/>
                <w:webHidden/>
              </w:rPr>
              <w:t>17</w:t>
            </w:r>
            <w:r w:rsidR="000F09DF" w:rsidRPr="000F09DF">
              <w:rPr>
                <w:noProof/>
                <w:webHidden/>
              </w:rPr>
              <w:fldChar w:fldCharType="end"/>
            </w:r>
          </w:hyperlink>
        </w:p>
        <w:p w14:paraId="00EDB6CC" w14:textId="76EE8E3A" w:rsidR="000F09DF" w:rsidRPr="000F09DF" w:rsidRDefault="003F28D0" w:rsidP="00D35F67">
          <w:pPr>
            <w:pStyle w:val="TOC2"/>
            <w:rPr>
              <w:noProof/>
            </w:rPr>
          </w:pPr>
          <w:hyperlink w:anchor="_Toc487002341" w:history="1">
            <w:r w:rsidR="000F09DF" w:rsidRPr="000F09DF">
              <w:rPr>
                <w:rStyle w:val="Hyperlink"/>
                <w:noProof/>
                <w:color w:val="auto"/>
                <w:sz w:val="24"/>
                <w:szCs w:val="24"/>
              </w:rPr>
              <w:t>I.</w:t>
            </w:r>
            <w:r w:rsidR="000F09DF" w:rsidRPr="000F09DF">
              <w:rPr>
                <w:noProof/>
              </w:rPr>
              <w:tab/>
            </w:r>
            <w:r w:rsidR="000F09DF" w:rsidRPr="000F09DF">
              <w:rPr>
                <w:rStyle w:val="Hyperlink"/>
                <w:noProof/>
                <w:color w:val="auto"/>
                <w:sz w:val="24"/>
                <w:szCs w:val="24"/>
              </w:rPr>
              <w:t>Antidegradation Analysis</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_Toc487002341 \h </w:instrText>
            </w:r>
            <w:r w:rsidR="000F09DF" w:rsidRPr="000F09DF">
              <w:rPr>
                <w:noProof/>
                <w:webHidden/>
              </w:rPr>
            </w:r>
            <w:r w:rsidR="000F09DF" w:rsidRPr="000F09DF">
              <w:rPr>
                <w:noProof/>
                <w:webHidden/>
              </w:rPr>
              <w:fldChar w:fldCharType="separate"/>
            </w:r>
            <w:r w:rsidR="00512EAC">
              <w:rPr>
                <w:noProof/>
                <w:webHidden/>
              </w:rPr>
              <w:t>19</w:t>
            </w:r>
            <w:r w:rsidR="000F09DF" w:rsidRPr="000F09DF">
              <w:rPr>
                <w:noProof/>
                <w:webHidden/>
              </w:rPr>
              <w:fldChar w:fldCharType="end"/>
            </w:r>
          </w:hyperlink>
        </w:p>
        <w:p w14:paraId="3A8A5C65" w14:textId="1CBE160A" w:rsidR="000F09DF" w:rsidRPr="000F09DF" w:rsidRDefault="003F28D0" w:rsidP="00D35F67">
          <w:pPr>
            <w:pStyle w:val="TOC2"/>
            <w:rPr>
              <w:noProof/>
            </w:rPr>
          </w:pPr>
          <w:hyperlink w:anchor="_Toc487002342" w:history="1">
            <w:r w:rsidR="000F09DF" w:rsidRPr="000F09DF">
              <w:rPr>
                <w:rStyle w:val="Hyperlink"/>
                <w:noProof/>
                <w:color w:val="auto"/>
                <w:sz w:val="24"/>
                <w:szCs w:val="24"/>
              </w:rPr>
              <w:t>J.</w:t>
            </w:r>
            <w:r w:rsidR="000F09DF" w:rsidRPr="000F09DF">
              <w:rPr>
                <w:noProof/>
              </w:rPr>
              <w:tab/>
            </w:r>
            <w:r w:rsidR="000F09DF" w:rsidRPr="000F09DF">
              <w:rPr>
                <w:rStyle w:val="Hyperlink"/>
                <w:noProof/>
                <w:color w:val="auto"/>
                <w:sz w:val="24"/>
                <w:szCs w:val="24"/>
              </w:rPr>
              <w:t>Fact Sheet</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_Toc487002342 \h </w:instrText>
            </w:r>
            <w:r w:rsidR="000F09DF" w:rsidRPr="000F09DF">
              <w:rPr>
                <w:noProof/>
                <w:webHidden/>
              </w:rPr>
            </w:r>
            <w:r w:rsidR="000F09DF" w:rsidRPr="000F09DF">
              <w:rPr>
                <w:noProof/>
                <w:webHidden/>
              </w:rPr>
              <w:fldChar w:fldCharType="separate"/>
            </w:r>
            <w:r w:rsidR="00512EAC">
              <w:rPr>
                <w:noProof/>
                <w:webHidden/>
              </w:rPr>
              <w:t>20</w:t>
            </w:r>
            <w:r w:rsidR="000F09DF" w:rsidRPr="000F09DF">
              <w:rPr>
                <w:noProof/>
                <w:webHidden/>
              </w:rPr>
              <w:fldChar w:fldCharType="end"/>
            </w:r>
          </w:hyperlink>
        </w:p>
        <w:p w14:paraId="69074F94" w14:textId="607EC058" w:rsidR="000F09DF" w:rsidRPr="000F09DF" w:rsidRDefault="003F28D0" w:rsidP="000F09DF">
          <w:pPr>
            <w:pStyle w:val="TOC1"/>
            <w:tabs>
              <w:tab w:val="clear" w:pos="8630"/>
              <w:tab w:val="left" w:pos="1200"/>
              <w:tab w:val="right" w:leader="dot" w:pos="8550"/>
            </w:tabs>
            <w:spacing w:before="0" w:after="120"/>
            <w:ind w:right="810"/>
            <w:rPr>
              <w:rFonts w:ascii="Times New Roman" w:hAnsi="Times New Roman"/>
              <w:color w:val="auto"/>
            </w:rPr>
          </w:pPr>
          <w:hyperlink w:anchor="_Toc487002343" w:history="1">
            <w:r w:rsidR="00EA0172" w:rsidRPr="000F09DF">
              <w:rPr>
                <w:rStyle w:val="Hyperlink"/>
                <w:rFonts w:ascii="Times New Roman" w:hAnsi="Times New Roman"/>
                <w:color w:val="auto"/>
              </w:rPr>
              <w:t>II.</w:t>
            </w:r>
            <w:r w:rsidR="000F09DF" w:rsidRPr="000F09DF">
              <w:rPr>
                <w:rFonts w:ascii="Times New Roman" w:hAnsi="Times New Roman"/>
                <w:color w:val="auto"/>
              </w:rPr>
              <w:tab/>
            </w:r>
            <w:r w:rsidR="000F09DF" w:rsidRPr="000F09DF">
              <w:rPr>
                <w:rStyle w:val="Hyperlink"/>
                <w:rFonts w:ascii="Times New Roman" w:hAnsi="Times New Roman"/>
                <w:color w:val="auto"/>
              </w:rPr>
              <w:t>Order Application Requirements</w:t>
            </w:r>
            <w:r w:rsidR="000F09DF" w:rsidRPr="000F09DF">
              <w:rPr>
                <w:rFonts w:ascii="Times New Roman" w:hAnsi="Times New Roman"/>
                <w:webHidden/>
                <w:color w:val="auto"/>
              </w:rPr>
              <w:tab/>
            </w:r>
            <w:r w:rsidR="000F09DF" w:rsidRPr="000F09DF">
              <w:rPr>
                <w:rFonts w:ascii="Times New Roman" w:hAnsi="Times New Roman"/>
                <w:webHidden/>
                <w:color w:val="auto"/>
              </w:rPr>
              <w:fldChar w:fldCharType="begin"/>
            </w:r>
            <w:r w:rsidR="000F09DF" w:rsidRPr="000F09DF">
              <w:rPr>
                <w:rFonts w:ascii="Times New Roman" w:hAnsi="Times New Roman"/>
                <w:webHidden/>
                <w:color w:val="auto"/>
              </w:rPr>
              <w:instrText xml:space="preserve"> PAGEREF _Toc487002343 \h </w:instrText>
            </w:r>
            <w:r w:rsidR="000F09DF" w:rsidRPr="000F09DF">
              <w:rPr>
                <w:rFonts w:ascii="Times New Roman" w:hAnsi="Times New Roman"/>
                <w:webHidden/>
                <w:color w:val="auto"/>
              </w:rPr>
            </w:r>
            <w:r w:rsidR="000F09DF" w:rsidRPr="000F09DF">
              <w:rPr>
                <w:rFonts w:ascii="Times New Roman" w:hAnsi="Times New Roman"/>
                <w:webHidden/>
                <w:color w:val="auto"/>
              </w:rPr>
              <w:fldChar w:fldCharType="separate"/>
            </w:r>
            <w:r w:rsidR="00512EAC">
              <w:rPr>
                <w:rFonts w:ascii="Times New Roman" w:hAnsi="Times New Roman"/>
                <w:webHidden/>
                <w:color w:val="auto"/>
              </w:rPr>
              <w:t>20</w:t>
            </w:r>
            <w:r w:rsidR="000F09DF" w:rsidRPr="000F09DF">
              <w:rPr>
                <w:rFonts w:ascii="Times New Roman" w:hAnsi="Times New Roman"/>
                <w:webHidden/>
                <w:color w:val="auto"/>
              </w:rPr>
              <w:fldChar w:fldCharType="end"/>
            </w:r>
          </w:hyperlink>
        </w:p>
        <w:p w14:paraId="5884D19B" w14:textId="6C498D2F" w:rsidR="000F09DF" w:rsidRPr="000F09DF" w:rsidRDefault="003F28D0" w:rsidP="000F09DF">
          <w:pPr>
            <w:pStyle w:val="TOC1"/>
            <w:tabs>
              <w:tab w:val="clear" w:pos="8630"/>
              <w:tab w:val="left" w:pos="1200"/>
              <w:tab w:val="right" w:leader="dot" w:pos="8550"/>
            </w:tabs>
            <w:spacing w:before="0" w:after="120"/>
            <w:ind w:right="810"/>
            <w:rPr>
              <w:rFonts w:ascii="Times New Roman" w:hAnsi="Times New Roman"/>
              <w:color w:val="auto"/>
            </w:rPr>
          </w:pPr>
          <w:hyperlink w:anchor="_Toc487002344" w:history="1">
            <w:r w:rsidR="00EA0172" w:rsidRPr="000F09DF">
              <w:rPr>
                <w:rStyle w:val="Hyperlink"/>
                <w:rFonts w:ascii="Times New Roman" w:hAnsi="Times New Roman"/>
                <w:color w:val="auto"/>
              </w:rPr>
              <w:t>III</w:t>
            </w:r>
            <w:r w:rsidR="000F09DF" w:rsidRPr="000F09DF">
              <w:rPr>
                <w:rStyle w:val="Hyperlink"/>
                <w:rFonts w:ascii="Times New Roman" w:hAnsi="Times New Roman"/>
                <w:color w:val="auto"/>
              </w:rPr>
              <w:t>.</w:t>
            </w:r>
            <w:r w:rsidR="000F09DF" w:rsidRPr="000F09DF">
              <w:rPr>
                <w:rFonts w:ascii="Times New Roman" w:hAnsi="Times New Roman"/>
                <w:color w:val="auto"/>
              </w:rPr>
              <w:tab/>
            </w:r>
            <w:r w:rsidR="000F09DF" w:rsidRPr="000F09DF">
              <w:rPr>
                <w:rStyle w:val="Hyperlink"/>
                <w:rFonts w:ascii="Times New Roman" w:hAnsi="Times New Roman"/>
                <w:color w:val="auto"/>
              </w:rPr>
              <w:t>Discharge Prohibitions</w:t>
            </w:r>
            <w:r w:rsidR="000F09DF" w:rsidRPr="000F09DF">
              <w:rPr>
                <w:rFonts w:ascii="Times New Roman" w:hAnsi="Times New Roman"/>
                <w:webHidden/>
                <w:color w:val="auto"/>
              </w:rPr>
              <w:tab/>
            </w:r>
            <w:r w:rsidR="000F09DF" w:rsidRPr="000F09DF">
              <w:rPr>
                <w:rFonts w:ascii="Times New Roman" w:hAnsi="Times New Roman"/>
                <w:webHidden/>
                <w:color w:val="auto"/>
              </w:rPr>
              <w:fldChar w:fldCharType="begin"/>
            </w:r>
            <w:r w:rsidR="000F09DF" w:rsidRPr="000F09DF">
              <w:rPr>
                <w:rFonts w:ascii="Times New Roman" w:hAnsi="Times New Roman"/>
                <w:webHidden/>
                <w:color w:val="auto"/>
              </w:rPr>
              <w:instrText xml:space="preserve"> PAGEREF _Toc487002344 \h </w:instrText>
            </w:r>
            <w:r w:rsidR="000F09DF" w:rsidRPr="000F09DF">
              <w:rPr>
                <w:rFonts w:ascii="Times New Roman" w:hAnsi="Times New Roman"/>
                <w:webHidden/>
                <w:color w:val="auto"/>
              </w:rPr>
            </w:r>
            <w:r w:rsidR="000F09DF" w:rsidRPr="000F09DF">
              <w:rPr>
                <w:rFonts w:ascii="Times New Roman" w:hAnsi="Times New Roman"/>
                <w:webHidden/>
                <w:color w:val="auto"/>
              </w:rPr>
              <w:fldChar w:fldCharType="separate"/>
            </w:r>
            <w:r w:rsidR="00512EAC">
              <w:rPr>
                <w:rFonts w:ascii="Times New Roman" w:hAnsi="Times New Roman"/>
                <w:webHidden/>
                <w:color w:val="auto"/>
              </w:rPr>
              <w:t>21</w:t>
            </w:r>
            <w:r w:rsidR="000F09DF" w:rsidRPr="000F09DF">
              <w:rPr>
                <w:rFonts w:ascii="Times New Roman" w:hAnsi="Times New Roman"/>
                <w:webHidden/>
                <w:color w:val="auto"/>
              </w:rPr>
              <w:fldChar w:fldCharType="end"/>
            </w:r>
          </w:hyperlink>
        </w:p>
        <w:p w14:paraId="7A6A1646" w14:textId="6C50DDC9" w:rsidR="000F09DF" w:rsidRPr="000F09DF" w:rsidRDefault="003F28D0" w:rsidP="000F09DF">
          <w:pPr>
            <w:pStyle w:val="TOC1"/>
            <w:tabs>
              <w:tab w:val="clear" w:pos="8630"/>
              <w:tab w:val="left" w:pos="1200"/>
              <w:tab w:val="right" w:leader="dot" w:pos="8550"/>
            </w:tabs>
            <w:spacing w:before="0" w:after="120"/>
            <w:ind w:right="810"/>
            <w:rPr>
              <w:rFonts w:ascii="Times New Roman" w:hAnsi="Times New Roman"/>
              <w:color w:val="auto"/>
            </w:rPr>
          </w:pPr>
          <w:hyperlink w:anchor="_Toc487002345" w:history="1">
            <w:r w:rsidR="00EA0172" w:rsidRPr="000F09DF">
              <w:rPr>
                <w:rStyle w:val="Hyperlink"/>
                <w:rFonts w:ascii="Times New Roman" w:hAnsi="Times New Roman"/>
                <w:color w:val="auto"/>
              </w:rPr>
              <w:t>IV</w:t>
            </w:r>
            <w:r w:rsidR="000F09DF" w:rsidRPr="000F09DF">
              <w:rPr>
                <w:rStyle w:val="Hyperlink"/>
                <w:rFonts w:ascii="Times New Roman" w:hAnsi="Times New Roman"/>
                <w:color w:val="auto"/>
              </w:rPr>
              <w:t>.</w:t>
            </w:r>
            <w:r w:rsidR="000F09DF" w:rsidRPr="000F09DF">
              <w:rPr>
                <w:rFonts w:ascii="Times New Roman" w:hAnsi="Times New Roman"/>
                <w:color w:val="auto"/>
              </w:rPr>
              <w:tab/>
            </w:r>
            <w:r w:rsidR="000F09DF" w:rsidRPr="000F09DF">
              <w:rPr>
                <w:rStyle w:val="Hyperlink"/>
                <w:rFonts w:ascii="Times New Roman" w:hAnsi="Times New Roman"/>
                <w:color w:val="auto"/>
              </w:rPr>
              <w:t>Effluent Limitations And Numeric Action Levels</w:t>
            </w:r>
            <w:r w:rsidR="000F09DF" w:rsidRPr="000F09DF">
              <w:rPr>
                <w:rFonts w:ascii="Times New Roman" w:hAnsi="Times New Roman"/>
                <w:webHidden/>
                <w:color w:val="auto"/>
              </w:rPr>
              <w:tab/>
            </w:r>
            <w:r w:rsidR="000F09DF" w:rsidRPr="000F09DF">
              <w:rPr>
                <w:rFonts w:ascii="Times New Roman" w:hAnsi="Times New Roman"/>
                <w:webHidden/>
                <w:color w:val="auto"/>
              </w:rPr>
              <w:fldChar w:fldCharType="begin"/>
            </w:r>
            <w:r w:rsidR="000F09DF" w:rsidRPr="000F09DF">
              <w:rPr>
                <w:rFonts w:ascii="Times New Roman" w:hAnsi="Times New Roman"/>
                <w:webHidden/>
                <w:color w:val="auto"/>
              </w:rPr>
              <w:instrText xml:space="preserve"> PAGEREF _Toc487002345 \h </w:instrText>
            </w:r>
            <w:r w:rsidR="000F09DF" w:rsidRPr="000F09DF">
              <w:rPr>
                <w:rFonts w:ascii="Times New Roman" w:hAnsi="Times New Roman"/>
                <w:webHidden/>
                <w:color w:val="auto"/>
              </w:rPr>
            </w:r>
            <w:r w:rsidR="000F09DF" w:rsidRPr="000F09DF">
              <w:rPr>
                <w:rFonts w:ascii="Times New Roman" w:hAnsi="Times New Roman"/>
                <w:webHidden/>
                <w:color w:val="auto"/>
              </w:rPr>
              <w:fldChar w:fldCharType="separate"/>
            </w:r>
            <w:r w:rsidR="00512EAC">
              <w:rPr>
                <w:rFonts w:ascii="Times New Roman" w:hAnsi="Times New Roman"/>
                <w:webHidden/>
                <w:color w:val="auto"/>
              </w:rPr>
              <w:t>23</w:t>
            </w:r>
            <w:r w:rsidR="000F09DF" w:rsidRPr="000F09DF">
              <w:rPr>
                <w:rFonts w:ascii="Times New Roman" w:hAnsi="Times New Roman"/>
                <w:webHidden/>
                <w:color w:val="auto"/>
              </w:rPr>
              <w:fldChar w:fldCharType="end"/>
            </w:r>
          </w:hyperlink>
        </w:p>
        <w:p w14:paraId="52E57C01" w14:textId="7F84E11B" w:rsidR="000F09DF" w:rsidRPr="000F09DF" w:rsidRDefault="003F28D0" w:rsidP="00D35F67">
          <w:pPr>
            <w:pStyle w:val="TOC2"/>
            <w:rPr>
              <w:noProof/>
            </w:rPr>
          </w:pPr>
          <w:hyperlink w:anchor="_Toc487002346" w:history="1">
            <w:r w:rsidR="000F09DF" w:rsidRPr="000F09DF">
              <w:rPr>
                <w:rStyle w:val="Hyperlink"/>
                <w:noProof/>
                <w:color w:val="auto"/>
                <w:sz w:val="24"/>
                <w:szCs w:val="24"/>
              </w:rPr>
              <w:t>A.</w:t>
            </w:r>
            <w:r w:rsidR="000F09DF" w:rsidRPr="000F09DF">
              <w:rPr>
                <w:noProof/>
              </w:rPr>
              <w:tab/>
            </w:r>
            <w:r w:rsidR="000F09DF" w:rsidRPr="000F09DF">
              <w:rPr>
                <w:rStyle w:val="Hyperlink"/>
                <w:noProof/>
                <w:color w:val="auto"/>
                <w:sz w:val="24"/>
                <w:szCs w:val="24"/>
              </w:rPr>
              <w:t>Tier 1, Low Volume Discharge Effluent Limitations</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_Toc487002346 \h </w:instrText>
            </w:r>
            <w:r w:rsidR="000F09DF" w:rsidRPr="000F09DF">
              <w:rPr>
                <w:noProof/>
                <w:webHidden/>
              </w:rPr>
            </w:r>
            <w:r w:rsidR="000F09DF" w:rsidRPr="000F09DF">
              <w:rPr>
                <w:noProof/>
                <w:webHidden/>
              </w:rPr>
              <w:fldChar w:fldCharType="separate"/>
            </w:r>
            <w:r w:rsidR="00512EAC">
              <w:rPr>
                <w:noProof/>
                <w:webHidden/>
              </w:rPr>
              <w:t>23</w:t>
            </w:r>
            <w:r w:rsidR="000F09DF" w:rsidRPr="000F09DF">
              <w:rPr>
                <w:noProof/>
                <w:webHidden/>
              </w:rPr>
              <w:fldChar w:fldCharType="end"/>
            </w:r>
          </w:hyperlink>
        </w:p>
        <w:p w14:paraId="48D326E0" w14:textId="110243A2" w:rsidR="000F09DF" w:rsidRPr="000F09DF" w:rsidRDefault="003F28D0" w:rsidP="00D35F67">
          <w:pPr>
            <w:pStyle w:val="TOC2"/>
            <w:rPr>
              <w:noProof/>
            </w:rPr>
          </w:pPr>
          <w:hyperlink w:anchor="_Toc487002347" w:history="1">
            <w:r w:rsidR="000F09DF" w:rsidRPr="000F09DF">
              <w:rPr>
                <w:rStyle w:val="Hyperlink"/>
                <w:noProof/>
                <w:color w:val="auto"/>
                <w:sz w:val="24"/>
                <w:szCs w:val="24"/>
              </w:rPr>
              <w:t>B.</w:t>
            </w:r>
            <w:r w:rsidR="000F09DF" w:rsidRPr="000F09DF">
              <w:rPr>
                <w:noProof/>
              </w:rPr>
              <w:tab/>
            </w:r>
            <w:r w:rsidR="000F09DF">
              <w:rPr>
                <w:rStyle w:val="Hyperlink"/>
                <w:noProof/>
                <w:color w:val="auto"/>
                <w:sz w:val="24"/>
                <w:szCs w:val="24"/>
              </w:rPr>
              <w:t>Tiers 2 a</w:t>
            </w:r>
            <w:r w:rsidR="000F09DF" w:rsidRPr="000F09DF">
              <w:rPr>
                <w:rStyle w:val="Hyperlink"/>
                <w:noProof/>
                <w:color w:val="auto"/>
                <w:sz w:val="24"/>
                <w:szCs w:val="24"/>
              </w:rPr>
              <w:t>nd 3 Effluent Limitations</w:t>
            </w:r>
            <w:r w:rsidR="000F09DF" w:rsidRPr="000F09DF">
              <w:rPr>
                <w:noProof/>
                <w:webHidden/>
              </w:rPr>
              <w:tab/>
            </w:r>
            <w:r w:rsidR="000F09DF" w:rsidRPr="000F09DF">
              <w:rPr>
                <w:noProof/>
                <w:webHidden/>
              </w:rPr>
              <w:fldChar w:fldCharType="begin"/>
            </w:r>
            <w:r w:rsidR="000F09DF" w:rsidRPr="000F09DF">
              <w:rPr>
                <w:noProof/>
                <w:webHidden/>
              </w:rPr>
              <w:instrText xml:space="preserve"> PAGEREF _Toc487002347 \h </w:instrText>
            </w:r>
            <w:r w:rsidR="000F09DF" w:rsidRPr="000F09DF">
              <w:rPr>
                <w:noProof/>
                <w:webHidden/>
              </w:rPr>
            </w:r>
            <w:r w:rsidR="000F09DF" w:rsidRPr="000F09DF">
              <w:rPr>
                <w:noProof/>
                <w:webHidden/>
              </w:rPr>
              <w:fldChar w:fldCharType="separate"/>
            </w:r>
            <w:r w:rsidR="00512EAC">
              <w:rPr>
                <w:noProof/>
                <w:webHidden/>
              </w:rPr>
              <w:t>24</w:t>
            </w:r>
            <w:r w:rsidR="000F09DF" w:rsidRPr="000F09DF">
              <w:rPr>
                <w:noProof/>
                <w:webHidden/>
              </w:rPr>
              <w:fldChar w:fldCharType="end"/>
            </w:r>
          </w:hyperlink>
        </w:p>
        <w:p w14:paraId="67874A85" w14:textId="77F5F447" w:rsidR="000F09DF" w:rsidRPr="000F09DF" w:rsidRDefault="003F28D0" w:rsidP="000F09DF">
          <w:pPr>
            <w:pStyle w:val="TOC1"/>
            <w:tabs>
              <w:tab w:val="clear" w:pos="8630"/>
              <w:tab w:val="left" w:pos="1200"/>
              <w:tab w:val="right" w:leader="dot" w:pos="8550"/>
            </w:tabs>
            <w:spacing w:before="0" w:after="120"/>
            <w:ind w:right="810"/>
            <w:rPr>
              <w:rFonts w:ascii="Times New Roman" w:hAnsi="Times New Roman"/>
              <w:color w:val="auto"/>
            </w:rPr>
          </w:pPr>
          <w:hyperlink w:anchor="_Toc487002348" w:history="1">
            <w:r w:rsidR="000F09DF" w:rsidRPr="000F09DF">
              <w:rPr>
                <w:rStyle w:val="Hyperlink"/>
                <w:rFonts w:ascii="Times New Roman" w:hAnsi="Times New Roman"/>
                <w:color w:val="auto"/>
              </w:rPr>
              <w:t>V.</w:t>
            </w:r>
            <w:r w:rsidR="000F09DF" w:rsidRPr="000F09DF">
              <w:rPr>
                <w:rFonts w:ascii="Times New Roman" w:hAnsi="Times New Roman"/>
                <w:color w:val="auto"/>
              </w:rPr>
              <w:tab/>
            </w:r>
            <w:r w:rsidR="000F09DF" w:rsidRPr="000F09DF">
              <w:rPr>
                <w:rStyle w:val="Hyperlink"/>
                <w:rFonts w:ascii="Times New Roman" w:hAnsi="Times New Roman"/>
                <w:color w:val="auto"/>
              </w:rPr>
              <w:t>Discharge Specifications</w:t>
            </w:r>
            <w:r w:rsidR="000F09DF" w:rsidRPr="000F09DF">
              <w:rPr>
                <w:rFonts w:ascii="Times New Roman" w:hAnsi="Times New Roman"/>
                <w:webHidden/>
                <w:color w:val="auto"/>
              </w:rPr>
              <w:tab/>
            </w:r>
            <w:r w:rsidR="000F09DF" w:rsidRPr="000F09DF">
              <w:rPr>
                <w:rFonts w:ascii="Times New Roman" w:hAnsi="Times New Roman"/>
                <w:webHidden/>
                <w:color w:val="auto"/>
              </w:rPr>
              <w:fldChar w:fldCharType="begin"/>
            </w:r>
            <w:r w:rsidR="000F09DF" w:rsidRPr="000F09DF">
              <w:rPr>
                <w:rFonts w:ascii="Times New Roman" w:hAnsi="Times New Roman"/>
                <w:webHidden/>
                <w:color w:val="auto"/>
              </w:rPr>
              <w:instrText xml:space="preserve"> PAGEREF _Toc487002348 \h </w:instrText>
            </w:r>
            <w:r w:rsidR="000F09DF" w:rsidRPr="000F09DF">
              <w:rPr>
                <w:rFonts w:ascii="Times New Roman" w:hAnsi="Times New Roman"/>
                <w:webHidden/>
                <w:color w:val="auto"/>
              </w:rPr>
            </w:r>
            <w:r w:rsidR="000F09DF" w:rsidRPr="000F09DF">
              <w:rPr>
                <w:rFonts w:ascii="Times New Roman" w:hAnsi="Times New Roman"/>
                <w:webHidden/>
                <w:color w:val="auto"/>
              </w:rPr>
              <w:fldChar w:fldCharType="separate"/>
            </w:r>
            <w:r w:rsidR="00512EAC">
              <w:rPr>
                <w:rFonts w:ascii="Times New Roman" w:hAnsi="Times New Roman"/>
                <w:webHidden/>
                <w:color w:val="auto"/>
              </w:rPr>
              <w:t>30</w:t>
            </w:r>
            <w:r w:rsidR="000F09DF" w:rsidRPr="000F09DF">
              <w:rPr>
                <w:rFonts w:ascii="Times New Roman" w:hAnsi="Times New Roman"/>
                <w:webHidden/>
                <w:color w:val="auto"/>
              </w:rPr>
              <w:fldChar w:fldCharType="end"/>
            </w:r>
          </w:hyperlink>
        </w:p>
        <w:p w14:paraId="4C42C6C7" w14:textId="4797A3A9" w:rsidR="000F09DF" w:rsidRPr="000F09DF" w:rsidRDefault="003F28D0" w:rsidP="000F09DF">
          <w:pPr>
            <w:pStyle w:val="TOC1"/>
            <w:tabs>
              <w:tab w:val="clear" w:pos="8630"/>
              <w:tab w:val="left" w:pos="1200"/>
              <w:tab w:val="right" w:leader="dot" w:pos="8550"/>
            </w:tabs>
            <w:spacing w:before="0" w:after="120"/>
            <w:ind w:right="810"/>
            <w:rPr>
              <w:rFonts w:ascii="Times New Roman" w:hAnsi="Times New Roman"/>
              <w:color w:val="auto"/>
            </w:rPr>
          </w:pPr>
          <w:hyperlink w:anchor="_Toc487002349" w:history="1">
            <w:r w:rsidR="00EA0172" w:rsidRPr="000F09DF">
              <w:rPr>
                <w:rStyle w:val="Hyperlink"/>
                <w:rFonts w:ascii="Times New Roman" w:hAnsi="Times New Roman"/>
                <w:color w:val="auto"/>
              </w:rPr>
              <w:t>VI.</w:t>
            </w:r>
            <w:r w:rsidR="000F09DF" w:rsidRPr="000F09DF">
              <w:rPr>
                <w:rFonts w:ascii="Times New Roman" w:hAnsi="Times New Roman"/>
                <w:color w:val="auto"/>
              </w:rPr>
              <w:tab/>
            </w:r>
            <w:r w:rsidR="000F09DF" w:rsidRPr="000F09DF">
              <w:rPr>
                <w:rStyle w:val="Hyperlink"/>
                <w:rFonts w:ascii="Times New Roman" w:hAnsi="Times New Roman"/>
                <w:color w:val="auto"/>
              </w:rPr>
              <w:t>Provisions</w:t>
            </w:r>
            <w:r w:rsidR="000F09DF" w:rsidRPr="000F09DF">
              <w:rPr>
                <w:rFonts w:ascii="Times New Roman" w:hAnsi="Times New Roman"/>
                <w:webHidden/>
                <w:color w:val="auto"/>
              </w:rPr>
              <w:tab/>
            </w:r>
            <w:r w:rsidR="000F09DF" w:rsidRPr="000F09DF">
              <w:rPr>
                <w:rFonts w:ascii="Times New Roman" w:hAnsi="Times New Roman"/>
                <w:webHidden/>
                <w:color w:val="auto"/>
              </w:rPr>
              <w:fldChar w:fldCharType="begin"/>
            </w:r>
            <w:r w:rsidR="000F09DF" w:rsidRPr="000F09DF">
              <w:rPr>
                <w:rFonts w:ascii="Times New Roman" w:hAnsi="Times New Roman"/>
                <w:webHidden/>
                <w:color w:val="auto"/>
              </w:rPr>
              <w:instrText xml:space="preserve"> PAGEREF _Toc487002349 \h </w:instrText>
            </w:r>
            <w:r w:rsidR="000F09DF" w:rsidRPr="000F09DF">
              <w:rPr>
                <w:rFonts w:ascii="Times New Roman" w:hAnsi="Times New Roman"/>
                <w:webHidden/>
                <w:color w:val="auto"/>
              </w:rPr>
            </w:r>
            <w:r w:rsidR="000F09DF" w:rsidRPr="000F09DF">
              <w:rPr>
                <w:rFonts w:ascii="Times New Roman" w:hAnsi="Times New Roman"/>
                <w:webHidden/>
                <w:color w:val="auto"/>
              </w:rPr>
              <w:fldChar w:fldCharType="separate"/>
            </w:r>
            <w:r w:rsidR="00512EAC">
              <w:rPr>
                <w:rFonts w:ascii="Times New Roman" w:hAnsi="Times New Roman"/>
                <w:webHidden/>
                <w:color w:val="auto"/>
              </w:rPr>
              <w:t>38</w:t>
            </w:r>
            <w:r w:rsidR="000F09DF" w:rsidRPr="000F09DF">
              <w:rPr>
                <w:rFonts w:ascii="Times New Roman" w:hAnsi="Times New Roman"/>
                <w:webHidden/>
                <w:color w:val="auto"/>
              </w:rPr>
              <w:fldChar w:fldCharType="end"/>
            </w:r>
          </w:hyperlink>
        </w:p>
        <w:p w14:paraId="62D2744C" w14:textId="3167EB2D" w:rsidR="0058704F" w:rsidRDefault="0058704F" w:rsidP="000F09DF">
          <w:pPr>
            <w:tabs>
              <w:tab w:val="right" w:leader="dot" w:pos="8550"/>
            </w:tabs>
            <w:spacing w:after="120"/>
            <w:ind w:right="810"/>
            <w:rPr>
              <w:b/>
              <w:noProof/>
            </w:rPr>
          </w:pPr>
          <w:r w:rsidRPr="000F09DF">
            <w:rPr>
              <w:b/>
              <w:bCs/>
              <w:noProof/>
            </w:rPr>
            <w:fldChar w:fldCharType="end"/>
          </w:r>
        </w:p>
      </w:sdtContent>
    </w:sdt>
    <w:p w14:paraId="7E4819F2" w14:textId="77777777" w:rsidR="009843EF" w:rsidRDefault="009843EF" w:rsidP="00F6686F">
      <w:pPr>
        <w:spacing w:after="120"/>
        <w:ind w:left="0"/>
        <w:rPr>
          <w:b/>
          <w:snapToGrid w:val="0"/>
        </w:rPr>
      </w:pPr>
    </w:p>
    <w:p w14:paraId="64766D4B" w14:textId="77777777" w:rsidR="009843EF" w:rsidRDefault="009843EF" w:rsidP="00F6686F">
      <w:pPr>
        <w:spacing w:after="120"/>
        <w:ind w:left="0"/>
        <w:rPr>
          <w:b/>
          <w:snapToGrid w:val="0"/>
        </w:rPr>
      </w:pPr>
    </w:p>
    <w:p w14:paraId="56E4389F" w14:textId="77777777" w:rsidR="009843EF" w:rsidRDefault="009843EF" w:rsidP="00F6686F">
      <w:pPr>
        <w:spacing w:after="120"/>
        <w:ind w:left="0"/>
        <w:rPr>
          <w:b/>
          <w:snapToGrid w:val="0"/>
        </w:rPr>
      </w:pPr>
    </w:p>
    <w:p w14:paraId="577FF4AA" w14:textId="77777777" w:rsidR="009843EF" w:rsidRDefault="009843EF" w:rsidP="00F6686F">
      <w:pPr>
        <w:spacing w:after="120"/>
        <w:ind w:left="0"/>
        <w:rPr>
          <w:b/>
          <w:snapToGrid w:val="0"/>
        </w:rPr>
      </w:pPr>
    </w:p>
    <w:p w14:paraId="27FECC30" w14:textId="77777777" w:rsidR="009843EF" w:rsidRDefault="009843EF" w:rsidP="00F6686F">
      <w:pPr>
        <w:spacing w:after="120"/>
        <w:ind w:left="0"/>
        <w:rPr>
          <w:b/>
          <w:snapToGrid w:val="0"/>
        </w:rPr>
      </w:pPr>
    </w:p>
    <w:p w14:paraId="3CB05BAB" w14:textId="77777777" w:rsidR="009843EF" w:rsidRDefault="009843EF" w:rsidP="00F6686F">
      <w:pPr>
        <w:spacing w:after="120"/>
        <w:ind w:left="0"/>
        <w:rPr>
          <w:b/>
          <w:snapToGrid w:val="0"/>
        </w:rPr>
      </w:pPr>
    </w:p>
    <w:p w14:paraId="54C55E41" w14:textId="77636F43" w:rsidR="0058704F" w:rsidRDefault="0058704F" w:rsidP="00F6686F">
      <w:pPr>
        <w:spacing w:after="120"/>
        <w:ind w:left="0"/>
        <w:rPr>
          <w:b/>
          <w:snapToGrid w:val="0"/>
        </w:rPr>
      </w:pPr>
      <w:r w:rsidRPr="00F6686F">
        <w:rPr>
          <w:b/>
          <w:snapToGrid w:val="0"/>
        </w:rPr>
        <w:lastRenderedPageBreak/>
        <w:t>TABLES</w:t>
      </w:r>
    </w:p>
    <w:p w14:paraId="3955D1C3" w14:textId="0AD0FA46" w:rsidR="009C72D5" w:rsidRDefault="002641F0" w:rsidP="009C72D5">
      <w:pPr>
        <w:pStyle w:val="TableofFigures"/>
        <w:tabs>
          <w:tab w:val="right" w:leader="dot" w:pos="9350"/>
        </w:tabs>
        <w:spacing w:afterLines="40" w:after="96"/>
        <w:ind w:left="0"/>
        <w:rPr>
          <w:rFonts w:asciiTheme="minorHAnsi" w:hAnsiTheme="minorHAnsi" w:cstheme="minorBidi"/>
          <w:noProof/>
          <w:sz w:val="22"/>
          <w:szCs w:val="22"/>
        </w:rPr>
      </w:pPr>
      <w:r>
        <w:rPr>
          <w:b/>
          <w:snapToGrid w:val="0"/>
        </w:rPr>
        <w:fldChar w:fldCharType="begin"/>
      </w:r>
      <w:r>
        <w:rPr>
          <w:b/>
          <w:snapToGrid w:val="0"/>
        </w:rPr>
        <w:instrText xml:space="preserve"> TOC \h \z \c "Table" </w:instrText>
      </w:r>
      <w:r>
        <w:rPr>
          <w:b/>
          <w:snapToGrid w:val="0"/>
        </w:rPr>
        <w:fldChar w:fldCharType="separate"/>
      </w:r>
      <w:hyperlink w:anchor="_Toc487107726" w:history="1">
        <w:r w:rsidR="009C72D5" w:rsidRPr="00F228B6">
          <w:rPr>
            <w:rStyle w:val="Hyperlink"/>
            <w:noProof/>
          </w:rPr>
          <w:t>Table 1: Tier 1 Effluent Limitations</w:t>
        </w:r>
        <w:r w:rsidR="009C72D5">
          <w:rPr>
            <w:noProof/>
            <w:webHidden/>
          </w:rPr>
          <w:tab/>
        </w:r>
        <w:r w:rsidR="009C72D5">
          <w:rPr>
            <w:noProof/>
            <w:webHidden/>
          </w:rPr>
          <w:fldChar w:fldCharType="begin"/>
        </w:r>
        <w:r w:rsidR="009C72D5">
          <w:rPr>
            <w:noProof/>
            <w:webHidden/>
          </w:rPr>
          <w:instrText xml:space="preserve"> PAGEREF _Toc487107726 \h </w:instrText>
        </w:r>
        <w:r w:rsidR="009C72D5">
          <w:rPr>
            <w:noProof/>
            <w:webHidden/>
          </w:rPr>
        </w:r>
        <w:r w:rsidR="009C72D5">
          <w:rPr>
            <w:noProof/>
            <w:webHidden/>
          </w:rPr>
          <w:fldChar w:fldCharType="separate"/>
        </w:r>
        <w:r w:rsidR="00512EAC">
          <w:rPr>
            <w:noProof/>
            <w:webHidden/>
          </w:rPr>
          <w:t>24</w:t>
        </w:r>
        <w:r w:rsidR="009C72D5">
          <w:rPr>
            <w:noProof/>
            <w:webHidden/>
          </w:rPr>
          <w:fldChar w:fldCharType="end"/>
        </w:r>
      </w:hyperlink>
    </w:p>
    <w:p w14:paraId="2C5CE934" w14:textId="2E7F65AE" w:rsidR="009C72D5" w:rsidRDefault="003F28D0" w:rsidP="009C72D5">
      <w:pPr>
        <w:pStyle w:val="TableofFigures"/>
        <w:tabs>
          <w:tab w:val="right" w:leader="dot" w:pos="9350"/>
        </w:tabs>
        <w:spacing w:afterLines="40" w:after="96"/>
        <w:ind w:left="0"/>
        <w:rPr>
          <w:rFonts w:asciiTheme="minorHAnsi" w:hAnsiTheme="minorHAnsi" w:cstheme="minorBidi"/>
          <w:noProof/>
          <w:sz w:val="22"/>
          <w:szCs w:val="22"/>
        </w:rPr>
      </w:pPr>
      <w:hyperlink w:anchor="_Toc487107727" w:history="1">
        <w:r w:rsidR="009C72D5" w:rsidRPr="00F228B6">
          <w:rPr>
            <w:rStyle w:val="Hyperlink"/>
            <w:noProof/>
          </w:rPr>
          <w:t>Table 2: Tiers 2 and 3 BOD and pH Effluent Limitations</w:t>
        </w:r>
        <w:r w:rsidR="009C72D5">
          <w:rPr>
            <w:noProof/>
            <w:webHidden/>
          </w:rPr>
          <w:tab/>
        </w:r>
        <w:r w:rsidR="009C72D5">
          <w:rPr>
            <w:noProof/>
            <w:webHidden/>
          </w:rPr>
          <w:fldChar w:fldCharType="begin"/>
        </w:r>
        <w:r w:rsidR="009C72D5">
          <w:rPr>
            <w:noProof/>
            <w:webHidden/>
          </w:rPr>
          <w:instrText xml:space="preserve"> PAGEREF _Toc487107727 \h </w:instrText>
        </w:r>
        <w:r w:rsidR="009C72D5">
          <w:rPr>
            <w:noProof/>
            <w:webHidden/>
          </w:rPr>
        </w:r>
        <w:r w:rsidR="009C72D5">
          <w:rPr>
            <w:noProof/>
            <w:webHidden/>
          </w:rPr>
          <w:fldChar w:fldCharType="separate"/>
        </w:r>
        <w:r w:rsidR="00512EAC">
          <w:rPr>
            <w:noProof/>
            <w:webHidden/>
          </w:rPr>
          <w:t>24</w:t>
        </w:r>
        <w:r w:rsidR="009C72D5">
          <w:rPr>
            <w:noProof/>
            <w:webHidden/>
          </w:rPr>
          <w:fldChar w:fldCharType="end"/>
        </w:r>
      </w:hyperlink>
    </w:p>
    <w:p w14:paraId="036B2EAF" w14:textId="2A2BE811" w:rsidR="009C72D5" w:rsidRDefault="003F28D0" w:rsidP="009C72D5">
      <w:pPr>
        <w:pStyle w:val="TableofFigures"/>
        <w:tabs>
          <w:tab w:val="right" w:leader="dot" w:pos="9350"/>
        </w:tabs>
        <w:spacing w:afterLines="40" w:after="96"/>
        <w:ind w:left="0"/>
        <w:rPr>
          <w:rFonts w:asciiTheme="minorHAnsi" w:hAnsiTheme="minorHAnsi" w:cstheme="minorBidi"/>
          <w:noProof/>
          <w:sz w:val="22"/>
          <w:szCs w:val="22"/>
        </w:rPr>
      </w:pPr>
      <w:hyperlink w:anchor="_Toc487107728" w:history="1">
        <w:r w:rsidR="009C72D5" w:rsidRPr="00F228B6">
          <w:rPr>
            <w:rStyle w:val="Hyperlink"/>
            <w:noProof/>
          </w:rPr>
          <w:t>Table 3: Technology-based effluent limits for secondary wastewater treatment systems</w:t>
        </w:r>
        <w:r w:rsidR="009C72D5">
          <w:rPr>
            <w:noProof/>
            <w:webHidden/>
          </w:rPr>
          <w:tab/>
        </w:r>
        <w:r w:rsidR="009C72D5">
          <w:rPr>
            <w:noProof/>
            <w:webHidden/>
          </w:rPr>
          <w:fldChar w:fldCharType="begin"/>
        </w:r>
        <w:r w:rsidR="009C72D5">
          <w:rPr>
            <w:noProof/>
            <w:webHidden/>
          </w:rPr>
          <w:instrText xml:space="preserve"> PAGEREF _Toc487107728 \h </w:instrText>
        </w:r>
        <w:r w:rsidR="009C72D5">
          <w:rPr>
            <w:noProof/>
            <w:webHidden/>
          </w:rPr>
        </w:r>
        <w:r w:rsidR="009C72D5">
          <w:rPr>
            <w:noProof/>
            <w:webHidden/>
          </w:rPr>
          <w:fldChar w:fldCharType="separate"/>
        </w:r>
        <w:r w:rsidR="00512EAC">
          <w:rPr>
            <w:noProof/>
            <w:webHidden/>
          </w:rPr>
          <w:t>25</w:t>
        </w:r>
        <w:r w:rsidR="009C72D5">
          <w:rPr>
            <w:noProof/>
            <w:webHidden/>
          </w:rPr>
          <w:fldChar w:fldCharType="end"/>
        </w:r>
      </w:hyperlink>
    </w:p>
    <w:p w14:paraId="41EAAB4B" w14:textId="57DB1D81" w:rsidR="009C72D5" w:rsidRDefault="003F28D0" w:rsidP="009C72D5">
      <w:pPr>
        <w:pStyle w:val="TableofFigures"/>
        <w:tabs>
          <w:tab w:val="right" w:leader="dot" w:pos="9350"/>
        </w:tabs>
        <w:spacing w:afterLines="40" w:after="96"/>
        <w:ind w:left="0"/>
        <w:rPr>
          <w:rFonts w:asciiTheme="minorHAnsi" w:hAnsiTheme="minorHAnsi" w:cstheme="minorBidi"/>
          <w:noProof/>
          <w:sz w:val="22"/>
          <w:szCs w:val="22"/>
        </w:rPr>
      </w:pPr>
      <w:hyperlink w:anchor="_Toc487107729" w:history="1">
        <w:r w:rsidR="009C72D5" w:rsidRPr="00F228B6">
          <w:rPr>
            <w:rStyle w:val="Hyperlink"/>
            <w:noProof/>
          </w:rPr>
          <w:t>Table 4: Pond Limitations</w:t>
        </w:r>
        <w:r w:rsidR="009C72D5">
          <w:rPr>
            <w:noProof/>
            <w:webHidden/>
          </w:rPr>
          <w:tab/>
        </w:r>
        <w:r w:rsidR="009C72D5">
          <w:rPr>
            <w:noProof/>
            <w:webHidden/>
          </w:rPr>
          <w:fldChar w:fldCharType="begin"/>
        </w:r>
        <w:r w:rsidR="009C72D5">
          <w:rPr>
            <w:noProof/>
            <w:webHidden/>
          </w:rPr>
          <w:instrText xml:space="preserve"> PAGEREF _Toc487107729 \h </w:instrText>
        </w:r>
        <w:r w:rsidR="009C72D5">
          <w:rPr>
            <w:noProof/>
            <w:webHidden/>
          </w:rPr>
        </w:r>
        <w:r w:rsidR="009C72D5">
          <w:rPr>
            <w:noProof/>
            <w:webHidden/>
          </w:rPr>
          <w:fldChar w:fldCharType="separate"/>
        </w:r>
        <w:r w:rsidR="00512EAC">
          <w:rPr>
            <w:noProof/>
            <w:webHidden/>
          </w:rPr>
          <w:t>25</w:t>
        </w:r>
        <w:r w:rsidR="009C72D5">
          <w:rPr>
            <w:noProof/>
            <w:webHidden/>
          </w:rPr>
          <w:fldChar w:fldCharType="end"/>
        </w:r>
      </w:hyperlink>
    </w:p>
    <w:p w14:paraId="62BA2D2B" w14:textId="1F084719" w:rsidR="009C72D5" w:rsidRDefault="003F28D0" w:rsidP="009C72D5">
      <w:pPr>
        <w:pStyle w:val="TableofFigures"/>
        <w:tabs>
          <w:tab w:val="right" w:leader="dot" w:pos="9350"/>
        </w:tabs>
        <w:spacing w:afterLines="40" w:after="96"/>
        <w:ind w:left="0"/>
        <w:rPr>
          <w:rFonts w:asciiTheme="minorHAnsi" w:hAnsiTheme="minorHAnsi" w:cstheme="minorBidi"/>
          <w:noProof/>
          <w:sz w:val="22"/>
          <w:szCs w:val="22"/>
        </w:rPr>
      </w:pPr>
      <w:hyperlink w:anchor="_Toc487107730" w:history="1">
        <w:r w:rsidR="009C72D5" w:rsidRPr="00F228B6">
          <w:rPr>
            <w:rStyle w:val="Hyperlink"/>
            <w:noProof/>
          </w:rPr>
          <w:t>Table 5: Loading limitations for facilities in all Tiers that discharge in areas with nitrate</w:t>
        </w:r>
        <w:r w:rsidR="009C72D5" w:rsidRPr="00F228B6">
          <w:rPr>
            <w:rStyle w:val="Hyperlink"/>
            <w:noProof/>
          </w:rPr>
          <w:noBreakHyphen/>
          <w:t>impacted groundwater</w:t>
        </w:r>
        <w:r w:rsidR="009C72D5">
          <w:rPr>
            <w:noProof/>
            <w:webHidden/>
          </w:rPr>
          <w:tab/>
        </w:r>
        <w:r w:rsidR="009C72D5">
          <w:rPr>
            <w:noProof/>
            <w:webHidden/>
          </w:rPr>
          <w:fldChar w:fldCharType="begin"/>
        </w:r>
        <w:r w:rsidR="009C72D5">
          <w:rPr>
            <w:noProof/>
            <w:webHidden/>
          </w:rPr>
          <w:instrText xml:space="preserve"> PAGEREF _Toc487107730 \h </w:instrText>
        </w:r>
        <w:r w:rsidR="009C72D5">
          <w:rPr>
            <w:noProof/>
            <w:webHidden/>
          </w:rPr>
        </w:r>
        <w:r w:rsidR="009C72D5">
          <w:rPr>
            <w:noProof/>
            <w:webHidden/>
          </w:rPr>
          <w:fldChar w:fldCharType="separate"/>
        </w:r>
        <w:r w:rsidR="00512EAC">
          <w:rPr>
            <w:noProof/>
            <w:webHidden/>
          </w:rPr>
          <w:t>26</w:t>
        </w:r>
        <w:r w:rsidR="009C72D5">
          <w:rPr>
            <w:noProof/>
            <w:webHidden/>
          </w:rPr>
          <w:fldChar w:fldCharType="end"/>
        </w:r>
      </w:hyperlink>
    </w:p>
    <w:p w14:paraId="1B63AB0E" w14:textId="58D1F07E" w:rsidR="009C72D5" w:rsidRDefault="003F28D0" w:rsidP="009C72D5">
      <w:pPr>
        <w:pStyle w:val="TableofFigures"/>
        <w:tabs>
          <w:tab w:val="right" w:leader="dot" w:pos="9350"/>
        </w:tabs>
        <w:spacing w:afterLines="40" w:after="96"/>
        <w:ind w:left="0"/>
        <w:rPr>
          <w:rFonts w:asciiTheme="minorHAnsi" w:hAnsiTheme="minorHAnsi" w:cstheme="minorBidi"/>
          <w:noProof/>
          <w:sz w:val="22"/>
          <w:szCs w:val="22"/>
        </w:rPr>
      </w:pPr>
      <w:hyperlink w:anchor="_Toc487107731" w:history="1">
        <w:r w:rsidR="009C72D5" w:rsidRPr="00F228B6">
          <w:rPr>
            <w:rStyle w:val="Hyperlink"/>
            <w:noProof/>
          </w:rPr>
          <w:t>Table 6: Effluent Limitations for Tiers 2 and 3 facilities that discharge in nitrate</w:t>
        </w:r>
        <w:r w:rsidR="009C72D5" w:rsidRPr="00F228B6">
          <w:rPr>
            <w:rStyle w:val="Hyperlink"/>
            <w:noProof/>
          </w:rPr>
          <w:noBreakHyphen/>
          <w:t>impacted groundwater areas</w:t>
        </w:r>
        <w:r w:rsidR="009C72D5">
          <w:rPr>
            <w:noProof/>
            <w:webHidden/>
          </w:rPr>
          <w:tab/>
        </w:r>
        <w:r w:rsidR="009C72D5">
          <w:rPr>
            <w:noProof/>
            <w:webHidden/>
          </w:rPr>
          <w:fldChar w:fldCharType="begin"/>
        </w:r>
        <w:r w:rsidR="009C72D5">
          <w:rPr>
            <w:noProof/>
            <w:webHidden/>
          </w:rPr>
          <w:instrText xml:space="preserve"> PAGEREF _Toc487107731 \h </w:instrText>
        </w:r>
        <w:r w:rsidR="009C72D5">
          <w:rPr>
            <w:noProof/>
            <w:webHidden/>
          </w:rPr>
        </w:r>
        <w:r w:rsidR="009C72D5">
          <w:rPr>
            <w:noProof/>
            <w:webHidden/>
          </w:rPr>
          <w:fldChar w:fldCharType="separate"/>
        </w:r>
        <w:r w:rsidR="00512EAC">
          <w:rPr>
            <w:noProof/>
            <w:webHidden/>
          </w:rPr>
          <w:t>27</w:t>
        </w:r>
        <w:r w:rsidR="009C72D5">
          <w:rPr>
            <w:noProof/>
            <w:webHidden/>
          </w:rPr>
          <w:fldChar w:fldCharType="end"/>
        </w:r>
      </w:hyperlink>
    </w:p>
    <w:p w14:paraId="59A60928" w14:textId="788F1F64" w:rsidR="009C72D5" w:rsidRDefault="003F28D0" w:rsidP="009C72D5">
      <w:pPr>
        <w:pStyle w:val="TableofFigures"/>
        <w:tabs>
          <w:tab w:val="right" w:leader="dot" w:pos="9350"/>
        </w:tabs>
        <w:spacing w:afterLines="40" w:after="96"/>
        <w:ind w:left="0"/>
        <w:rPr>
          <w:rFonts w:asciiTheme="minorHAnsi" w:hAnsiTheme="minorHAnsi" w:cstheme="minorBidi"/>
          <w:noProof/>
          <w:sz w:val="22"/>
          <w:szCs w:val="22"/>
        </w:rPr>
      </w:pPr>
      <w:hyperlink w:anchor="_Toc487107732" w:history="1">
        <w:r w:rsidR="009C72D5" w:rsidRPr="00F228B6">
          <w:rPr>
            <w:rStyle w:val="Hyperlink"/>
            <w:noProof/>
          </w:rPr>
          <w:t>Table 7: Numeric Action Levels for Tiers 2 and 3 facilities that do not discharge to nitrate impacted groundwater areas</w:t>
        </w:r>
        <w:r w:rsidR="009C72D5">
          <w:rPr>
            <w:noProof/>
            <w:webHidden/>
          </w:rPr>
          <w:tab/>
        </w:r>
        <w:r w:rsidR="009C72D5">
          <w:rPr>
            <w:noProof/>
            <w:webHidden/>
          </w:rPr>
          <w:fldChar w:fldCharType="begin"/>
        </w:r>
        <w:r w:rsidR="009C72D5">
          <w:rPr>
            <w:noProof/>
            <w:webHidden/>
          </w:rPr>
          <w:instrText xml:space="preserve"> PAGEREF _Toc487107732 \h </w:instrText>
        </w:r>
        <w:r w:rsidR="009C72D5">
          <w:rPr>
            <w:noProof/>
            <w:webHidden/>
          </w:rPr>
        </w:r>
        <w:r w:rsidR="009C72D5">
          <w:rPr>
            <w:noProof/>
            <w:webHidden/>
          </w:rPr>
          <w:fldChar w:fldCharType="separate"/>
        </w:r>
        <w:r w:rsidR="00512EAC">
          <w:rPr>
            <w:noProof/>
            <w:webHidden/>
          </w:rPr>
          <w:t>27</w:t>
        </w:r>
        <w:r w:rsidR="009C72D5">
          <w:rPr>
            <w:noProof/>
            <w:webHidden/>
          </w:rPr>
          <w:fldChar w:fldCharType="end"/>
        </w:r>
      </w:hyperlink>
    </w:p>
    <w:p w14:paraId="51BA31E6" w14:textId="0DC563DD" w:rsidR="009C72D5" w:rsidRDefault="003F28D0" w:rsidP="009C72D5">
      <w:pPr>
        <w:pStyle w:val="TableofFigures"/>
        <w:tabs>
          <w:tab w:val="right" w:leader="dot" w:pos="9350"/>
        </w:tabs>
        <w:spacing w:afterLines="40" w:after="96"/>
        <w:ind w:left="0"/>
        <w:rPr>
          <w:rFonts w:asciiTheme="minorHAnsi" w:hAnsiTheme="minorHAnsi" w:cstheme="minorBidi"/>
          <w:noProof/>
          <w:sz w:val="22"/>
          <w:szCs w:val="22"/>
        </w:rPr>
      </w:pPr>
      <w:hyperlink w:anchor="_Toc487107733" w:history="1">
        <w:r w:rsidR="009C72D5" w:rsidRPr="00F228B6">
          <w:rPr>
            <w:rStyle w:val="Hyperlink"/>
            <w:noProof/>
          </w:rPr>
          <w:t>Table 8: Chloride Numeric Action Level</w:t>
        </w:r>
        <w:r w:rsidR="009C72D5">
          <w:rPr>
            <w:noProof/>
            <w:webHidden/>
          </w:rPr>
          <w:tab/>
        </w:r>
        <w:r w:rsidR="009C72D5">
          <w:rPr>
            <w:noProof/>
            <w:webHidden/>
          </w:rPr>
          <w:fldChar w:fldCharType="begin"/>
        </w:r>
        <w:r w:rsidR="009C72D5">
          <w:rPr>
            <w:noProof/>
            <w:webHidden/>
          </w:rPr>
          <w:instrText xml:space="preserve"> PAGEREF _Toc487107733 \h </w:instrText>
        </w:r>
        <w:r w:rsidR="009C72D5">
          <w:rPr>
            <w:noProof/>
            <w:webHidden/>
          </w:rPr>
        </w:r>
        <w:r w:rsidR="009C72D5">
          <w:rPr>
            <w:noProof/>
            <w:webHidden/>
          </w:rPr>
          <w:fldChar w:fldCharType="separate"/>
        </w:r>
        <w:r w:rsidR="00512EAC">
          <w:rPr>
            <w:noProof/>
            <w:webHidden/>
          </w:rPr>
          <w:t>28</w:t>
        </w:r>
        <w:r w:rsidR="009C72D5">
          <w:rPr>
            <w:noProof/>
            <w:webHidden/>
          </w:rPr>
          <w:fldChar w:fldCharType="end"/>
        </w:r>
      </w:hyperlink>
    </w:p>
    <w:p w14:paraId="6F1933BF" w14:textId="3219EDA8" w:rsidR="009C72D5" w:rsidRDefault="003F28D0" w:rsidP="009C72D5">
      <w:pPr>
        <w:pStyle w:val="TableofFigures"/>
        <w:tabs>
          <w:tab w:val="right" w:leader="dot" w:pos="9350"/>
        </w:tabs>
        <w:spacing w:afterLines="40" w:after="96"/>
        <w:ind w:left="0"/>
        <w:rPr>
          <w:rFonts w:asciiTheme="minorHAnsi" w:hAnsiTheme="minorHAnsi" w:cstheme="minorBidi"/>
          <w:noProof/>
          <w:sz w:val="22"/>
          <w:szCs w:val="22"/>
        </w:rPr>
      </w:pPr>
      <w:hyperlink w:anchor="_Toc487107734" w:history="1">
        <w:r w:rsidR="009C72D5" w:rsidRPr="00F228B6">
          <w:rPr>
            <w:rStyle w:val="Hyperlink"/>
            <w:noProof/>
          </w:rPr>
          <w:t>Table 9: Sodium Adsorption Ratio and Electrical Conductivity Sodicity Numeric Action Level (NAL) Matrix</w:t>
        </w:r>
        <w:r w:rsidR="009C72D5">
          <w:rPr>
            <w:noProof/>
            <w:webHidden/>
          </w:rPr>
          <w:tab/>
        </w:r>
        <w:r w:rsidR="009C72D5">
          <w:rPr>
            <w:noProof/>
            <w:webHidden/>
          </w:rPr>
          <w:fldChar w:fldCharType="begin"/>
        </w:r>
        <w:r w:rsidR="009C72D5">
          <w:rPr>
            <w:noProof/>
            <w:webHidden/>
          </w:rPr>
          <w:instrText xml:space="preserve"> PAGEREF _Toc487107734 \h </w:instrText>
        </w:r>
        <w:r w:rsidR="009C72D5">
          <w:rPr>
            <w:noProof/>
            <w:webHidden/>
          </w:rPr>
        </w:r>
        <w:r w:rsidR="009C72D5">
          <w:rPr>
            <w:noProof/>
            <w:webHidden/>
          </w:rPr>
          <w:fldChar w:fldCharType="separate"/>
        </w:r>
        <w:r w:rsidR="00512EAC">
          <w:rPr>
            <w:noProof/>
            <w:webHidden/>
          </w:rPr>
          <w:t>29</w:t>
        </w:r>
        <w:r w:rsidR="009C72D5">
          <w:rPr>
            <w:noProof/>
            <w:webHidden/>
          </w:rPr>
          <w:fldChar w:fldCharType="end"/>
        </w:r>
      </w:hyperlink>
    </w:p>
    <w:p w14:paraId="34E31582" w14:textId="669BC932" w:rsidR="009C72D5" w:rsidRDefault="003F28D0" w:rsidP="009C72D5">
      <w:pPr>
        <w:pStyle w:val="TableofFigures"/>
        <w:tabs>
          <w:tab w:val="right" w:leader="dot" w:pos="9350"/>
        </w:tabs>
        <w:spacing w:afterLines="40" w:after="96"/>
        <w:ind w:left="0"/>
        <w:rPr>
          <w:rFonts w:asciiTheme="minorHAnsi" w:hAnsiTheme="minorHAnsi" w:cstheme="minorBidi"/>
          <w:noProof/>
          <w:sz w:val="22"/>
          <w:szCs w:val="22"/>
        </w:rPr>
      </w:pPr>
      <w:hyperlink w:anchor="_Toc487107735" w:history="1">
        <w:r w:rsidR="009C72D5" w:rsidRPr="00F228B6">
          <w:rPr>
            <w:rStyle w:val="Hyperlink"/>
            <w:noProof/>
          </w:rPr>
          <w:t>Table 10: Total Coliform Effluent Limitations – All Tiers – Crop Irrigation</w:t>
        </w:r>
        <w:r w:rsidR="009C72D5">
          <w:rPr>
            <w:noProof/>
            <w:webHidden/>
          </w:rPr>
          <w:tab/>
        </w:r>
        <w:r w:rsidR="009C72D5">
          <w:rPr>
            <w:noProof/>
            <w:webHidden/>
          </w:rPr>
          <w:fldChar w:fldCharType="begin"/>
        </w:r>
        <w:r w:rsidR="009C72D5">
          <w:rPr>
            <w:noProof/>
            <w:webHidden/>
          </w:rPr>
          <w:instrText xml:space="preserve"> PAGEREF _Toc487107735 \h </w:instrText>
        </w:r>
        <w:r w:rsidR="009C72D5">
          <w:rPr>
            <w:noProof/>
            <w:webHidden/>
          </w:rPr>
        </w:r>
        <w:r w:rsidR="009C72D5">
          <w:rPr>
            <w:noProof/>
            <w:webHidden/>
          </w:rPr>
          <w:fldChar w:fldCharType="separate"/>
        </w:r>
        <w:r w:rsidR="00512EAC">
          <w:rPr>
            <w:noProof/>
            <w:webHidden/>
          </w:rPr>
          <w:t>30</w:t>
        </w:r>
        <w:r w:rsidR="009C72D5">
          <w:rPr>
            <w:noProof/>
            <w:webHidden/>
          </w:rPr>
          <w:fldChar w:fldCharType="end"/>
        </w:r>
      </w:hyperlink>
    </w:p>
    <w:p w14:paraId="42F707FE" w14:textId="27FD3E90" w:rsidR="00F6686F" w:rsidRPr="00F6686F" w:rsidRDefault="002641F0" w:rsidP="009C72D5">
      <w:pPr>
        <w:ind w:left="0"/>
        <w:rPr>
          <w:b/>
          <w:snapToGrid w:val="0"/>
        </w:rPr>
      </w:pPr>
      <w:r>
        <w:rPr>
          <w:b/>
          <w:snapToGrid w:val="0"/>
        </w:rPr>
        <w:fldChar w:fldCharType="end"/>
      </w:r>
    </w:p>
    <w:p w14:paraId="56BFD99D" w14:textId="3C5A3BB6" w:rsidR="0058704F" w:rsidRPr="00F6686F" w:rsidRDefault="0058704F" w:rsidP="00F6686F">
      <w:pPr>
        <w:spacing w:after="120"/>
        <w:ind w:left="0"/>
        <w:rPr>
          <w:b/>
        </w:rPr>
      </w:pPr>
      <w:r w:rsidRPr="00F6686F">
        <w:rPr>
          <w:b/>
        </w:rPr>
        <w:t>ATTACHMENTS</w:t>
      </w:r>
    </w:p>
    <w:p w14:paraId="2563CED3" w14:textId="77777777" w:rsidR="00F6686F" w:rsidRDefault="00F6686F" w:rsidP="009C72D5">
      <w:pPr>
        <w:pStyle w:val="ListParagraph"/>
        <w:numPr>
          <w:ilvl w:val="0"/>
          <w:numId w:val="63"/>
        </w:numPr>
        <w:suppressAutoHyphens/>
        <w:spacing w:after="60"/>
        <w:ind w:left="360"/>
        <w:contextualSpacing w:val="0"/>
        <w:rPr>
          <w:bCs/>
        </w:rPr>
      </w:pPr>
      <w:r w:rsidRPr="00F17B48">
        <w:rPr>
          <w:bCs/>
        </w:rPr>
        <w:t>Monitoring and Reporting Program</w:t>
      </w:r>
    </w:p>
    <w:p w14:paraId="0102371E" w14:textId="77777777" w:rsidR="00F6686F" w:rsidRDefault="00F6686F" w:rsidP="009C72D5">
      <w:pPr>
        <w:pStyle w:val="ListParagraph"/>
        <w:numPr>
          <w:ilvl w:val="0"/>
          <w:numId w:val="63"/>
        </w:numPr>
        <w:suppressAutoHyphens/>
        <w:spacing w:after="60"/>
        <w:ind w:left="360"/>
        <w:contextualSpacing w:val="0"/>
        <w:rPr>
          <w:bCs/>
        </w:rPr>
      </w:pPr>
      <w:r>
        <w:rPr>
          <w:bCs/>
        </w:rPr>
        <w:t>Notice of Intent Form</w:t>
      </w:r>
    </w:p>
    <w:p w14:paraId="4D0931CB" w14:textId="77777777" w:rsidR="00F6686F" w:rsidRDefault="00F6686F" w:rsidP="009C72D5">
      <w:pPr>
        <w:pStyle w:val="ListParagraph"/>
        <w:numPr>
          <w:ilvl w:val="0"/>
          <w:numId w:val="63"/>
        </w:numPr>
        <w:suppressAutoHyphens/>
        <w:spacing w:after="60"/>
        <w:ind w:left="360"/>
        <w:contextualSpacing w:val="0"/>
        <w:rPr>
          <w:bCs/>
        </w:rPr>
      </w:pPr>
      <w:r>
        <w:rPr>
          <w:bCs/>
        </w:rPr>
        <w:t>Notice of Intent Instructions</w:t>
      </w:r>
    </w:p>
    <w:p w14:paraId="74C825EA" w14:textId="77777777" w:rsidR="00F6686F" w:rsidRDefault="00F6686F" w:rsidP="009C72D5">
      <w:pPr>
        <w:pStyle w:val="ListParagraph"/>
        <w:suppressAutoHyphens/>
        <w:spacing w:after="60"/>
        <w:ind w:left="900" w:hanging="540"/>
        <w:contextualSpacing w:val="0"/>
        <w:rPr>
          <w:bCs/>
        </w:rPr>
      </w:pPr>
      <w:r>
        <w:rPr>
          <w:bCs/>
        </w:rPr>
        <w:t>C-1</w:t>
      </w:r>
      <w:r>
        <w:rPr>
          <w:bCs/>
        </w:rPr>
        <w:tab/>
      </w:r>
      <w:r w:rsidRPr="00C8724A">
        <w:rPr>
          <w:bCs/>
        </w:rPr>
        <w:t>Pre-E</w:t>
      </w:r>
      <w:r>
        <w:rPr>
          <w:bCs/>
        </w:rPr>
        <w:t>nrollment Required Assessments a</w:t>
      </w:r>
      <w:r w:rsidRPr="00C8724A">
        <w:rPr>
          <w:bCs/>
        </w:rPr>
        <w:t>nd Plans</w:t>
      </w:r>
    </w:p>
    <w:p w14:paraId="3D638043" w14:textId="77777777" w:rsidR="00F6686F" w:rsidRDefault="00F6686F" w:rsidP="009C72D5">
      <w:pPr>
        <w:pStyle w:val="ListParagraph"/>
        <w:suppressAutoHyphens/>
        <w:spacing w:after="60"/>
        <w:ind w:left="900" w:hanging="540"/>
        <w:contextualSpacing w:val="0"/>
        <w:rPr>
          <w:bCs/>
        </w:rPr>
      </w:pPr>
      <w:r>
        <w:rPr>
          <w:bCs/>
        </w:rPr>
        <w:t>C-2</w:t>
      </w:r>
      <w:r>
        <w:rPr>
          <w:bCs/>
        </w:rPr>
        <w:tab/>
      </w:r>
      <w:r w:rsidRPr="00C8724A">
        <w:rPr>
          <w:bCs/>
        </w:rPr>
        <w:t>Hydraulic Loading Rate Guidance</w:t>
      </w:r>
    </w:p>
    <w:p w14:paraId="2D3C66BA" w14:textId="77777777" w:rsidR="00F6686F" w:rsidRDefault="00F6686F" w:rsidP="009C72D5">
      <w:pPr>
        <w:pStyle w:val="ListParagraph"/>
        <w:suppressAutoHyphens/>
        <w:spacing w:after="60"/>
        <w:ind w:left="900" w:hanging="540"/>
        <w:contextualSpacing w:val="0"/>
        <w:rPr>
          <w:bCs/>
        </w:rPr>
      </w:pPr>
      <w:r>
        <w:rPr>
          <w:bCs/>
        </w:rPr>
        <w:t>C-3</w:t>
      </w:r>
      <w:r>
        <w:rPr>
          <w:bCs/>
        </w:rPr>
        <w:tab/>
        <w:t>Pond Infiltration a</w:t>
      </w:r>
      <w:r w:rsidRPr="00C8724A">
        <w:rPr>
          <w:bCs/>
        </w:rPr>
        <w:t>nd Water Balance Guidance</w:t>
      </w:r>
    </w:p>
    <w:p w14:paraId="013DC5FD" w14:textId="77777777" w:rsidR="00F6686F" w:rsidRDefault="00F6686F" w:rsidP="009C72D5">
      <w:pPr>
        <w:pStyle w:val="ListParagraph"/>
        <w:numPr>
          <w:ilvl w:val="0"/>
          <w:numId w:val="63"/>
        </w:numPr>
        <w:suppressAutoHyphens/>
        <w:spacing w:after="60"/>
        <w:ind w:left="360"/>
        <w:contextualSpacing w:val="0"/>
        <w:rPr>
          <w:bCs/>
        </w:rPr>
      </w:pPr>
      <w:r w:rsidRPr="00F17B48">
        <w:rPr>
          <w:bCs/>
        </w:rPr>
        <w:t>Request for Authorization of County Oversight (Tier 3)</w:t>
      </w:r>
    </w:p>
    <w:p w14:paraId="39E13B46" w14:textId="77777777" w:rsidR="00F6686F" w:rsidRDefault="00F6686F" w:rsidP="009C72D5">
      <w:pPr>
        <w:pStyle w:val="ListParagraph"/>
        <w:numPr>
          <w:ilvl w:val="0"/>
          <w:numId w:val="63"/>
        </w:numPr>
        <w:suppressAutoHyphens/>
        <w:spacing w:after="60"/>
        <w:ind w:left="360"/>
        <w:contextualSpacing w:val="0"/>
        <w:rPr>
          <w:bCs/>
        </w:rPr>
      </w:pPr>
      <w:r w:rsidRPr="00F17B48">
        <w:rPr>
          <w:bCs/>
        </w:rPr>
        <w:t>Tier 3 County Oversight Permitting Program Framework</w:t>
      </w:r>
    </w:p>
    <w:p w14:paraId="10ABC766" w14:textId="77777777" w:rsidR="00F6686F" w:rsidRDefault="00F6686F" w:rsidP="009C72D5">
      <w:pPr>
        <w:pStyle w:val="ListParagraph"/>
        <w:numPr>
          <w:ilvl w:val="0"/>
          <w:numId w:val="63"/>
        </w:numPr>
        <w:suppressAutoHyphens/>
        <w:spacing w:after="60"/>
        <w:ind w:left="360"/>
        <w:contextualSpacing w:val="0"/>
        <w:rPr>
          <w:bCs/>
        </w:rPr>
      </w:pPr>
      <w:r w:rsidRPr="00F17B48">
        <w:rPr>
          <w:bCs/>
        </w:rPr>
        <w:t xml:space="preserve">Nitrogen Assessment </w:t>
      </w:r>
      <w:r>
        <w:rPr>
          <w:bCs/>
        </w:rPr>
        <w:t xml:space="preserve">and Management </w:t>
      </w:r>
      <w:r w:rsidRPr="00F17B48">
        <w:rPr>
          <w:bCs/>
        </w:rPr>
        <w:t>Plan</w:t>
      </w:r>
    </w:p>
    <w:p w14:paraId="290D4044" w14:textId="77777777" w:rsidR="00F6686F" w:rsidRDefault="00F6686F" w:rsidP="009C72D5">
      <w:pPr>
        <w:pStyle w:val="ListParagraph"/>
        <w:numPr>
          <w:ilvl w:val="0"/>
          <w:numId w:val="63"/>
        </w:numPr>
        <w:suppressAutoHyphens/>
        <w:spacing w:after="60"/>
        <w:ind w:left="360"/>
        <w:contextualSpacing w:val="0"/>
        <w:rPr>
          <w:bCs/>
        </w:rPr>
      </w:pPr>
      <w:r w:rsidRPr="00F17B48">
        <w:rPr>
          <w:bCs/>
        </w:rPr>
        <w:t xml:space="preserve">Chloride Assessment </w:t>
      </w:r>
      <w:r>
        <w:rPr>
          <w:bCs/>
        </w:rPr>
        <w:t xml:space="preserve">and Management </w:t>
      </w:r>
      <w:r w:rsidRPr="00F17B48">
        <w:rPr>
          <w:bCs/>
        </w:rPr>
        <w:t>Plan</w:t>
      </w:r>
    </w:p>
    <w:p w14:paraId="7C672A9F" w14:textId="77777777" w:rsidR="00F6686F" w:rsidRDefault="00F6686F" w:rsidP="009C72D5">
      <w:pPr>
        <w:pStyle w:val="ListParagraph"/>
        <w:numPr>
          <w:ilvl w:val="0"/>
          <w:numId w:val="63"/>
        </w:numPr>
        <w:suppressAutoHyphens/>
        <w:spacing w:after="60"/>
        <w:ind w:left="360"/>
        <w:contextualSpacing w:val="0"/>
        <w:rPr>
          <w:bCs/>
        </w:rPr>
      </w:pPr>
      <w:proofErr w:type="spellStart"/>
      <w:r>
        <w:rPr>
          <w:bCs/>
        </w:rPr>
        <w:t>Sodicity</w:t>
      </w:r>
      <w:proofErr w:type="spellEnd"/>
      <w:r>
        <w:rPr>
          <w:bCs/>
        </w:rPr>
        <w:t xml:space="preserve"> </w:t>
      </w:r>
      <w:r w:rsidRPr="00F17B48">
        <w:rPr>
          <w:bCs/>
        </w:rPr>
        <w:t xml:space="preserve">Assessment </w:t>
      </w:r>
      <w:r>
        <w:rPr>
          <w:bCs/>
        </w:rPr>
        <w:t xml:space="preserve">and Management </w:t>
      </w:r>
      <w:r w:rsidRPr="00F17B48">
        <w:rPr>
          <w:bCs/>
        </w:rPr>
        <w:t>Plan</w:t>
      </w:r>
    </w:p>
    <w:p w14:paraId="1CDAFF43" w14:textId="77777777" w:rsidR="00F6686F" w:rsidRDefault="00F6686F" w:rsidP="009C72D5">
      <w:pPr>
        <w:pStyle w:val="ListParagraph"/>
        <w:numPr>
          <w:ilvl w:val="0"/>
          <w:numId w:val="63"/>
        </w:numPr>
        <w:suppressAutoHyphens/>
        <w:spacing w:after="60"/>
        <w:ind w:left="360"/>
        <w:contextualSpacing w:val="0"/>
        <w:rPr>
          <w:bCs/>
        </w:rPr>
      </w:pPr>
      <w:r w:rsidRPr="00F17B48">
        <w:rPr>
          <w:bCs/>
        </w:rPr>
        <w:t>Definitions</w:t>
      </w:r>
    </w:p>
    <w:p w14:paraId="187F7D97" w14:textId="77777777" w:rsidR="00F6686F" w:rsidRDefault="00F6686F" w:rsidP="009C72D5">
      <w:pPr>
        <w:pStyle w:val="ListParagraph"/>
        <w:numPr>
          <w:ilvl w:val="0"/>
          <w:numId w:val="63"/>
        </w:numPr>
        <w:suppressAutoHyphens/>
        <w:spacing w:after="60"/>
        <w:ind w:left="360"/>
        <w:contextualSpacing w:val="0"/>
        <w:rPr>
          <w:bCs/>
        </w:rPr>
      </w:pPr>
      <w:r w:rsidRPr="00F17B48">
        <w:rPr>
          <w:bCs/>
        </w:rPr>
        <w:t>Figures</w:t>
      </w:r>
    </w:p>
    <w:p w14:paraId="6E01D1EF" w14:textId="77777777" w:rsidR="00F6686F" w:rsidRPr="00F6686F" w:rsidRDefault="00F6686F" w:rsidP="009C72D5">
      <w:pPr>
        <w:pStyle w:val="ListParagraph"/>
        <w:numPr>
          <w:ilvl w:val="0"/>
          <w:numId w:val="63"/>
        </w:numPr>
        <w:suppressAutoHyphens/>
        <w:spacing w:after="60"/>
        <w:ind w:left="360"/>
        <w:contextualSpacing w:val="0"/>
        <w:rPr>
          <w:bCs/>
        </w:rPr>
      </w:pPr>
      <w:r w:rsidRPr="00F17B48">
        <w:rPr>
          <w:bCs/>
          <w:szCs w:val="24"/>
        </w:rPr>
        <w:t xml:space="preserve">Requirements for Monitoring Well Installation </w:t>
      </w:r>
      <w:proofErr w:type="spellStart"/>
      <w:r w:rsidRPr="00F17B48">
        <w:rPr>
          <w:bCs/>
          <w:szCs w:val="24"/>
        </w:rPr>
        <w:t>Workplans</w:t>
      </w:r>
      <w:proofErr w:type="spellEnd"/>
      <w:r w:rsidRPr="00F17B48">
        <w:rPr>
          <w:bCs/>
          <w:szCs w:val="24"/>
        </w:rPr>
        <w:t xml:space="preserve"> and Monitoring Well Installation Reports </w:t>
      </w:r>
    </w:p>
    <w:p w14:paraId="56DFB3FC" w14:textId="77777777" w:rsidR="00F6686F" w:rsidRPr="00F17B48" w:rsidRDefault="00F6686F" w:rsidP="00F6686F">
      <w:pPr>
        <w:pStyle w:val="ListParagraph"/>
        <w:numPr>
          <w:ilvl w:val="0"/>
          <w:numId w:val="63"/>
        </w:numPr>
        <w:suppressAutoHyphens/>
        <w:ind w:left="360"/>
        <w:rPr>
          <w:bCs/>
        </w:rPr>
      </w:pPr>
      <w:r>
        <w:rPr>
          <w:bCs/>
          <w:szCs w:val="24"/>
        </w:rPr>
        <w:t>Notice of Termination Form</w:t>
      </w:r>
    </w:p>
    <w:p w14:paraId="5F08B59E" w14:textId="77777777" w:rsidR="00F6686F" w:rsidRPr="00D21BC8" w:rsidRDefault="00F6686F" w:rsidP="00F6686F">
      <w:pPr>
        <w:tabs>
          <w:tab w:val="left" w:pos="120"/>
          <w:tab w:val="left" w:pos="720"/>
          <w:tab w:val="left" w:pos="1200"/>
          <w:tab w:val="left" w:pos="4440"/>
        </w:tabs>
        <w:suppressAutoHyphens/>
        <w:rPr>
          <w:bCs/>
        </w:rPr>
      </w:pPr>
    </w:p>
    <w:p w14:paraId="6C2C5DE4" w14:textId="77777777" w:rsidR="00F6686F" w:rsidRPr="00F676E6" w:rsidRDefault="00F6686F" w:rsidP="00F6686F">
      <w:pPr>
        <w:suppressAutoHyphens/>
        <w:spacing w:after="120"/>
        <w:ind w:left="0"/>
        <w:rPr>
          <w:b/>
          <w:bCs/>
        </w:rPr>
      </w:pPr>
      <w:r w:rsidRPr="00F676E6">
        <w:rPr>
          <w:b/>
          <w:bCs/>
        </w:rPr>
        <w:t>APPENDICES</w:t>
      </w:r>
    </w:p>
    <w:p w14:paraId="7D1AD874" w14:textId="77777777" w:rsidR="00F6686F" w:rsidRPr="00D21BC8" w:rsidRDefault="00F6686F" w:rsidP="009C72D5">
      <w:pPr>
        <w:pStyle w:val="ListParagraph"/>
        <w:numPr>
          <w:ilvl w:val="3"/>
          <w:numId w:val="62"/>
        </w:numPr>
        <w:tabs>
          <w:tab w:val="left" w:pos="720"/>
        </w:tabs>
        <w:suppressAutoHyphens/>
        <w:spacing w:after="60"/>
        <w:ind w:left="360"/>
        <w:contextualSpacing w:val="0"/>
        <w:rPr>
          <w:bCs/>
          <w:szCs w:val="24"/>
        </w:rPr>
      </w:pPr>
      <w:r>
        <w:rPr>
          <w:bCs/>
          <w:szCs w:val="24"/>
        </w:rPr>
        <w:t>Agronomic Rate Guidance</w:t>
      </w:r>
    </w:p>
    <w:p w14:paraId="09EED840" w14:textId="77777777" w:rsidR="00F6686F" w:rsidRPr="00D21BC8" w:rsidRDefault="00F6686F" w:rsidP="00F6686F">
      <w:pPr>
        <w:pStyle w:val="ListParagraph"/>
        <w:numPr>
          <w:ilvl w:val="3"/>
          <w:numId w:val="62"/>
        </w:numPr>
        <w:suppressAutoHyphens/>
        <w:spacing w:afterLines="40" w:after="96"/>
        <w:ind w:left="360"/>
        <w:rPr>
          <w:bCs/>
          <w:szCs w:val="24"/>
        </w:rPr>
      </w:pPr>
      <w:r w:rsidRPr="00D21BC8">
        <w:rPr>
          <w:bCs/>
          <w:szCs w:val="24"/>
        </w:rPr>
        <w:t>County Onsite Wastewater Treatment System Technical Standards, Code, And Ordinance Resources</w:t>
      </w:r>
    </w:p>
    <w:p w14:paraId="5E75093C" w14:textId="77777777" w:rsidR="0058704F" w:rsidRPr="00CB58F6" w:rsidRDefault="0058704F" w:rsidP="0058704F">
      <w:pPr>
        <w:jc w:val="center"/>
        <w:rPr>
          <w:b/>
        </w:rPr>
      </w:pPr>
      <w:r w:rsidRPr="00CB58F6">
        <w:rPr>
          <w:b/>
        </w:rPr>
        <w:lastRenderedPageBreak/>
        <w:t>CALIFORNIA REGIONAL WATER QUALITY CONTROL BOARD</w:t>
      </w:r>
    </w:p>
    <w:p w14:paraId="4AF0276D" w14:textId="77777777" w:rsidR="0058704F" w:rsidRPr="00CB58F6" w:rsidRDefault="0058704F" w:rsidP="0058704F">
      <w:pPr>
        <w:jc w:val="center"/>
        <w:rPr>
          <w:b/>
        </w:rPr>
      </w:pPr>
      <w:r w:rsidRPr="00CB58F6">
        <w:rPr>
          <w:b/>
        </w:rPr>
        <w:t>SAN FRANCSICO BAY REGION</w:t>
      </w:r>
    </w:p>
    <w:p w14:paraId="7A255843" w14:textId="77777777" w:rsidR="0058704F" w:rsidRPr="00CB58F6" w:rsidRDefault="0058704F" w:rsidP="0058704F">
      <w:pPr>
        <w:jc w:val="center"/>
        <w:rPr>
          <w:b/>
        </w:rPr>
      </w:pPr>
    </w:p>
    <w:p w14:paraId="05B7F01D" w14:textId="36AF5652" w:rsidR="0058704F" w:rsidRPr="00CB58F6" w:rsidRDefault="0058704F" w:rsidP="0058704F">
      <w:pPr>
        <w:ind w:left="-90"/>
        <w:rPr>
          <w:b/>
        </w:rPr>
      </w:pPr>
      <w:r>
        <w:rPr>
          <w:b/>
        </w:rPr>
        <w:t xml:space="preserve">TENTATIVE </w:t>
      </w:r>
      <w:r w:rsidRPr="00CB58F6">
        <w:rPr>
          <w:b/>
        </w:rPr>
        <w:t>ORDER NO. R2-</w:t>
      </w:r>
      <w:r>
        <w:rPr>
          <w:b/>
        </w:rPr>
        <w:t>2017</w:t>
      </w:r>
      <w:r w:rsidRPr="00CB58F6">
        <w:rPr>
          <w:b/>
        </w:rPr>
        <w:t>-XXX</w:t>
      </w:r>
      <w:r>
        <w:rPr>
          <w:b/>
        </w:rPr>
        <w:t>X</w:t>
      </w:r>
    </w:p>
    <w:p w14:paraId="7C83400E" w14:textId="77777777" w:rsidR="0058704F" w:rsidRPr="00CB58F6" w:rsidRDefault="0058704F" w:rsidP="0058704F">
      <w:pPr>
        <w:ind w:left="-90"/>
        <w:rPr>
          <w:b/>
          <w:bCs/>
          <w:caps/>
          <w:snapToGrid w:val="0"/>
        </w:rPr>
      </w:pPr>
    </w:p>
    <w:p w14:paraId="523D49C7" w14:textId="23990C1A" w:rsidR="0058704F" w:rsidRPr="00CB58F6" w:rsidRDefault="0058704F" w:rsidP="0058704F">
      <w:pPr>
        <w:ind w:left="-90"/>
        <w:rPr>
          <w:b/>
          <w:bCs/>
          <w:caps/>
          <w:snapToGrid w:val="0"/>
        </w:rPr>
      </w:pPr>
      <w:r w:rsidRPr="00CB58F6">
        <w:rPr>
          <w:b/>
          <w:bCs/>
          <w:caps/>
          <w:snapToGrid w:val="0"/>
        </w:rPr>
        <w:t>General Waste Discharge Requirements For Discharges OF</w:t>
      </w:r>
    </w:p>
    <w:p w14:paraId="14443854" w14:textId="77777777" w:rsidR="0058704F" w:rsidRPr="00CB58F6" w:rsidRDefault="0058704F" w:rsidP="0058704F">
      <w:pPr>
        <w:pStyle w:val="BodyText"/>
        <w:ind w:left="-90"/>
      </w:pPr>
      <w:r w:rsidRPr="00CB58F6">
        <w:rPr>
          <w:b/>
          <w:bCs/>
          <w:caps/>
          <w:snapToGrid w:val="0"/>
        </w:rPr>
        <w:t>WINERY WASTE to Land within the San Francisco Bay Region</w:t>
      </w:r>
    </w:p>
    <w:p w14:paraId="1831AA9C" w14:textId="41720628" w:rsidR="0058704F" w:rsidRDefault="0058704F" w:rsidP="0058704F">
      <w:pPr>
        <w:pStyle w:val="BodyText"/>
        <w:spacing w:after="0"/>
        <w:ind w:left="-90"/>
        <w:rPr>
          <w:snapToGrid w:val="0"/>
        </w:rPr>
      </w:pPr>
      <w:r w:rsidRPr="00CB58F6">
        <w:t xml:space="preserve">The California Regional Water Quality Control Board, San Francisco Bay Region (hereinafter called the </w:t>
      </w:r>
      <w:r>
        <w:t>Regional Water Board</w:t>
      </w:r>
      <w:r w:rsidRPr="00CB58F6">
        <w:t>), finds that:</w:t>
      </w:r>
    </w:p>
    <w:p w14:paraId="2765F8F9" w14:textId="77777777" w:rsidR="0058704F" w:rsidRDefault="0058704F" w:rsidP="00CF654D">
      <w:pPr>
        <w:pStyle w:val="Heading1"/>
        <w:numPr>
          <w:ilvl w:val="0"/>
          <w:numId w:val="0"/>
        </w:numPr>
        <w:ind w:left="720"/>
      </w:pPr>
    </w:p>
    <w:p w14:paraId="05B9982E" w14:textId="62625034" w:rsidR="009D2826" w:rsidRDefault="00766319" w:rsidP="00362D97">
      <w:pPr>
        <w:pStyle w:val="Heading1"/>
        <w:numPr>
          <w:ilvl w:val="0"/>
          <w:numId w:val="48"/>
        </w:numPr>
        <w:ind w:hanging="720"/>
      </w:pPr>
      <w:bookmarkStart w:id="1" w:name="_Toc487002332"/>
      <w:r>
        <w:t>FINDINGS</w:t>
      </w:r>
      <w:bookmarkEnd w:id="1"/>
    </w:p>
    <w:p w14:paraId="276D689D" w14:textId="77777777" w:rsidR="0058704F" w:rsidRDefault="0058704F" w:rsidP="00CF654D">
      <w:pPr>
        <w:pStyle w:val="Heading1"/>
        <w:numPr>
          <w:ilvl w:val="0"/>
          <w:numId w:val="0"/>
        </w:numPr>
        <w:ind w:left="720"/>
      </w:pPr>
    </w:p>
    <w:p w14:paraId="0A223E53" w14:textId="3806832E" w:rsidR="0058704F" w:rsidRPr="0003370C" w:rsidRDefault="0058704F" w:rsidP="0070544E">
      <w:pPr>
        <w:pStyle w:val="Heading2"/>
      </w:pPr>
      <w:bookmarkStart w:id="2" w:name="_Toc487002333"/>
      <w:r w:rsidRPr="0003370C">
        <w:t>SCOPE OF COVERAGE</w:t>
      </w:r>
      <w:bookmarkEnd w:id="2"/>
    </w:p>
    <w:p w14:paraId="7F0DF21C" w14:textId="77777777" w:rsidR="005202D4" w:rsidRPr="005202D4" w:rsidRDefault="005202D4" w:rsidP="005202D4">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napToGrid w:val="0"/>
          <w:sz w:val="24"/>
          <w:szCs w:val="24"/>
        </w:rPr>
      </w:pPr>
    </w:p>
    <w:p w14:paraId="5EBDBE4F" w14:textId="4D5989F2" w:rsidR="0058704F" w:rsidRPr="00692EF0" w:rsidRDefault="00AC563F"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napToGrid w:val="0"/>
          <w:sz w:val="24"/>
          <w:szCs w:val="24"/>
        </w:rPr>
      </w:pPr>
      <w:r>
        <w:rPr>
          <w:sz w:val="24"/>
          <w:szCs w:val="24"/>
        </w:rPr>
        <w:t xml:space="preserve">Order No. R2-2017-XXXX serves as General Waste Discharge Requirements (hereafter Order) </w:t>
      </w:r>
      <w:r w:rsidR="0058704F" w:rsidRPr="00692EF0">
        <w:rPr>
          <w:sz w:val="24"/>
          <w:szCs w:val="24"/>
        </w:rPr>
        <w:t>for facilities discharging winery waste to land within the San Francisco Bay Region (Region).</w:t>
      </w:r>
      <w:r w:rsidR="0058704F" w:rsidRPr="00692EF0">
        <w:rPr>
          <w:snapToGrid w:val="0"/>
          <w:sz w:val="24"/>
          <w:szCs w:val="24"/>
        </w:rPr>
        <w:t xml:space="preserve"> This Order provides req</w:t>
      </w:r>
      <w:r>
        <w:rPr>
          <w:snapToGrid w:val="0"/>
          <w:sz w:val="24"/>
          <w:szCs w:val="24"/>
        </w:rPr>
        <w:t>uirements for</w:t>
      </w:r>
      <w:r w:rsidR="0058704F" w:rsidRPr="00692EF0">
        <w:rPr>
          <w:snapToGrid w:val="0"/>
          <w:sz w:val="24"/>
          <w:szCs w:val="24"/>
        </w:rPr>
        <w:t xml:space="preserve"> surface and subsurface discharges to land from enrolled facilities’ winery wastewater treatment and dis</w:t>
      </w:r>
      <w:r w:rsidR="00731573">
        <w:rPr>
          <w:snapToGrid w:val="0"/>
          <w:sz w:val="24"/>
          <w:szCs w:val="24"/>
        </w:rPr>
        <w:t>charge</w:t>
      </w:r>
      <w:r w:rsidR="0058704F" w:rsidRPr="00692EF0">
        <w:rPr>
          <w:snapToGrid w:val="0"/>
          <w:sz w:val="24"/>
          <w:szCs w:val="24"/>
        </w:rPr>
        <w:t xml:space="preserve"> systems.</w:t>
      </w:r>
    </w:p>
    <w:p w14:paraId="303AB378" w14:textId="77777777" w:rsidR="0058704F" w:rsidRPr="00692EF0" w:rsidRDefault="0058704F" w:rsidP="00CF654D">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585"/>
        <w:rPr>
          <w:snapToGrid w:val="0"/>
          <w:sz w:val="24"/>
          <w:szCs w:val="24"/>
        </w:rPr>
      </w:pPr>
    </w:p>
    <w:p w14:paraId="5703C31B" w14:textId="631032E6" w:rsidR="0058704F" w:rsidRPr="00692EF0" w:rsidRDefault="00AC563F"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b/>
          <w:sz w:val="24"/>
          <w:szCs w:val="24"/>
        </w:rPr>
      </w:pPr>
      <w:r>
        <w:rPr>
          <w:b/>
          <w:sz w:val="24"/>
          <w:szCs w:val="24"/>
        </w:rPr>
        <w:t xml:space="preserve">All wineries </w:t>
      </w:r>
      <w:r w:rsidRPr="00692EF0">
        <w:rPr>
          <w:b/>
          <w:sz w:val="24"/>
          <w:szCs w:val="24"/>
        </w:rPr>
        <w:t xml:space="preserve">discharging to land within the Region are required to </w:t>
      </w:r>
      <w:r>
        <w:rPr>
          <w:b/>
          <w:sz w:val="24"/>
          <w:szCs w:val="24"/>
        </w:rPr>
        <w:t xml:space="preserve">obtain coverage </w:t>
      </w:r>
      <w:r w:rsidR="0058704F">
        <w:rPr>
          <w:b/>
          <w:sz w:val="24"/>
          <w:szCs w:val="24"/>
        </w:rPr>
        <w:t xml:space="preserve">under this Order, unless they are covered under individual </w:t>
      </w:r>
      <w:r w:rsidR="00190CAF">
        <w:rPr>
          <w:b/>
          <w:sz w:val="24"/>
          <w:szCs w:val="24"/>
        </w:rPr>
        <w:t>Waste Discharge Requirements (</w:t>
      </w:r>
      <w:r w:rsidR="0058704F">
        <w:rPr>
          <w:b/>
          <w:sz w:val="24"/>
          <w:szCs w:val="24"/>
        </w:rPr>
        <w:t>WDRs</w:t>
      </w:r>
      <w:r w:rsidR="00190CAF">
        <w:rPr>
          <w:b/>
          <w:sz w:val="24"/>
          <w:szCs w:val="24"/>
        </w:rPr>
        <w:t>)</w:t>
      </w:r>
      <w:r w:rsidR="0058704F" w:rsidRPr="00692EF0">
        <w:rPr>
          <w:b/>
          <w:sz w:val="24"/>
          <w:szCs w:val="24"/>
        </w:rPr>
        <w:t xml:space="preserve">. </w:t>
      </w:r>
      <w:r w:rsidR="0058704F" w:rsidRPr="00692EF0">
        <w:rPr>
          <w:sz w:val="24"/>
          <w:szCs w:val="24"/>
        </w:rPr>
        <w:t>This Order cov</w:t>
      </w:r>
      <w:r>
        <w:rPr>
          <w:sz w:val="24"/>
          <w:szCs w:val="24"/>
        </w:rPr>
        <w:t>ers discharges to land from</w:t>
      </w:r>
      <w:r w:rsidR="0058704F" w:rsidRPr="00692EF0">
        <w:rPr>
          <w:sz w:val="24"/>
          <w:szCs w:val="24"/>
        </w:rPr>
        <w:t xml:space="preserve"> existing</w:t>
      </w:r>
      <w:r>
        <w:rPr>
          <w:sz w:val="24"/>
          <w:szCs w:val="24"/>
        </w:rPr>
        <w:t>, new, or expanding</w:t>
      </w:r>
      <w:r w:rsidR="0058704F" w:rsidRPr="00692EF0">
        <w:rPr>
          <w:sz w:val="24"/>
          <w:szCs w:val="24"/>
        </w:rPr>
        <w:t xml:space="preserve"> wineries. For purposes of this Order</w:t>
      </w:r>
      <w:r w:rsidR="0058704F">
        <w:rPr>
          <w:b/>
          <w:sz w:val="24"/>
          <w:szCs w:val="24"/>
        </w:rPr>
        <w:t>:</w:t>
      </w:r>
    </w:p>
    <w:p w14:paraId="4660CBB5" w14:textId="70589A64" w:rsidR="0058704F" w:rsidRPr="00692EF0" w:rsidRDefault="0058704F" w:rsidP="00362D97">
      <w:pPr>
        <w:pStyle w:val="Agendanumber"/>
        <w:numPr>
          <w:ilvl w:val="0"/>
          <w:numId w:val="4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720"/>
        <w:rPr>
          <w:sz w:val="24"/>
          <w:szCs w:val="24"/>
        </w:rPr>
      </w:pPr>
      <w:r w:rsidRPr="00692EF0">
        <w:rPr>
          <w:sz w:val="24"/>
          <w:szCs w:val="24"/>
        </w:rPr>
        <w:t xml:space="preserve">Existing wineries are wineries that are constructed and operating as of the effective date of this Order or have submitted a Report of Waste Discharge (ROWD) to the Regional Water Board prior to the Order’s effective date. </w:t>
      </w:r>
      <w:r>
        <w:rPr>
          <w:sz w:val="24"/>
          <w:szCs w:val="24"/>
        </w:rPr>
        <w:t>All wineries that have previously submitted a ROWD to the Regional Water Board, but for which the Board has not adopted WDRs, must apply for coverage under this Order.</w:t>
      </w:r>
    </w:p>
    <w:p w14:paraId="6328D7ED" w14:textId="5FF9DAC3" w:rsidR="00AC563F" w:rsidRDefault="0058704F" w:rsidP="00362D97">
      <w:pPr>
        <w:pStyle w:val="Agendanumber"/>
        <w:numPr>
          <w:ilvl w:val="0"/>
          <w:numId w:val="4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720"/>
        <w:rPr>
          <w:sz w:val="24"/>
          <w:szCs w:val="24"/>
        </w:rPr>
      </w:pPr>
      <w:r w:rsidRPr="00692EF0">
        <w:rPr>
          <w:sz w:val="24"/>
          <w:szCs w:val="24"/>
        </w:rPr>
        <w:t>New</w:t>
      </w:r>
      <w:r w:rsidR="00AC563F">
        <w:rPr>
          <w:sz w:val="24"/>
          <w:szCs w:val="24"/>
        </w:rPr>
        <w:t xml:space="preserve"> </w:t>
      </w:r>
      <w:r>
        <w:rPr>
          <w:sz w:val="24"/>
          <w:szCs w:val="24"/>
        </w:rPr>
        <w:t>wineries</w:t>
      </w:r>
      <w:r w:rsidRPr="00692EF0">
        <w:rPr>
          <w:sz w:val="24"/>
          <w:szCs w:val="24"/>
        </w:rPr>
        <w:t xml:space="preserve"> are </w:t>
      </w:r>
      <w:r>
        <w:rPr>
          <w:sz w:val="24"/>
          <w:szCs w:val="24"/>
        </w:rPr>
        <w:t>new wineries proposing to discharge winery waste to land, and</w:t>
      </w:r>
      <w:r w:rsidRPr="00692EF0">
        <w:rPr>
          <w:sz w:val="24"/>
          <w:szCs w:val="24"/>
        </w:rPr>
        <w:t xml:space="preserve"> </w:t>
      </w:r>
    </w:p>
    <w:p w14:paraId="0A73C3FC" w14:textId="0E1BEBEE" w:rsidR="0058704F" w:rsidRDefault="00AC563F" w:rsidP="00362D97">
      <w:pPr>
        <w:pStyle w:val="Agendanumber"/>
        <w:numPr>
          <w:ilvl w:val="0"/>
          <w:numId w:val="4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720"/>
        <w:rPr>
          <w:sz w:val="24"/>
          <w:szCs w:val="24"/>
        </w:rPr>
      </w:pPr>
      <w:r>
        <w:rPr>
          <w:sz w:val="24"/>
          <w:szCs w:val="24"/>
        </w:rPr>
        <w:t xml:space="preserve">Expanding wineries are existing wineries </w:t>
      </w:r>
      <w:r w:rsidR="0058704F" w:rsidRPr="00692EF0">
        <w:rPr>
          <w:sz w:val="24"/>
          <w:szCs w:val="24"/>
        </w:rPr>
        <w:t>that propose to increase the quantity or change the quality of existing discharges</w:t>
      </w:r>
      <w:r>
        <w:rPr>
          <w:sz w:val="24"/>
          <w:szCs w:val="24"/>
        </w:rPr>
        <w:t xml:space="preserve"> to land</w:t>
      </w:r>
      <w:r w:rsidR="0058704F" w:rsidRPr="00692EF0">
        <w:rPr>
          <w:sz w:val="24"/>
          <w:szCs w:val="24"/>
        </w:rPr>
        <w:t>.</w:t>
      </w:r>
      <w:r w:rsidR="0058704F">
        <w:rPr>
          <w:sz w:val="24"/>
          <w:szCs w:val="24"/>
        </w:rPr>
        <w:t xml:space="preserve"> </w:t>
      </w:r>
    </w:p>
    <w:p w14:paraId="16325D3C" w14:textId="77777777" w:rsidR="0058704F" w:rsidRDefault="0058704F" w:rsidP="0058704F">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720" w:hanging="360"/>
        <w:rPr>
          <w:sz w:val="24"/>
          <w:szCs w:val="24"/>
        </w:rPr>
      </w:pPr>
    </w:p>
    <w:p w14:paraId="252F939A" w14:textId="704F6683" w:rsidR="0058704F" w:rsidRPr="00D56521" w:rsidRDefault="0058704F"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 xml:space="preserve">Existing dischargers </w:t>
      </w:r>
      <w:r w:rsidR="00AC563F">
        <w:rPr>
          <w:b/>
          <w:sz w:val="24"/>
          <w:szCs w:val="24"/>
        </w:rPr>
        <w:t xml:space="preserve">covered by individual waste discharge requirements </w:t>
      </w:r>
      <w:r>
        <w:rPr>
          <w:b/>
          <w:sz w:val="24"/>
          <w:szCs w:val="24"/>
        </w:rPr>
        <w:t xml:space="preserve">may apply for coverage under this Order, and may be required to apply for coverage under this Order. </w:t>
      </w:r>
      <w:r w:rsidRPr="00D56521">
        <w:rPr>
          <w:sz w:val="24"/>
          <w:szCs w:val="24"/>
        </w:rPr>
        <w:t xml:space="preserve">Dischargers covered by individual WDRs may continue discharging under that authority unless the </w:t>
      </w:r>
      <w:r w:rsidR="00190CAF">
        <w:rPr>
          <w:sz w:val="24"/>
          <w:szCs w:val="24"/>
        </w:rPr>
        <w:t>San Francisco Bay Regional Water Quality Control Board (</w:t>
      </w:r>
      <w:r w:rsidRPr="00D56521">
        <w:rPr>
          <w:sz w:val="24"/>
          <w:szCs w:val="24"/>
        </w:rPr>
        <w:t>Regional Water Board</w:t>
      </w:r>
      <w:r w:rsidR="00190CAF">
        <w:rPr>
          <w:sz w:val="24"/>
          <w:szCs w:val="24"/>
        </w:rPr>
        <w:t>)</w:t>
      </w:r>
      <w:r w:rsidRPr="00D56521">
        <w:rPr>
          <w:sz w:val="24"/>
          <w:szCs w:val="24"/>
        </w:rPr>
        <w:t xml:space="preserve"> determines that this Order </w:t>
      </w:r>
      <w:r>
        <w:rPr>
          <w:sz w:val="24"/>
          <w:szCs w:val="24"/>
        </w:rPr>
        <w:t>would provide an equivalent or greater level of protection for</w:t>
      </w:r>
      <w:r w:rsidRPr="00D56521">
        <w:rPr>
          <w:sz w:val="24"/>
          <w:szCs w:val="24"/>
        </w:rPr>
        <w:t xml:space="preserve"> groundwater beneficial uses. Regional Water Board staff will notify Dischargers covered by individual orders if they are required to enroll under this Order. If the Regional Water Board determines that </w:t>
      </w:r>
      <w:r>
        <w:rPr>
          <w:sz w:val="24"/>
          <w:szCs w:val="24"/>
        </w:rPr>
        <w:t>covering a winery’s discharges</w:t>
      </w:r>
      <w:r w:rsidRPr="00D56521">
        <w:rPr>
          <w:sz w:val="24"/>
          <w:szCs w:val="24"/>
        </w:rPr>
        <w:t xml:space="preserve"> under this Order will not be </w:t>
      </w:r>
      <w:r>
        <w:rPr>
          <w:sz w:val="24"/>
          <w:szCs w:val="24"/>
        </w:rPr>
        <w:t>appropriately</w:t>
      </w:r>
      <w:r w:rsidRPr="00D56521">
        <w:rPr>
          <w:sz w:val="24"/>
          <w:szCs w:val="24"/>
        </w:rPr>
        <w:t xml:space="preserve"> protective of water quality, the Regional Water Board may issue individual WDRs or require a Discharger to maintain its coverage under existing or amended individual WDRs.</w:t>
      </w:r>
    </w:p>
    <w:p w14:paraId="2D3E3564" w14:textId="77777777" w:rsidR="0058704F" w:rsidRPr="0003370C" w:rsidRDefault="0058704F" w:rsidP="00CF654D">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585"/>
      </w:pPr>
    </w:p>
    <w:p w14:paraId="46930AE1" w14:textId="0984770B" w:rsidR="0058704F" w:rsidRPr="00900844" w:rsidRDefault="0058704F"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sidRPr="00900844">
        <w:rPr>
          <w:b/>
          <w:sz w:val="24"/>
          <w:szCs w:val="24"/>
        </w:rPr>
        <w:t xml:space="preserve">Dischargers is the term used for owners and operators of winery wastewater systems subject to this Order. </w:t>
      </w:r>
      <w:r w:rsidRPr="00900844">
        <w:rPr>
          <w:sz w:val="24"/>
          <w:szCs w:val="24"/>
        </w:rPr>
        <w:t>Owners and operators of wineries discharging, or proposing to discharge, waste in any manner that could affect the quality of the waters of the State within the Region are hereinafter referred to as Dischargers and are subject to the terms and conditions of this Order.</w:t>
      </w:r>
    </w:p>
    <w:p w14:paraId="12153381" w14:textId="77777777" w:rsidR="0058704F" w:rsidRPr="00900844" w:rsidRDefault="0058704F" w:rsidP="00CF654D">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585"/>
        <w:rPr>
          <w:sz w:val="24"/>
          <w:szCs w:val="24"/>
        </w:rPr>
      </w:pPr>
    </w:p>
    <w:p w14:paraId="5265A691" w14:textId="2D3AA909" w:rsidR="0058704F" w:rsidRPr="00900844" w:rsidRDefault="0058704F"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napToGrid w:val="0"/>
          <w:sz w:val="24"/>
          <w:szCs w:val="24"/>
        </w:rPr>
      </w:pPr>
      <w:r w:rsidRPr="00900844">
        <w:rPr>
          <w:b/>
          <w:sz w:val="24"/>
          <w:szCs w:val="24"/>
        </w:rPr>
        <w:t>Any or all wine-making and related activities</w:t>
      </w:r>
      <w:r w:rsidR="006A406F">
        <w:rPr>
          <w:b/>
          <w:sz w:val="24"/>
          <w:szCs w:val="24"/>
        </w:rPr>
        <w:t xml:space="preserve"> that discharge to land</w:t>
      </w:r>
      <w:r w:rsidRPr="00900844">
        <w:rPr>
          <w:b/>
          <w:sz w:val="24"/>
          <w:szCs w:val="24"/>
        </w:rPr>
        <w:t xml:space="preserve"> </w:t>
      </w:r>
      <w:r w:rsidR="006A406F">
        <w:rPr>
          <w:b/>
          <w:sz w:val="24"/>
          <w:szCs w:val="24"/>
        </w:rPr>
        <w:t xml:space="preserve">are </w:t>
      </w:r>
      <w:r w:rsidRPr="00900844">
        <w:rPr>
          <w:b/>
          <w:sz w:val="24"/>
          <w:szCs w:val="24"/>
        </w:rPr>
        <w:t xml:space="preserve">subject to this Order. </w:t>
      </w:r>
      <w:r w:rsidRPr="00900844">
        <w:rPr>
          <w:sz w:val="24"/>
          <w:szCs w:val="24"/>
        </w:rPr>
        <w:t>A winery is a facility that engages in any or all steps of processing grapes into wine, including, but not limited to</w:t>
      </w:r>
      <w:r>
        <w:rPr>
          <w:sz w:val="24"/>
          <w:szCs w:val="24"/>
        </w:rPr>
        <w:t>,</w:t>
      </w:r>
      <w:r w:rsidRPr="00900844">
        <w:rPr>
          <w:sz w:val="24"/>
          <w:szCs w:val="24"/>
        </w:rPr>
        <w:t xml:space="preserve"> crushing grapes to extract juice, fermentation, chemical manipulation, storage, aging, and bottling. Commercial, non-commercial, and residential wineries that perform all or part of the list above</w:t>
      </w:r>
      <w:r w:rsidR="00C166A3">
        <w:rPr>
          <w:sz w:val="24"/>
          <w:szCs w:val="24"/>
        </w:rPr>
        <w:t xml:space="preserve"> and discharge wastewater or winery solid waste to land</w:t>
      </w:r>
      <w:r w:rsidRPr="00900844">
        <w:rPr>
          <w:sz w:val="24"/>
          <w:szCs w:val="24"/>
        </w:rPr>
        <w:t xml:space="preserve"> must apply for coverage under this Order.</w:t>
      </w:r>
      <w:r w:rsidRPr="00900844">
        <w:rPr>
          <w:sz w:val="24"/>
          <w:szCs w:val="24"/>
        </w:rPr>
        <w:br/>
      </w:r>
    </w:p>
    <w:p w14:paraId="625DBB1F" w14:textId="0E2586C9" w:rsidR="00857F0A" w:rsidRDefault="0058704F"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sidRPr="00900844">
        <w:rPr>
          <w:b/>
          <w:sz w:val="24"/>
          <w:szCs w:val="24"/>
        </w:rPr>
        <w:t xml:space="preserve">Winery process waste is any or all waste associated with wine making, including both liquids and solids. </w:t>
      </w:r>
      <w:r w:rsidRPr="00900844">
        <w:rPr>
          <w:sz w:val="24"/>
          <w:szCs w:val="24"/>
        </w:rPr>
        <w:t>Winery process waste</w:t>
      </w:r>
      <w:r w:rsidR="008C28AE">
        <w:rPr>
          <w:sz w:val="24"/>
          <w:szCs w:val="24"/>
        </w:rPr>
        <w:t>water and solids</w:t>
      </w:r>
      <w:r w:rsidRPr="00900844">
        <w:rPr>
          <w:sz w:val="24"/>
          <w:szCs w:val="24"/>
        </w:rPr>
        <w:t xml:space="preserve"> </w:t>
      </w:r>
      <w:r w:rsidR="008C28AE">
        <w:rPr>
          <w:sz w:val="24"/>
          <w:szCs w:val="24"/>
        </w:rPr>
        <w:t>are</w:t>
      </w:r>
      <w:r w:rsidR="008C28AE" w:rsidRPr="00900844">
        <w:rPr>
          <w:sz w:val="24"/>
          <w:szCs w:val="24"/>
        </w:rPr>
        <w:t xml:space="preserve"> </w:t>
      </w:r>
      <w:r w:rsidRPr="00900844">
        <w:rPr>
          <w:sz w:val="24"/>
          <w:szCs w:val="24"/>
        </w:rPr>
        <w:t>generated by wineries in the course of wine production.  For purposes of this Order, “winery process waste</w:t>
      </w:r>
      <w:r w:rsidR="006A406F">
        <w:rPr>
          <w:sz w:val="24"/>
          <w:szCs w:val="24"/>
        </w:rPr>
        <w:t>water</w:t>
      </w:r>
      <w:r w:rsidRPr="00900844">
        <w:rPr>
          <w:sz w:val="24"/>
          <w:szCs w:val="24"/>
        </w:rPr>
        <w:t>” shall mean wastewater generated from wine production</w:t>
      </w:r>
      <w:r w:rsidR="008C28AE">
        <w:rPr>
          <w:sz w:val="24"/>
          <w:szCs w:val="24"/>
        </w:rPr>
        <w:t xml:space="preserve"> </w:t>
      </w:r>
      <w:r w:rsidRPr="00900844">
        <w:rPr>
          <w:sz w:val="24"/>
          <w:szCs w:val="24"/>
        </w:rPr>
        <w:t>processes. Winery process waste</w:t>
      </w:r>
      <w:r w:rsidR="008C28AE">
        <w:rPr>
          <w:sz w:val="24"/>
          <w:szCs w:val="24"/>
        </w:rPr>
        <w:t>water</w:t>
      </w:r>
      <w:r w:rsidRPr="00900844">
        <w:rPr>
          <w:sz w:val="24"/>
          <w:szCs w:val="24"/>
        </w:rPr>
        <w:t xml:space="preserve"> is any byproduct of winemaking operations, which includes, but is not limited to, the wastewater generated from grape crushing, processing, bottling, cleaning and washing, tank, barrel, and bottle rinse water, equipment or floor wash water, and lees (wine sediment), pomace (</w:t>
      </w:r>
      <w:r>
        <w:rPr>
          <w:sz w:val="24"/>
          <w:szCs w:val="24"/>
        </w:rPr>
        <w:t>i.e</w:t>
      </w:r>
      <w:r w:rsidRPr="00900844">
        <w:rPr>
          <w:sz w:val="24"/>
          <w:szCs w:val="24"/>
        </w:rPr>
        <w:t xml:space="preserve">., grape skins, stems, and seeds), stillage, cooling tower blowdown, and spilled product. Wastewater is also generated when </w:t>
      </w:r>
      <w:proofErr w:type="spellStart"/>
      <w:r w:rsidRPr="00900844">
        <w:rPr>
          <w:sz w:val="24"/>
          <w:szCs w:val="24"/>
        </w:rPr>
        <w:t>stormwater</w:t>
      </w:r>
      <w:proofErr w:type="spellEnd"/>
      <w:r w:rsidRPr="00900844">
        <w:rPr>
          <w:sz w:val="24"/>
          <w:szCs w:val="24"/>
        </w:rPr>
        <w:t xml:space="preserve"> falls on or runs across areas with exposure to winery raw materials, processes, products, equipment, and wa</w:t>
      </w:r>
      <w:r w:rsidR="0045506A">
        <w:rPr>
          <w:sz w:val="24"/>
          <w:szCs w:val="24"/>
        </w:rPr>
        <w:t>stes.</w:t>
      </w:r>
    </w:p>
    <w:p w14:paraId="2CA3D0CD" w14:textId="77777777" w:rsidR="00857F0A" w:rsidRDefault="00857F0A" w:rsidP="00857F0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b/>
          <w:sz w:val="24"/>
          <w:szCs w:val="24"/>
        </w:rPr>
      </w:pPr>
    </w:p>
    <w:p w14:paraId="7C95F24E" w14:textId="742E2DAF" w:rsidR="00857F0A" w:rsidRPr="00857F0A" w:rsidRDefault="008C28AE" w:rsidP="00857F0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r>
        <w:rPr>
          <w:sz w:val="24"/>
          <w:szCs w:val="24"/>
        </w:rPr>
        <w:t>Winery solid</w:t>
      </w:r>
      <w:r w:rsidR="00857F0A">
        <w:rPr>
          <w:sz w:val="24"/>
          <w:szCs w:val="24"/>
        </w:rPr>
        <w:t xml:space="preserve"> waste</w:t>
      </w:r>
      <w:r>
        <w:rPr>
          <w:sz w:val="24"/>
          <w:szCs w:val="24"/>
        </w:rPr>
        <w:t xml:space="preserve"> are</w:t>
      </w:r>
      <w:r w:rsidR="00857F0A">
        <w:rPr>
          <w:sz w:val="24"/>
          <w:szCs w:val="24"/>
        </w:rPr>
        <w:t xml:space="preserve"> the</w:t>
      </w:r>
      <w:r w:rsidRPr="00900844">
        <w:rPr>
          <w:sz w:val="24"/>
          <w:szCs w:val="24"/>
        </w:rPr>
        <w:t xml:space="preserve"> associated solids removed from the winery process wastewater stream</w:t>
      </w:r>
      <w:r w:rsidR="00857F0A">
        <w:rPr>
          <w:sz w:val="24"/>
          <w:szCs w:val="24"/>
        </w:rPr>
        <w:t xml:space="preserve"> and may include grape marc, lees, filtered solids, stalks, winery wastewater sludge, inorganic solids such as bentonite and diatomaceous earth, and residual solids.  </w:t>
      </w:r>
    </w:p>
    <w:p w14:paraId="51E5D61D" w14:textId="77777777" w:rsidR="008C28AE" w:rsidRDefault="008C28AE" w:rsidP="00857F0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p>
    <w:p w14:paraId="4AA6F854" w14:textId="5B6CA7D6" w:rsidR="008C28AE" w:rsidRPr="00900844" w:rsidRDefault="008C28AE"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Discharges of w</w:t>
      </w:r>
      <w:r w:rsidRPr="00900844">
        <w:rPr>
          <w:b/>
          <w:sz w:val="24"/>
          <w:szCs w:val="24"/>
        </w:rPr>
        <w:t xml:space="preserve">inery solid waste may also be covered under this </w:t>
      </w:r>
      <w:r>
        <w:rPr>
          <w:b/>
          <w:sz w:val="24"/>
          <w:szCs w:val="24"/>
        </w:rPr>
        <w:t>O</w:t>
      </w:r>
      <w:r w:rsidRPr="00900844">
        <w:rPr>
          <w:b/>
          <w:sz w:val="24"/>
          <w:szCs w:val="24"/>
        </w:rPr>
        <w:t>rder</w:t>
      </w:r>
      <w:r>
        <w:rPr>
          <w:b/>
          <w:sz w:val="24"/>
          <w:szCs w:val="24"/>
        </w:rPr>
        <w:t>. H</w:t>
      </w:r>
      <w:r w:rsidRPr="00900844">
        <w:rPr>
          <w:b/>
          <w:sz w:val="24"/>
          <w:szCs w:val="24"/>
        </w:rPr>
        <w:t xml:space="preserve">owever, </w:t>
      </w:r>
      <w:r>
        <w:rPr>
          <w:b/>
          <w:sz w:val="24"/>
          <w:szCs w:val="24"/>
        </w:rPr>
        <w:t>discharges of</w:t>
      </w:r>
      <w:r w:rsidRPr="00900844">
        <w:rPr>
          <w:b/>
          <w:sz w:val="24"/>
          <w:szCs w:val="24"/>
        </w:rPr>
        <w:t xml:space="preserve"> domestic waste solids </w:t>
      </w:r>
      <w:r w:rsidR="000F6C67">
        <w:rPr>
          <w:b/>
          <w:sz w:val="24"/>
          <w:szCs w:val="24"/>
        </w:rPr>
        <w:t xml:space="preserve">or any comingled solid waste </w:t>
      </w:r>
      <w:r w:rsidR="00857F0A">
        <w:rPr>
          <w:b/>
          <w:sz w:val="24"/>
          <w:szCs w:val="24"/>
        </w:rPr>
        <w:t>are</w:t>
      </w:r>
      <w:r w:rsidRPr="00900844">
        <w:rPr>
          <w:b/>
          <w:sz w:val="24"/>
          <w:szCs w:val="24"/>
        </w:rPr>
        <w:t xml:space="preserve"> not. </w:t>
      </w:r>
      <w:r w:rsidRPr="00900844">
        <w:rPr>
          <w:sz w:val="24"/>
          <w:szCs w:val="24"/>
        </w:rPr>
        <w:t>Solids removed from the winery process waste stream may also be discharged to land in accordance with the terms and conditions of the Order. The use or application of sewage sludge or solids generated from the treatment of domestic waste to land is not covered under this Order.</w:t>
      </w:r>
    </w:p>
    <w:p w14:paraId="30928D4A" w14:textId="77777777" w:rsidR="0058704F" w:rsidRPr="00900844" w:rsidRDefault="0058704F" w:rsidP="00CF654D">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585"/>
        <w:rPr>
          <w:snapToGrid w:val="0"/>
          <w:sz w:val="24"/>
          <w:szCs w:val="24"/>
        </w:rPr>
      </w:pPr>
    </w:p>
    <w:p w14:paraId="1E7B9C9F" w14:textId="26EA8A95" w:rsidR="00C166A3" w:rsidRDefault="002858B2"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 xml:space="preserve">Domestic wastewater </w:t>
      </w:r>
      <w:r w:rsidR="0058704F" w:rsidRPr="00900844">
        <w:rPr>
          <w:b/>
          <w:sz w:val="24"/>
          <w:szCs w:val="24"/>
        </w:rPr>
        <w:t xml:space="preserve">from wineries may be </w:t>
      </w:r>
      <w:r w:rsidR="00232A98">
        <w:rPr>
          <w:b/>
          <w:sz w:val="24"/>
          <w:szCs w:val="24"/>
        </w:rPr>
        <w:t>covered under this O</w:t>
      </w:r>
      <w:r w:rsidR="00AB3A1B">
        <w:rPr>
          <w:b/>
          <w:sz w:val="24"/>
          <w:szCs w:val="24"/>
        </w:rPr>
        <w:t>rder</w:t>
      </w:r>
      <w:r w:rsidR="0058704F" w:rsidRPr="00900844">
        <w:rPr>
          <w:b/>
          <w:sz w:val="24"/>
          <w:szCs w:val="24"/>
        </w:rPr>
        <w:t xml:space="preserve">. </w:t>
      </w:r>
      <w:r w:rsidR="0058704F" w:rsidRPr="00900844">
        <w:rPr>
          <w:sz w:val="24"/>
          <w:szCs w:val="24"/>
        </w:rPr>
        <w:t xml:space="preserve">Domestic wastewater is primarily composed of wastewater generated by winery personnel (including onsite residences) or visitors </w:t>
      </w:r>
      <w:r w:rsidR="0058704F">
        <w:rPr>
          <w:sz w:val="24"/>
          <w:szCs w:val="24"/>
        </w:rPr>
        <w:t xml:space="preserve">participating </w:t>
      </w:r>
      <w:r w:rsidR="0058704F" w:rsidRPr="00900844">
        <w:rPr>
          <w:sz w:val="24"/>
          <w:szCs w:val="24"/>
        </w:rPr>
        <w:t xml:space="preserve">in winery special events, tastings, tours, and similar activities. This Order provides coverage for discharges of domestic wastewater and winery process wastewater so long as domestic wastewater is </w:t>
      </w:r>
      <w:r w:rsidR="00C166A3">
        <w:rPr>
          <w:sz w:val="24"/>
          <w:szCs w:val="24"/>
        </w:rPr>
        <w:t>pre</w:t>
      </w:r>
      <w:r w:rsidR="0058704F" w:rsidRPr="00900844">
        <w:rPr>
          <w:sz w:val="24"/>
          <w:szCs w:val="24"/>
        </w:rPr>
        <w:t>treated separately from the winery wastewater</w:t>
      </w:r>
      <w:r w:rsidR="0045506A">
        <w:rPr>
          <w:sz w:val="24"/>
          <w:szCs w:val="24"/>
        </w:rPr>
        <w:t xml:space="preserve"> consistent with the requirements set forth herein</w:t>
      </w:r>
      <w:r w:rsidR="0058704F" w:rsidRPr="00900844">
        <w:rPr>
          <w:sz w:val="24"/>
          <w:szCs w:val="24"/>
        </w:rPr>
        <w:t xml:space="preserve">. </w:t>
      </w:r>
      <w:r w:rsidR="00C166A3">
        <w:rPr>
          <w:sz w:val="24"/>
          <w:szCs w:val="24"/>
        </w:rPr>
        <w:t xml:space="preserve">Domestic and winery wastewater can be combined if an onsite package wastewater treatment system is used for advanced treatment of the combined wastewater. </w:t>
      </w:r>
    </w:p>
    <w:p w14:paraId="195E4D8F" w14:textId="77777777" w:rsidR="00C166A3" w:rsidRDefault="00C166A3" w:rsidP="00C166A3">
      <w:pPr>
        <w:pStyle w:val="ListParagraph"/>
        <w:rPr>
          <w:szCs w:val="24"/>
        </w:rPr>
      </w:pPr>
    </w:p>
    <w:p w14:paraId="73931C31" w14:textId="77777777" w:rsidR="0045506A" w:rsidRPr="00900844" w:rsidRDefault="0045506A" w:rsidP="0045506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r>
        <w:rPr>
          <w:sz w:val="24"/>
          <w:szCs w:val="24"/>
        </w:rPr>
        <w:t>Discharges of w</w:t>
      </w:r>
      <w:r w:rsidRPr="00900844">
        <w:rPr>
          <w:sz w:val="24"/>
          <w:szCs w:val="24"/>
        </w:rPr>
        <w:t xml:space="preserve">aste associated with agricultural operations, such as irrigation return water, </w:t>
      </w:r>
      <w:r>
        <w:rPr>
          <w:sz w:val="24"/>
          <w:szCs w:val="24"/>
        </w:rPr>
        <w:t>are</w:t>
      </w:r>
      <w:r w:rsidRPr="00900844">
        <w:rPr>
          <w:sz w:val="24"/>
          <w:szCs w:val="24"/>
        </w:rPr>
        <w:t xml:space="preserve"> not permitted by this Order.</w:t>
      </w:r>
    </w:p>
    <w:p w14:paraId="13887321" w14:textId="77777777" w:rsidR="0058704F" w:rsidRPr="00900844" w:rsidRDefault="0058704F" w:rsidP="0058704F">
      <w:pPr>
        <w:rPr>
          <w:snapToGrid w:val="0"/>
        </w:rPr>
      </w:pPr>
    </w:p>
    <w:p w14:paraId="1D5CE1AE" w14:textId="742D15A5" w:rsidR="0058704F" w:rsidRPr="00900844" w:rsidRDefault="0058704F"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sidRPr="00900844">
        <w:rPr>
          <w:b/>
          <w:sz w:val="24"/>
          <w:szCs w:val="24"/>
        </w:rPr>
        <w:t xml:space="preserve">Winery operations in the Region vary greatly in production and waste volume. </w:t>
      </w:r>
      <w:r w:rsidRPr="00900844">
        <w:rPr>
          <w:sz w:val="24"/>
          <w:szCs w:val="24"/>
        </w:rPr>
        <w:t>Wineries range in size from home winemaking operations producing several hundred gallons of wine per year to large commercial operations producing millions of gallons of wine per year. This Order takes into account the diversity of conditions, such as location, treatment methods, and environmental setting, under which wineries operate within in the Region.</w:t>
      </w:r>
    </w:p>
    <w:p w14:paraId="0F4A9D9D" w14:textId="77777777" w:rsidR="0058704F" w:rsidRPr="00900844" w:rsidRDefault="0058704F" w:rsidP="00CF654D">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 w:val="24"/>
          <w:szCs w:val="24"/>
        </w:rPr>
      </w:pPr>
    </w:p>
    <w:p w14:paraId="3C8D5BDD" w14:textId="39FF48FD" w:rsidR="0058704F" w:rsidRPr="005E4B99" w:rsidRDefault="0058704F" w:rsidP="00CF654D">
      <w:pPr>
        <w:pStyle w:val="Agendanumber"/>
        <w:numPr>
          <w:ilvl w:val="0"/>
          <w:numId w:val="16"/>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sidRPr="00900844">
        <w:rPr>
          <w:b/>
          <w:sz w:val="24"/>
          <w:szCs w:val="24"/>
        </w:rPr>
        <w:t>The known inventory of wineries that will need coverage under th</w:t>
      </w:r>
      <w:r>
        <w:rPr>
          <w:b/>
          <w:sz w:val="24"/>
          <w:szCs w:val="24"/>
        </w:rPr>
        <w:t>e</w:t>
      </w:r>
      <w:r w:rsidRPr="00900844">
        <w:rPr>
          <w:b/>
          <w:sz w:val="24"/>
          <w:szCs w:val="24"/>
        </w:rPr>
        <w:t xml:space="preserve"> </w:t>
      </w:r>
      <w:r>
        <w:rPr>
          <w:b/>
          <w:sz w:val="24"/>
          <w:szCs w:val="24"/>
        </w:rPr>
        <w:t>O</w:t>
      </w:r>
      <w:r w:rsidRPr="00900844">
        <w:rPr>
          <w:b/>
          <w:sz w:val="24"/>
          <w:szCs w:val="24"/>
        </w:rPr>
        <w:t xml:space="preserve">rder is approximately 1,000. </w:t>
      </w:r>
      <w:r w:rsidRPr="00900844">
        <w:rPr>
          <w:sz w:val="24"/>
          <w:szCs w:val="24"/>
        </w:rPr>
        <w:t xml:space="preserve">The currently known list of wineries in the San Francisco Bay Region includes those that are currently permitted by </w:t>
      </w:r>
      <w:r>
        <w:rPr>
          <w:sz w:val="24"/>
          <w:szCs w:val="24"/>
        </w:rPr>
        <w:t>the Regional Water Board</w:t>
      </w:r>
      <w:r w:rsidRPr="00900844">
        <w:rPr>
          <w:sz w:val="24"/>
          <w:szCs w:val="24"/>
        </w:rPr>
        <w:t>, those which have applied for permit coverage, and those that are currently permitted by the counties.</w:t>
      </w:r>
    </w:p>
    <w:p w14:paraId="65DF59BA" w14:textId="77777777" w:rsidR="0067004A" w:rsidRPr="0003370C" w:rsidRDefault="0067004A" w:rsidP="006D5D71">
      <w:pPr>
        <w:pStyle w:val="Heading1"/>
        <w:numPr>
          <w:ilvl w:val="0"/>
          <w:numId w:val="0"/>
        </w:numPr>
        <w:ind w:left="720"/>
      </w:pPr>
    </w:p>
    <w:p w14:paraId="3C0FD309" w14:textId="2903D539" w:rsidR="00D94BE1" w:rsidRPr="000B4573" w:rsidRDefault="009D2826" w:rsidP="0070544E">
      <w:pPr>
        <w:pStyle w:val="Heading2"/>
      </w:pPr>
      <w:bookmarkStart w:id="3" w:name="_Toc487002334"/>
      <w:r w:rsidRPr="000B4573">
        <w:t>REGULATORY FRAMEWORK</w:t>
      </w:r>
      <w:bookmarkEnd w:id="3"/>
    </w:p>
    <w:p w14:paraId="281861FC" w14:textId="77777777" w:rsidR="005202D4" w:rsidRPr="005202D4" w:rsidRDefault="005202D4" w:rsidP="005202D4">
      <w:pPr>
        <w:pStyle w:val="OrderItem"/>
        <w:spacing w:after="0"/>
        <w:ind w:left="360" w:firstLine="0"/>
      </w:pPr>
      <w:bookmarkStart w:id="4" w:name="_Toc470706537"/>
      <w:bookmarkStart w:id="5" w:name="_Toc448403895"/>
    </w:p>
    <w:p w14:paraId="0B2FC264" w14:textId="19713C06" w:rsidR="00A95562" w:rsidRPr="0003370C" w:rsidRDefault="00A95562" w:rsidP="00063478">
      <w:pPr>
        <w:pStyle w:val="OrderItem"/>
        <w:numPr>
          <w:ilvl w:val="0"/>
          <w:numId w:val="6"/>
        </w:numPr>
      </w:pPr>
      <w:r w:rsidRPr="0003370C">
        <w:rPr>
          <w:b/>
        </w:rPr>
        <w:t>General Orders</w:t>
      </w:r>
      <w:r w:rsidR="00496F67">
        <w:t>.</w:t>
      </w:r>
      <w:r w:rsidRPr="0003370C">
        <w:t xml:space="preserve"> Water Code Section 13263(</w:t>
      </w:r>
      <w:proofErr w:type="spellStart"/>
      <w:r w:rsidRPr="0003370C">
        <w:t>i</w:t>
      </w:r>
      <w:proofErr w:type="spellEnd"/>
      <w:r w:rsidRPr="0003370C">
        <w:t xml:space="preserve">) allows a regional board to prescribe general waste discharge requirements for a category of discharges for which the following criteria are found to apply: </w:t>
      </w:r>
    </w:p>
    <w:p w14:paraId="42411C78" w14:textId="75A334D5" w:rsidR="00A95562" w:rsidRPr="0003370C" w:rsidRDefault="000B4573" w:rsidP="00D06C6C">
      <w:pPr>
        <w:pStyle w:val="OrderItem"/>
        <w:ind w:left="360" w:firstLine="0"/>
      </w:pPr>
      <w:r>
        <w:t>a</w:t>
      </w:r>
      <w:r w:rsidR="00D06C6C">
        <w:t>.</w:t>
      </w:r>
      <w:r w:rsidR="00D06C6C">
        <w:tab/>
      </w:r>
      <w:r w:rsidR="00A95562" w:rsidRPr="0003370C">
        <w:t>The discharges are produced by same or similar operations;</w:t>
      </w:r>
    </w:p>
    <w:p w14:paraId="56EDEC87" w14:textId="497A1459" w:rsidR="00A95562" w:rsidRPr="0003370C" w:rsidRDefault="000B4573" w:rsidP="00D06C6C">
      <w:pPr>
        <w:pStyle w:val="OrderItem"/>
        <w:ind w:left="360" w:firstLine="0"/>
      </w:pPr>
      <w:r>
        <w:t>b</w:t>
      </w:r>
      <w:r w:rsidR="00D06C6C">
        <w:t>.</w:t>
      </w:r>
      <w:r w:rsidR="00D06C6C">
        <w:tab/>
      </w:r>
      <w:r w:rsidR="00A95562" w:rsidRPr="0003370C">
        <w:t>The discharges involve the same or similar types of waste;</w:t>
      </w:r>
    </w:p>
    <w:p w14:paraId="0097D515" w14:textId="1393F653" w:rsidR="00A95562" w:rsidRPr="0003370C" w:rsidRDefault="000B4573" w:rsidP="00D06C6C">
      <w:pPr>
        <w:pStyle w:val="OrderItem"/>
        <w:ind w:left="360" w:firstLine="0"/>
      </w:pPr>
      <w:r>
        <w:t>c</w:t>
      </w:r>
      <w:r w:rsidR="00D06C6C">
        <w:t>.</w:t>
      </w:r>
      <w:r w:rsidR="00D06C6C">
        <w:tab/>
      </w:r>
      <w:r w:rsidR="00A95562" w:rsidRPr="0003370C">
        <w:t xml:space="preserve">The discharges involve the same or similar treatment standards; and </w:t>
      </w:r>
    </w:p>
    <w:p w14:paraId="5BD63888" w14:textId="0A5675C8" w:rsidR="00A95562" w:rsidRDefault="000B4573" w:rsidP="005A3CE8">
      <w:pPr>
        <w:pStyle w:val="OrderItem"/>
        <w:spacing w:after="0"/>
        <w:ind w:left="720" w:hanging="360"/>
      </w:pPr>
      <w:r>
        <w:t>d</w:t>
      </w:r>
      <w:r w:rsidR="00D06C6C">
        <w:t>.</w:t>
      </w:r>
      <w:r w:rsidR="00D06C6C">
        <w:tab/>
      </w:r>
      <w:r w:rsidR="00A95562" w:rsidRPr="0003370C">
        <w:t>The discharges are more appropriately regulated under general discharge requirements than individual discharge requirements.</w:t>
      </w:r>
    </w:p>
    <w:p w14:paraId="6D219C71" w14:textId="77777777" w:rsidR="00F04A0A" w:rsidRPr="0003370C" w:rsidRDefault="00F04A0A" w:rsidP="00F04A0A">
      <w:pPr>
        <w:pStyle w:val="OrderItem"/>
        <w:spacing w:after="0"/>
        <w:ind w:left="720" w:hanging="360"/>
      </w:pPr>
    </w:p>
    <w:p w14:paraId="6F4C76D5" w14:textId="765E2C42" w:rsidR="00A95562" w:rsidRPr="0003370C" w:rsidRDefault="00A95562" w:rsidP="00063478">
      <w:pPr>
        <w:pStyle w:val="OrderItem"/>
        <w:numPr>
          <w:ilvl w:val="0"/>
          <w:numId w:val="6"/>
        </w:numPr>
      </w:pPr>
      <w:r w:rsidRPr="0003370C">
        <w:rPr>
          <w:b/>
        </w:rPr>
        <w:t xml:space="preserve">Use of a </w:t>
      </w:r>
      <w:r w:rsidR="0019580E" w:rsidRPr="0003370C">
        <w:rPr>
          <w:b/>
        </w:rPr>
        <w:t>g</w:t>
      </w:r>
      <w:r w:rsidRPr="0003370C">
        <w:rPr>
          <w:b/>
        </w:rPr>
        <w:t xml:space="preserve">eneral </w:t>
      </w:r>
      <w:r w:rsidR="0019580E" w:rsidRPr="0003370C">
        <w:rPr>
          <w:b/>
        </w:rPr>
        <w:t>o</w:t>
      </w:r>
      <w:r w:rsidRPr="0003370C">
        <w:rPr>
          <w:b/>
        </w:rPr>
        <w:t>rder to regulate wineries</w:t>
      </w:r>
      <w:r w:rsidR="00496F67">
        <w:t>.</w:t>
      </w:r>
      <w:r w:rsidRPr="0003370C">
        <w:t xml:space="preserve"> </w:t>
      </w:r>
      <w:r w:rsidR="00CF0697">
        <w:t xml:space="preserve">The </w:t>
      </w:r>
      <w:r w:rsidR="00190CAF">
        <w:t>Regional Water Board</w:t>
      </w:r>
      <w:r w:rsidR="00CF0697">
        <w:t xml:space="preserve"> may</w:t>
      </w:r>
      <w:r w:rsidR="0019580E" w:rsidRPr="0003370C">
        <w:t xml:space="preserve"> use a general order to regulate wineries because wineries fit the criteria established for general orders. </w:t>
      </w:r>
      <w:r w:rsidRPr="0003370C">
        <w:t>The discharges of winery waste to land that are subject to this Order have certain common characteristics, such as similar sources, constituents, constituent</w:t>
      </w:r>
      <w:r w:rsidR="00CF0697">
        <w:t xml:space="preserve"> concentrations</w:t>
      </w:r>
      <w:r w:rsidRPr="0003370C">
        <w:t>, treatment processes, and di</w:t>
      </w:r>
      <w:r w:rsidR="00731573">
        <w:t>scharge</w:t>
      </w:r>
      <w:r w:rsidRPr="0003370C">
        <w:t xml:space="preserve"> methods.  Similar treatment standards and discharge requirements are applicable to these discharges because of the similarities among winery practices and discharges.  Use of a </w:t>
      </w:r>
      <w:r w:rsidR="00CF0697">
        <w:t>g</w:t>
      </w:r>
      <w:r w:rsidRPr="0003370C">
        <w:t xml:space="preserve">eneral </w:t>
      </w:r>
      <w:r w:rsidR="00CF0697">
        <w:t>o</w:t>
      </w:r>
      <w:r w:rsidRPr="0003370C">
        <w:t>rder is an appropriate and efficient regulatory tool to regulate the large number of wineries in the region.</w:t>
      </w:r>
    </w:p>
    <w:p w14:paraId="2DCFB3BD" w14:textId="0168FEE6" w:rsidR="0076015E" w:rsidRDefault="0076015E" w:rsidP="00063478">
      <w:pPr>
        <w:pStyle w:val="OrderItem"/>
        <w:numPr>
          <w:ilvl w:val="0"/>
          <w:numId w:val="6"/>
        </w:numPr>
      </w:pPr>
      <w:r w:rsidRPr="00D72702">
        <w:rPr>
          <w:b/>
        </w:rPr>
        <w:t xml:space="preserve">Water Quality Control Plan for the San Francisco Bay </w:t>
      </w:r>
      <w:r w:rsidR="0019580E" w:rsidRPr="00D72702">
        <w:rPr>
          <w:b/>
        </w:rPr>
        <w:t>(</w:t>
      </w:r>
      <w:r w:rsidRPr="00D72702">
        <w:rPr>
          <w:b/>
        </w:rPr>
        <w:t>Basin Plan</w:t>
      </w:r>
      <w:r w:rsidR="0019580E" w:rsidRPr="00D72702">
        <w:rPr>
          <w:b/>
        </w:rPr>
        <w:t>)</w:t>
      </w:r>
      <w:r w:rsidR="004E7107" w:rsidRPr="00D72702">
        <w:rPr>
          <w:b/>
        </w:rPr>
        <w:t>.</w:t>
      </w:r>
      <w:r w:rsidR="0019580E" w:rsidRPr="00D72702">
        <w:rPr>
          <w:b/>
        </w:rPr>
        <w:t xml:space="preserve"> </w:t>
      </w:r>
      <w:r w:rsidRPr="0003370C">
        <w:t>The Water Quality Control Plan for the San Francisco Bay Basin (Basin Plan) is the Regional Water Board’s master water quality control planning document</w:t>
      </w:r>
      <w:r w:rsidR="0019580E" w:rsidRPr="0003370C">
        <w:t xml:space="preserve">. This </w:t>
      </w:r>
      <w:r w:rsidR="00CF0697">
        <w:t>O</w:t>
      </w:r>
      <w:r w:rsidR="0019580E" w:rsidRPr="0003370C">
        <w:t xml:space="preserve">rder incorporates Basin Plan requirements </w:t>
      </w:r>
      <w:r w:rsidR="00341301">
        <w:t>to</w:t>
      </w:r>
      <w:r w:rsidR="0019580E" w:rsidRPr="0003370C">
        <w:t xml:space="preserve"> protect the beneficial uses of groundwater throughout the Region</w:t>
      </w:r>
      <w:r w:rsidRPr="0003370C">
        <w:t xml:space="preserve">. </w:t>
      </w:r>
    </w:p>
    <w:p w14:paraId="7A429958" w14:textId="1A770140" w:rsidR="004B5DD5" w:rsidRPr="0003370C" w:rsidRDefault="002858B2" w:rsidP="004B5DD5">
      <w:pPr>
        <w:pStyle w:val="ListParagraph"/>
        <w:numPr>
          <w:ilvl w:val="0"/>
          <w:numId w:val="6"/>
        </w:numPr>
        <w:spacing w:after="120"/>
        <w:contextualSpacing w:val="0"/>
      </w:pPr>
      <w:r>
        <w:rPr>
          <w:b/>
          <w:bCs/>
        </w:rPr>
        <w:t>Basin Plan groundwater beneficial u</w:t>
      </w:r>
      <w:r w:rsidR="004B5DD5" w:rsidRPr="0003370C">
        <w:rPr>
          <w:b/>
          <w:bCs/>
        </w:rPr>
        <w:t>ses.</w:t>
      </w:r>
      <w:r w:rsidR="004B5DD5" w:rsidRPr="0003370C">
        <w:t xml:space="preserve"> Existing and potential beneficial uses applicable to </w:t>
      </w:r>
      <w:r w:rsidR="004B5DD5" w:rsidRPr="004E7107">
        <w:rPr>
          <w:bCs/>
        </w:rPr>
        <w:t>groundwater</w:t>
      </w:r>
      <w:r w:rsidR="004B5DD5" w:rsidRPr="0003370C">
        <w:t xml:space="preserve"> in the Region</w:t>
      </w:r>
      <w:r w:rsidR="004B5DD5">
        <w:t>,</w:t>
      </w:r>
      <w:r w:rsidR="004B5DD5" w:rsidRPr="0003370C">
        <w:t xml:space="preserve"> as stated in </w:t>
      </w:r>
      <w:r w:rsidR="004B5DD5">
        <w:t xml:space="preserve">Basin Plan </w:t>
      </w:r>
      <w:r w:rsidR="004B5DD5" w:rsidRPr="0003370C">
        <w:t>Section 2.2.2 and Table 2-2</w:t>
      </w:r>
      <w:r w:rsidR="004B5DD5">
        <w:t>,</w:t>
      </w:r>
      <w:r w:rsidR="004B5DD5" w:rsidRPr="0003370C">
        <w:t xml:space="preserve"> are comprised of the following:</w:t>
      </w:r>
    </w:p>
    <w:p w14:paraId="6801C1A6" w14:textId="77777777" w:rsidR="004B5DD5" w:rsidRPr="0003370C" w:rsidRDefault="004B5DD5" w:rsidP="004B5DD5">
      <w:pPr>
        <w:pStyle w:val="OrderItem"/>
        <w:ind w:left="450" w:firstLine="0"/>
      </w:pPr>
      <w:r>
        <w:t>a.</w:t>
      </w:r>
      <w:r>
        <w:tab/>
      </w:r>
      <w:r w:rsidRPr="0003370C">
        <w:t xml:space="preserve">Municipal and domestic water supply </w:t>
      </w:r>
      <w:r w:rsidRPr="0003370C">
        <w:tab/>
      </w:r>
      <w:r w:rsidRPr="0003370C">
        <w:tab/>
        <w:t>(MUN)</w:t>
      </w:r>
    </w:p>
    <w:p w14:paraId="266EEF1F" w14:textId="77777777" w:rsidR="004B5DD5" w:rsidRPr="0003370C" w:rsidRDefault="004B5DD5" w:rsidP="004B5DD5">
      <w:pPr>
        <w:pStyle w:val="OrderItem"/>
        <w:ind w:left="450" w:firstLine="0"/>
      </w:pPr>
      <w:r>
        <w:t>b.</w:t>
      </w:r>
      <w:r>
        <w:tab/>
      </w:r>
      <w:r w:rsidRPr="0003370C">
        <w:t xml:space="preserve">Industrial water supply </w:t>
      </w:r>
      <w:r w:rsidRPr="0003370C">
        <w:tab/>
      </w:r>
      <w:r w:rsidRPr="0003370C">
        <w:tab/>
      </w:r>
      <w:r w:rsidRPr="0003370C">
        <w:tab/>
      </w:r>
      <w:r w:rsidRPr="0003370C">
        <w:tab/>
        <w:t>(IND)</w:t>
      </w:r>
    </w:p>
    <w:p w14:paraId="08D84EBC" w14:textId="77777777" w:rsidR="004B5DD5" w:rsidRPr="0003370C" w:rsidRDefault="004B5DD5" w:rsidP="004B5DD5">
      <w:pPr>
        <w:pStyle w:val="OrderItem"/>
        <w:ind w:left="450" w:firstLine="0"/>
      </w:pPr>
      <w:r>
        <w:t>c.</w:t>
      </w:r>
      <w:r>
        <w:tab/>
      </w:r>
      <w:r w:rsidRPr="0003370C">
        <w:t xml:space="preserve">Industrial process supply </w:t>
      </w:r>
      <w:r w:rsidRPr="0003370C">
        <w:tab/>
      </w:r>
      <w:r w:rsidRPr="0003370C">
        <w:tab/>
      </w:r>
      <w:r w:rsidRPr="0003370C">
        <w:tab/>
      </w:r>
      <w:r w:rsidRPr="0003370C">
        <w:tab/>
        <w:t>(PRO)</w:t>
      </w:r>
    </w:p>
    <w:p w14:paraId="6D5126EF" w14:textId="77777777" w:rsidR="004B5DD5" w:rsidRPr="0003370C" w:rsidRDefault="004B5DD5" w:rsidP="004B5DD5">
      <w:pPr>
        <w:pStyle w:val="OrderItem"/>
        <w:ind w:left="450" w:firstLine="0"/>
      </w:pPr>
      <w:r>
        <w:t>d.</w:t>
      </w:r>
      <w:r>
        <w:tab/>
      </w:r>
      <w:r w:rsidRPr="0003370C">
        <w:t xml:space="preserve">Agricultural water supply </w:t>
      </w:r>
      <w:r w:rsidRPr="0003370C">
        <w:tab/>
      </w:r>
      <w:r w:rsidRPr="0003370C">
        <w:tab/>
      </w:r>
      <w:r w:rsidRPr="0003370C">
        <w:tab/>
      </w:r>
      <w:r w:rsidRPr="0003370C">
        <w:tab/>
        <w:t>(AGR)</w:t>
      </w:r>
    </w:p>
    <w:p w14:paraId="5D4F9835" w14:textId="77777777" w:rsidR="004B5DD5" w:rsidRPr="0003370C" w:rsidRDefault="004B5DD5" w:rsidP="004B5DD5">
      <w:pPr>
        <w:pStyle w:val="OrderItem"/>
        <w:ind w:left="450" w:firstLine="0"/>
      </w:pPr>
      <w:r>
        <w:t>e.</w:t>
      </w:r>
      <w:r>
        <w:tab/>
      </w:r>
      <w:r w:rsidRPr="0003370C">
        <w:t xml:space="preserve">Groundwater recharge </w:t>
      </w:r>
      <w:r w:rsidRPr="0003370C">
        <w:tab/>
      </w:r>
      <w:r w:rsidRPr="0003370C">
        <w:tab/>
      </w:r>
      <w:r w:rsidRPr="0003370C">
        <w:tab/>
      </w:r>
      <w:r w:rsidRPr="0003370C">
        <w:tab/>
        <w:t>(GWR)</w:t>
      </w:r>
    </w:p>
    <w:p w14:paraId="518F0CFC" w14:textId="77777777" w:rsidR="004B5DD5" w:rsidRPr="0003370C" w:rsidRDefault="004B5DD5" w:rsidP="004B5DD5">
      <w:pPr>
        <w:pStyle w:val="OrderItem"/>
        <w:ind w:left="450" w:firstLine="0"/>
      </w:pPr>
      <w:r>
        <w:t>f.</w:t>
      </w:r>
      <w:r>
        <w:tab/>
      </w:r>
      <w:r w:rsidRPr="0003370C">
        <w:t>Freshwater re</w:t>
      </w:r>
      <w:r>
        <w:t xml:space="preserve">plenishment to surface waters </w:t>
      </w:r>
      <w:r>
        <w:tab/>
      </w:r>
      <w:r>
        <w:tab/>
      </w:r>
      <w:r w:rsidRPr="0003370C">
        <w:t>(FRESH)</w:t>
      </w:r>
    </w:p>
    <w:p w14:paraId="77F1F051" w14:textId="4DF6E7B7" w:rsidR="004B5DD5" w:rsidRPr="0003370C" w:rsidRDefault="003F28D0" w:rsidP="004B5DD5">
      <w:pPr>
        <w:pStyle w:val="OrderItem"/>
        <w:spacing w:after="0"/>
        <w:ind w:left="360" w:firstLine="0"/>
        <w:rPr>
          <w:szCs w:val="24"/>
        </w:rPr>
      </w:pPr>
      <w:hyperlink r:id="rId9" w:history="1">
        <w:r w:rsidR="004B5DD5" w:rsidRPr="0003370C">
          <w:rPr>
            <w:rStyle w:val="Hyperlink"/>
            <w:rFonts w:eastAsiaTheme="majorEastAsia"/>
          </w:rPr>
          <w:t>Table 2-2</w:t>
        </w:r>
      </w:hyperlink>
      <w:r w:rsidR="004B5DD5" w:rsidRPr="0003370C">
        <w:rPr>
          <w:szCs w:val="24"/>
        </w:rPr>
        <w:t xml:space="preserve"> of the Basin Plan lists existing and potential beneficial uses of the 28 identified groundwater basins and seven sub-basins located in the Region that produce, or potentially could produce, significant amounts of groundwater. </w:t>
      </w:r>
      <w:r w:rsidR="004B5DD5" w:rsidRPr="004B5DD5">
        <w:rPr>
          <w:b/>
          <w:szCs w:val="24"/>
        </w:rPr>
        <w:t>Figure 2-2</w:t>
      </w:r>
      <w:r w:rsidR="004B5DD5" w:rsidRPr="0003370C">
        <w:rPr>
          <w:szCs w:val="24"/>
        </w:rPr>
        <w:t xml:space="preserve"> of this Order states the existing and potential beneficial uses of the groundwater basins in the Region.</w:t>
      </w:r>
      <w:r w:rsidR="004B5DD5">
        <w:rPr>
          <w:szCs w:val="24"/>
        </w:rPr>
        <w:t xml:space="preserve"> </w:t>
      </w:r>
      <w:r w:rsidR="004B5DD5" w:rsidRPr="0003370C">
        <w:rPr>
          <w:szCs w:val="24"/>
        </w:rPr>
        <w:t>Unless otherwise designated by the Regional Water Board, all groundwater is considered suitable, or potentially suitable, for municipal or domestic water supply.</w:t>
      </w:r>
      <w:r w:rsidR="004B5DD5">
        <w:rPr>
          <w:szCs w:val="24"/>
        </w:rPr>
        <w:br/>
      </w:r>
    </w:p>
    <w:p w14:paraId="650C4100" w14:textId="7DBA2691" w:rsidR="0076015E" w:rsidRPr="0003370C" w:rsidRDefault="008425F6" w:rsidP="00063478">
      <w:pPr>
        <w:pStyle w:val="ListParagraph"/>
        <w:numPr>
          <w:ilvl w:val="0"/>
          <w:numId w:val="6"/>
        </w:numPr>
      </w:pPr>
      <w:r w:rsidRPr="0003370C">
        <w:rPr>
          <w:b/>
        </w:rPr>
        <w:t xml:space="preserve">Conflicts between </w:t>
      </w:r>
      <w:r w:rsidR="00341301">
        <w:rPr>
          <w:b/>
        </w:rPr>
        <w:t xml:space="preserve">the </w:t>
      </w:r>
      <w:r w:rsidRPr="0003370C">
        <w:rPr>
          <w:b/>
        </w:rPr>
        <w:t xml:space="preserve">Order and </w:t>
      </w:r>
      <w:r w:rsidR="00341301">
        <w:rPr>
          <w:b/>
        </w:rPr>
        <w:t>the</w:t>
      </w:r>
      <w:r w:rsidRPr="0003370C">
        <w:rPr>
          <w:b/>
        </w:rPr>
        <w:t xml:space="preserve"> Basin Plan</w:t>
      </w:r>
      <w:r w:rsidR="004E7107">
        <w:rPr>
          <w:b/>
        </w:rPr>
        <w:t xml:space="preserve"> will be resolved by choosing the most stringent requirement</w:t>
      </w:r>
      <w:r w:rsidR="004E7107">
        <w:t xml:space="preserve">. </w:t>
      </w:r>
      <w:r w:rsidR="0076015E" w:rsidRPr="0003370C">
        <w:t>This Order establishes minimum standards for discharges of winery waste to land, and requires Dischargers to comply with these standards, and, where applicable, any more stringent standards or requirements set forth in the Basin Plan. In the event of a conflict between the provisions of this Order and the Basin Plan, the more stringent provision prevails.</w:t>
      </w:r>
    </w:p>
    <w:p w14:paraId="22268274" w14:textId="77777777" w:rsidR="0076015E" w:rsidRPr="0003370C" w:rsidRDefault="0076015E" w:rsidP="00CF654D">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585"/>
        <w:rPr>
          <w:snapToGrid w:val="0"/>
        </w:rPr>
      </w:pPr>
    </w:p>
    <w:bookmarkEnd w:id="4"/>
    <w:p w14:paraId="4F32286E" w14:textId="43B42773" w:rsidR="00810D2D" w:rsidRPr="0045506A" w:rsidRDefault="002E77EE" w:rsidP="00B51DD6">
      <w:pPr>
        <w:pStyle w:val="ListParagraph"/>
        <w:numPr>
          <w:ilvl w:val="0"/>
          <w:numId w:val="6"/>
        </w:numPr>
        <w:rPr>
          <w:snapToGrid w:val="0"/>
        </w:rPr>
      </w:pPr>
      <w:r w:rsidRPr="0045506A">
        <w:rPr>
          <w:b/>
        </w:rPr>
        <w:t>Onsite Wastewater Treatment System Policy</w:t>
      </w:r>
      <w:r w:rsidR="004E7107" w:rsidRPr="0045506A">
        <w:rPr>
          <w:b/>
        </w:rPr>
        <w:t>.</w:t>
      </w:r>
      <w:r w:rsidRPr="0045506A">
        <w:rPr>
          <w:b/>
        </w:rPr>
        <w:t xml:space="preserve"> </w:t>
      </w:r>
      <w:r w:rsidRPr="0003370C">
        <w:t xml:space="preserve">The statewide Onsite Wastewater Treatment System </w:t>
      </w:r>
      <w:r w:rsidR="00B51DD6">
        <w:t xml:space="preserve">Policy (OWTS Policy) is a </w:t>
      </w:r>
      <w:r w:rsidRPr="0003370C">
        <w:t>driver for the establishment of this Order</w:t>
      </w:r>
      <w:r w:rsidR="00341301">
        <w:t>. The OWTS Policy</w:t>
      </w:r>
      <w:r w:rsidR="00B51DD6">
        <w:t xml:space="preserve"> </w:t>
      </w:r>
      <w:r w:rsidR="00B51DD6" w:rsidRPr="00B51DD6">
        <w:t xml:space="preserve">does not authorize local agencies to permit </w:t>
      </w:r>
      <w:r w:rsidR="00B51DD6">
        <w:t>onsite wastewater treatment systems</w:t>
      </w:r>
      <w:r w:rsidR="00B51DD6" w:rsidRPr="00B51DD6">
        <w:t xml:space="preserve"> that accept industrial or commercial process water</w:t>
      </w:r>
      <w:r w:rsidR="00810D2D">
        <w:t>. This represents a</w:t>
      </w:r>
      <w:r w:rsidRPr="0003370C">
        <w:t xml:space="preserve"> change in practice in </w:t>
      </w:r>
      <w:r w:rsidR="00341301">
        <w:t>the San Francisco Bay</w:t>
      </w:r>
      <w:r w:rsidRPr="0003370C">
        <w:t xml:space="preserve"> Region</w:t>
      </w:r>
      <w:r w:rsidR="00341301">
        <w:t>,</w:t>
      </w:r>
      <w:r w:rsidRPr="0003370C">
        <w:t xml:space="preserve"> where the majority of winery wastewater discharges to land have been regulated by the County</w:t>
      </w:r>
      <w:r w:rsidR="00341301">
        <w:t xml:space="preserve"> in which a winery is located, under </w:t>
      </w:r>
      <w:r w:rsidR="00B51DD6">
        <w:t xml:space="preserve">either </w:t>
      </w:r>
      <w:r w:rsidR="00341301">
        <w:t>a Memorandum of Understanding with the Regional Water Board</w:t>
      </w:r>
      <w:r w:rsidR="00B51DD6">
        <w:t xml:space="preserve"> or via waivers of WDRs</w:t>
      </w:r>
      <w:r w:rsidRPr="0003370C">
        <w:t>.</w:t>
      </w:r>
      <w:r w:rsidR="00341301">
        <w:t xml:space="preserve"> </w:t>
      </w:r>
    </w:p>
    <w:p w14:paraId="45EA64D6" w14:textId="77777777" w:rsidR="0045506A" w:rsidRPr="0045506A" w:rsidRDefault="0045506A" w:rsidP="0045506A">
      <w:pPr>
        <w:pStyle w:val="ListParagraph"/>
        <w:rPr>
          <w:snapToGrid w:val="0"/>
        </w:rPr>
      </w:pPr>
    </w:p>
    <w:p w14:paraId="1C18926F" w14:textId="38F0ED83" w:rsidR="00061096" w:rsidRPr="001B786B" w:rsidRDefault="00FE3402" w:rsidP="00063478">
      <w:pPr>
        <w:pStyle w:val="ListParagraph"/>
        <w:numPr>
          <w:ilvl w:val="0"/>
          <w:numId w:val="6"/>
        </w:numPr>
        <w:rPr>
          <w:snapToGrid w:val="0"/>
        </w:rPr>
      </w:pPr>
      <w:r w:rsidRPr="001B786B">
        <w:rPr>
          <w:b/>
        </w:rPr>
        <w:t xml:space="preserve">Wineries </w:t>
      </w:r>
      <w:r w:rsidR="00341301">
        <w:rPr>
          <w:b/>
        </w:rPr>
        <w:t xml:space="preserve">produce </w:t>
      </w:r>
      <w:r w:rsidRPr="001B786B">
        <w:rPr>
          <w:b/>
        </w:rPr>
        <w:t>high-strength wastewater</w:t>
      </w:r>
      <w:r w:rsidR="004E7107" w:rsidRPr="001B786B">
        <w:rPr>
          <w:b/>
        </w:rPr>
        <w:t>.</w:t>
      </w:r>
      <w:r w:rsidRPr="001B786B">
        <w:rPr>
          <w:b/>
        </w:rPr>
        <w:t xml:space="preserve"> </w:t>
      </w:r>
      <w:r w:rsidR="004B5DD5">
        <w:t xml:space="preserve">Since </w:t>
      </w:r>
      <w:r w:rsidRPr="0003370C">
        <w:t xml:space="preserve">wineries </w:t>
      </w:r>
      <w:r w:rsidR="00341301">
        <w:t xml:space="preserve">produce </w:t>
      </w:r>
      <w:r w:rsidRPr="0003370C">
        <w:t>high-strength wastewater</w:t>
      </w:r>
      <w:r w:rsidR="00341301">
        <w:t xml:space="preserve"> as defined by the OWTS Policy</w:t>
      </w:r>
      <w:r w:rsidRPr="0003370C">
        <w:t xml:space="preserve">, they are required to be directly regulated by the Regional Water Boards. </w:t>
      </w:r>
    </w:p>
    <w:p w14:paraId="4F4AC5B6" w14:textId="77777777" w:rsidR="001B786B" w:rsidRPr="001B786B" w:rsidRDefault="001B786B" w:rsidP="001B786B">
      <w:pPr>
        <w:ind w:left="0"/>
        <w:rPr>
          <w:snapToGrid w:val="0"/>
        </w:rPr>
      </w:pPr>
    </w:p>
    <w:p w14:paraId="75B66FE8" w14:textId="3CA51367" w:rsidR="00061096" w:rsidRPr="0003370C" w:rsidRDefault="00341301" w:rsidP="00063478">
      <w:pPr>
        <w:pStyle w:val="ListParagraph"/>
        <w:numPr>
          <w:ilvl w:val="0"/>
          <w:numId w:val="6"/>
        </w:numPr>
      </w:pPr>
      <w:r>
        <w:rPr>
          <w:b/>
        </w:rPr>
        <w:t>Counties can effectively regulate winery discharges with programs that meet the standards set forth in this Order.</w:t>
      </w:r>
      <w:r w:rsidR="0076015E" w:rsidRPr="0003370C">
        <w:t xml:space="preserve"> </w:t>
      </w:r>
      <w:r>
        <w:t xml:space="preserve">County </w:t>
      </w:r>
      <w:r w:rsidR="0076015E" w:rsidRPr="0003370C">
        <w:t xml:space="preserve">oversight </w:t>
      </w:r>
      <w:r>
        <w:t xml:space="preserve">of winery wastewater discharges can be effective </w:t>
      </w:r>
      <w:r w:rsidR="0076015E" w:rsidRPr="0003370C">
        <w:t xml:space="preserve">when that local county has a highly developed existing regulatory program for </w:t>
      </w:r>
      <w:r>
        <w:t xml:space="preserve">those </w:t>
      </w:r>
      <w:r w:rsidR="0076015E" w:rsidRPr="0003370C">
        <w:t xml:space="preserve">discharges </w:t>
      </w:r>
      <w:r>
        <w:t>that meets the standards set forth in this Order</w:t>
      </w:r>
      <w:r w:rsidR="0076015E" w:rsidRPr="0003370C">
        <w:t xml:space="preserve"> (see below discussion on Tier Three).</w:t>
      </w:r>
    </w:p>
    <w:p w14:paraId="72F01156" w14:textId="77777777" w:rsidR="00061096" w:rsidRPr="0003370C" w:rsidRDefault="00061096" w:rsidP="00CF654D">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585"/>
      </w:pPr>
    </w:p>
    <w:p w14:paraId="4000B7C5" w14:textId="2AFFC8E4" w:rsidR="00823C44" w:rsidRDefault="0076015E" w:rsidP="00823C44">
      <w:pPr>
        <w:pStyle w:val="ListParagraph"/>
        <w:numPr>
          <w:ilvl w:val="0"/>
          <w:numId w:val="6"/>
        </w:numPr>
      </w:pPr>
      <w:r w:rsidRPr="0003370C">
        <w:rPr>
          <w:b/>
        </w:rPr>
        <w:t>Three tiers of regulation</w:t>
      </w:r>
      <w:r w:rsidR="004E7107">
        <w:rPr>
          <w:b/>
        </w:rPr>
        <w:t>.</w:t>
      </w:r>
      <w:r w:rsidR="00CA46E9" w:rsidRPr="0003370C">
        <w:rPr>
          <w:b/>
        </w:rPr>
        <w:t xml:space="preserve"> </w:t>
      </w:r>
      <w:r w:rsidRPr="0003370C">
        <w:t xml:space="preserve">This Order has three tiers, which allows reasonable and effective regulation of the range of winery </w:t>
      </w:r>
      <w:r w:rsidR="00CA46E9" w:rsidRPr="0003370C">
        <w:t xml:space="preserve">wastewater </w:t>
      </w:r>
      <w:r w:rsidRPr="0003370C">
        <w:t>facilities in the Region.</w:t>
      </w:r>
      <w:r w:rsidR="00CA46E9" w:rsidRPr="0003370C">
        <w:t xml:space="preserve"> </w:t>
      </w:r>
      <w:r w:rsidRPr="0003370C">
        <w:t xml:space="preserve">Tier One </w:t>
      </w:r>
      <w:r w:rsidR="004B5DD5">
        <w:t>covers</w:t>
      </w:r>
      <w:r w:rsidR="00AD73E3">
        <w:t xml:space="preserve"> </w:t>
      </w:r>
      <w:r w:rsidR="00823C44">
        <w:t>low</w:t>
      </w:r>
      <w:r w:rsidR="00AD73E3">
        <w:t>er</w:t>
      </w:r>
      <w:r w:rsidR="00823C44">
        <w:t xml:space="preserve"> volume discharges. Lower volumes of winery wastewater may be dealt with more easily than large volumes and generally require less treatment because the environment is generally more able to assimilate smaller loads of nutrients and organics.</w:t>
      </w:r>
    </w:p>
    <w:p w14:paraId="295AA6BD" w14:textId="77777777" w:rsidR="00823C44" w:rsidRDefault="00823C44" w:rsidP="00823C44">
      <w:pPr>
        <w:pStyle w:val="ListParagraph"/>
      </w:pPr>
    </w:p>
    <w:p w14:paraId="74EFC8B6" w14:textId="251EFF2E" w:rsidR="0076015E" w:rsidRPr="0003370C" w:rsidRDefault="0076015E" w:rsidP="00823C44">
      <w:pPr>
        <w:pStyle w:val="ListParagraph"/>
        <w:ind w:left="360"/>
        <w:contextualSpacing w:val="0"/>
      </w:pPr>
      <w:r w:rsidRPr="0003370C">
        <w:t xml:space="preserve">Tier Two and Tier Three contain the </w:t>
      </w:r>
      <w:r w:rsidR="00877D1C">
        <w:t>remaining</w:t>
      </w:r>
      <w:r w:rsidRPr="0003370C">
        <w:t xml:space="preserve"> wineries, with Tier Three applying to facilities that </w:t>
      </w:r>
      <w:r w:rsidR="00F04A0A">
        <w:t>are</w:t>
      </w:r>
      <w:r w:rsidRPr="0003370C">
        <w:t xml:space="preserve"> located within a county that has a</w:t>
      </w:r>
      <w:r w:rsidR="00C43F1B">
        <w:t>n accepted</w:t>
      </w:r>
      <w:r w:rsidRPr="0003370C">
        <w:t xml:space="preserve"> </w:t>
      </w:r>
      <w:r w:rsidR="00877D1C">
        <w:t xml:space="preserve">County Oversight </w:t>
      </w:r>
      <w:r w:rsidR="00C43F1B">
        <w:t>Program</w:t>
      </w:r>
      <w:r w:rsidR="00877D1C">
        <w:t xml:space="preserve"> of which the </w:t>
      </w:r>
      <w:r w:rsidR="00F04A0A">
        <w:t>County</w:t>
      </w:r>
      <w:r w:rsidR="00877D1C">
        <w:t xml:space="preserve"> is the program</w:t>
      </w:r>
      <w:r w:rsidR="004B5DD5">
        <w:t xml:space="preserve"> a</w:t>
      </w:r>
      <w:r w:rsidR="00F04A0A">
        <w:t>dministrator</w:t>
      </w:r>
      <w:r w:rsidRPr="0003370C">
        <w:t xml:space="preserve">. Napa County is expected to apply for and obtain recognition </w:t>
      </w:r>
      <w:r w:rsidR="00C43F1B">
        <w:t xml:space="preserve">of its </w:t>
      </w:r>
      <w:r w:rsidR="00877D1C">
        <w:t xml:space="preserve">County </w:t>
      </w:r>
      <w:r w:rsidRPr="0003370C">
        <w:t>Overs</w:t>
      </w:r>
      <w:r w:rsidR="00C43F1B">
        <w:t>ight Program</w:t>
      </w:r>
      <w:r w:rsidR="00877D1C">
        <w:t xml:space="preserve"> for wineries</w:t>
      </w:r>
      <w:r w:rsidRPr="0003370C">
        <w:t>.</w:t>
      </w:r>
      <w:r w:rsidR="00877D1C">
        <w:t xml:space="preserve"> </w:t>
      </w:r>
      <w:r w:rsidR="00AD73E3">
        <w:t xml:space="preserve">If a facility is located in a County that is enrolled in Tier 3, the County can apply the Tier 1 requirements to facilities that discharge less than 1,500 gallons per day as described in the Tier One </w:t>
      </w:r>
      <w:r w:rsidR="001238BC">
        <w:t xml:space="preserve">discharge flow </w:t>
      </w:r>
      <w:r w:rsidR="00AD73E3">
        <w:t xml:space="preserve">requirement. </w:t>
      </w:r>
      <w:r w:rsidR="004B5DD5">
        <w:t>T</w:t>
      </w:r>
      <w:r w:rsidR="009D0767" w:rsidRPr="0003370C">
        <w:t>he three tiers are as follows:</w:t>
      </w:r>
      <w:r w:rsidR="00C43F1B">
        <w:br/>
      </w:r>
    </w:p>
    <w:p w14:paraId="21763677" w14:textId="1710ADB3" w:rsidR="009D0767" w:rsidRPr="001B786B" w:rsidRDefault="009D0767" w:rsidP="006B0AB1">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1440" w:hanging="1080"/>
        <w:rPr>
          <w:sz w:val="24"/>
          <w:szCs w:val="24"/>
        </w:rPr>
      </w:pPr>
      <w:r w:rsidRPr="001B786B">
        <w:rPr>
          <w:sz w:val="24"/>
          <w:szCs w:val="24"/>
        </w:rPr>
        <w:t xml:space="preserve">Tier </w:t>
      </w:r>
      <w:r w:rsidR="004E7107" w:rsidRPr="001B786B">
        <w:rPr>
          <w:sz w:val="24"/>
          <w:szCs w:val="24"/>
        </w:rPr>
        <w:t>One</w:t>
      </w:r>
      <w:r w:rsidRPr="001B786B">
        <w:rPr>
          <w:sz w:val="24"/>
          <w:szCs w:val="24"/>
        </w:rPr>
        <w:t xml:space="preserve">: </w:t>
      </w:r>
      <w:r w:rsidRPr="001B786B">
        <w:rPr>
          <w:sz w:val="24"/>
          <w:szCs w:val="24"/>
        </w:rPr>
        <w:tab/>
        <w:t>Dischargers discharging less than 1,500 gallons per day (gpd) monthly average of winery waste during crush season and 1,500 gpd daily maximum during non</w:t>
      </w:r>
      <w:r w:rsidR="006126BC">
        <w:rPr>
          <w:sz w:val="24"/>
          <w:szCs w:val="24"/>
        </w:rPr>
        <w:noBreakHyphen/>
      </w:r>
      <w:r w:rsidRPr="001B786B">
        <w:rPr>
          <w:sz w:val="24"/>
          <w:szCs w:val="24"/>
        </w:rPr>
        <w:t xml:space="preserve">crush season. </w:t>
      </w:r>
    </w:p>
    <w:p w14:paraId="4F14255B" w14:textId="27F995C9" w:rsidR="009D0767" w:rsidRPr="001B786B" w:rsidRDefault="009D0767" w:rsidP="006B0AB1">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1440" w:hanging="1080"/>
        <w:rPr>
          <w:sz w:val="24"/>
          <w:szCs w:val="24"/>
        </w:rPr>
      </w:pPr>
      <w:r w:rsidRPr="001B786B">
        <w:rPr>
          <w:sz w:val="24"/>
          <w:szCs w:val="24"/>
        </w:rPr>
        <w:t xml:space="preserve">Tier </w:t>
      </w:r>
      <w:r w:rsidR="004E7107" w:rsidRPr="001B786B">
        <w:rPr>
          <w:sz w:val="24"/>
          <w:szCs w:val="24"/>
        </w:rPr>
        <w:t>Two</w:t>
      </w:r>
      <w:r w:rsidRPr="001B786B">
        <w:rPr>
          <w:sz w:val="24"/>
          <w:szCs w:val="24"/>
        </w:rPr>
        <w:t xml:space="preserve">: </w:t>
      </w:r>
      <w:r w:rsidRPr="001B786B">
        <w:rPr>
          <w:sz w:val="24"/>
          <w:szCs w:val="24"/>
        </w:rPr>
        <w:tab/>
        <w:t>All other Dischargers discharging greater than a crush season monthly average and non-crush season daily maximum of 1,500 gpd, except for those in Tier Three.</w:t>
      </w:r>
    </w:p>
    <w:p w14:paraId="72E4D1FF" w14:textId="77777777" w:rsidR="00EA0172" w:rsidRDefault="001D7C58" w:rsidP="00EA0172">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1440" w:hanging="1080"/>
        <w:rPr>
          <w:sz w:val="24"/>
          <w:szCs w:val="24"/>
        </w:rPr>
      </w:pPr>
      <w:r>
        <w:rPr>
          <w:sz w:val="24"/>
          <w:szCs w:val="24"/>
        </w:rPr>
        <w:t xml:space="preserve">Tier Three: </w:t>
      </w:r>
      <w:r w:rsidR="009D0767" w:rsidRPr="001B786B">
        <w:rPr>
          <w:sz w:val="24"/>
          <w:szCs w:val="24"/>
        </w:rPr>
        <w:t>D</w:t>
      </w:r>
      <w:r>
        <w:rPr>
          <w:sz w:val="24"/>
          <w:szCs w:val="24"/>
        </w:rPr>
        <w:t xml:space="preserve">ischargers with facilities located in a County that is authorized </w:t>
      </w:r>
      <w:r w:rsidR="0037255E">
        <w:rPr>
          <w:sz w:val="24"/>
          <w:szCs w:val="24"/>
        </w:rPr>
        <w:t>as program administrator</w:t>
      </w:r>
      <w:r w:rsidR="009D0767" w:rsidRPr="001B786B">
        <w:rPr>
          <w:sz w:val="24"/>
          <w:szCs w:val="24"/>
        </w:rPr>
        <w:t xml:space="preserve">, pursuant to a county oversight program that has been approved by the Regional Water Board Executive Officer. </w:t>
      </w:r>
    </w:p>
    <w:p w14:paraId="2DF3D4C5" w14:textId="35B55665" w:rsidR="0076015E" w:rsidRPr="001B786B" w:rsidRDefault="009D0767" w:rsidP="00EA0172">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1440"/>
        <w:rPr>
          <w:sz w:val="24"/>
          <w:szCs w:val="24"/>
        </w:rPr>
      </w:pPr>
      <w:r w:rsidRPr="001B786B">
        <w:rPr>
          <w:sz w:val="24"/>
          <w:szCs w:val="24"/>
        </w:rPr>
        <w:t xml:space="preserve">The County </w:t>
      </w:r>
      <w:r w:rsidR="001D7C58">
        <w:rPr>
          <w:sz w:val="24"/>
          <w:szCs w:val="24"/>
        </w:rPr>
        <w:t>administrator</w:t>
      </w:r>
      <w:r w:rsidRPr="001B786B">
        <w:rPr>
          <w:sz w:val="24"/>
          <w:szCs w:val="24"/>
        </w:rPr>
        <w:t xml:space="preserve"> requirements are further detailed in </w:t>
      </w:r>
      <w:r w:rsidR="00C43F1B">
        <w:rPr>
          <w:sz w:val="24"/>
          <w:szCs w:val="24"/>
        </w:rPr>
        <w:t xml:space="preserve">the </w:t>
      </w:r>
      <w:r w:rsidRPr="001B786B">
        <w:rPr>
          <w:sz w:val="24"/>
          <w:szCs w:val="24"/>
        </w:rPr>
        <w:t xml:space="preserve">Findings and </w:t>
      </w:r>
      <w:r w:rsidRPr="004B5DD5">
        <w:rPr>
          <w:b/>
          <w:sz w:val="24"/>
          <w:szCs w:val="24"/>
        </w:rPr>
        <w:t>A</w:t>
      </w:r>
      <w:r w:rsidR="005555B5">
        <w:rPr>
          <w:b/>
          <w:sz w:val="24"/>
          <w:szCs w:val="24"/>
        </w:rPr>
        <w:t>ttachment</w:t>
      </w:r>
      <w:r w:rsidRPr="004B5DD5">
        <w:rPr>
          <w:b/>
          <w:sz w:val="24"/>
          <w:szCs w:val="24"/>
        </w:rPr>
        <w:t xml:space="preserve"> E </w:t>
      </w:r>
      <w:r w:rsidRPr="001B786B">
        <w:rPr>
          <w:sz w:val="24"/>
          <w:szCs w:val="24"/>
        </w:rPr>
        <w:t>of this Order.</w:t>
      </w:r>
    </w:p>
    <w:p w14:paraId="4AF6417F" w14:textId="77777777" w:rsidR="00DE1B6D" w:rsidRPr="0003370C" w:rsidRDefault="00DE1B6D" w:rsidP="00531251">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1440" w:hanging="1080"/>
      </w:pPr>
    </w:p>
    <w:p w14:paraId="7BE59E9D" w14:textId="0A025F2F" w:rsidR="00711424" w:rsidRDefault="00711424" w:rsidP="00063478">
      <w:pPr>
        <w:pStyle w:val="ListParagraph"/>
        <w:numPr>
          <w:ilvl w:val="0"/>
          <w:numId w:val="6"/>
        </w:numPr>
      </w:pPr>
      <w:bookmarkStart w:id="6" w:name="_Toc470706558"/>
      <w:r w:rsidRPr="001B786B">
        <w:rPr>
          <w:b/>
        </w:rPr>
        <w:t>County Oversight (</w:t>
      </w:r>
      <w:r w:rsidR="00833EFD" w:rsidRPr="001B786B">
        <w:rPr>
          <w:b/>
        </w:rPr>
        <w:t>Tier Three</w:t>
      </w:r>
      <w:r w:rsidRPr="001B786B">
        <w:rPr>
          <w:b/>
        </w:rPr>
        <w:t>)</w:t>
      </w:r>
      <w:bookmarkEnd w:id="6"/>
      <w:r w:rsidR="004E7107" w:rsidRPr="001B786B">
        <w:rPr>
          <w:b/>
        </w:rPr>
        <w:t>.</w:t>
      </w:r>
      <w:r w:rsidR="00CB0BED" w:rsidRPr="001B786B">
        <w:rPr>
          <w:b/>
        </w:rPr>
        <w:t xml:space="preserve"> </w:t>
      </w:r>
      <w:r w:rsidRPr="0003370C">
        <w:t>This Order includes an authorization process for County Oversight (</w:t>
      </w:r>
      <w:r w:rsidR="00833EFD" w:rsidRPr="0003370C">
        <w:t>Tier Three</w:t>
      </w:r>
      <w:r w:rsidRPr="0003370C">
        <w:t xml:space="preserve">) of the discharges of winery wastewater to land by counties that have comprehensive winery wastewater regulatory programs. Winery discharges in an authorized county will be </w:t>
      </w:r>
      <w:r w:rsidR="00CB0BED" w:rsidRPr="0003370C">
        <w:t xml:space="preserve">required to obtain coverage under this Order and held to the requirements of this </w:t>
      </w:r>
      <w:r w:rsidR="00C43F1B">
        <w:t>O</w:t>
      </w:r>
      <w:r w:rsidR="00CB0BED" w:rsidRPr="0003370C">
        <w:t xml:space="preserve">rder, but they will be inspected by and report to the </w:t>
      </w:r>
      <w:r w:rsidR="00C43F1B">
        <w:t>c</w:t>
      </w:r>
      <w:r w:rsidR="00CB0BED" w:rsidRPr="0003370C">
        <w:t>ounty</w:t>
      </w:r>
      <w:r w:rsidRPr="0003370C">
        <w:t xml:space="preserve"> through that </w:t>
      </w:r>
      <w:r w:rsidR="00C43F1B">
        <w:t>c</w:t>
      </w:r>
      <w:r w:rsidRPr="0003370C">
        <w:t xml:space="preserve">ounty’s winery regulatory program. </w:t>
      </w:r>
    </w:p>
    <w:p w14:paraId="2CFC14CC" w14:textId="77777777" w:rsidR="001B786B" w:rsidRPr="0003370C" w:rsidRDefault="001B786B" w:rsidP="001B786B">
      <w:pPr>
        <w:ind w:left="0"/>
      </w:pPr>
    </w:p>
    <w:p w14:paraId="0F5D310D" w14:textId="6D57208B" w:rsidR="00711424" w:rsidRPr="0003370C" w:rsidRDefault="00345945" w:rsidP="00063478">
      <w:pPr>
        <w:pStyle w:val="ListParagraph"/>
        <w:numPr>
          <w:ilvl w:val="0"/>
          <w:numId w:val="6"/>
        </w:numPr>
        <w:rPr>
          <w:b/>
        </w:rPr>
      </w:pPr>
      <w:r w:rsidRPr="0003370C">
        <w:rPr>
          <w:b/>
        </w:rPr>
        <w:t xml:space="preserve">Criteria for a </w:t>
      </w:r>
      <w:r w:rsidR="007D0A7B">
        <w:rPr>
          <w:b/>
        </w:rPr>
        <w:t>c</w:t>
      </w:r>
      <w:r w:rsidRPr="0003370C">
        <w:rPr>
          <w:b/>
        </w:rPr>
        <w:t>ounty becoming a</w:t>
      </w:r>
      <w:r w:rsidR="00877D1C">
        <w:rPr>
          <w:b/>
        </w:rPr>
        <w:t>n authorized</w:t>
      </w:r>
      <w:r w:rsidRPr="0003370C">
        <w:rPr>
          <w:b/>
        </w:rPr>
        <w:t xml:space="preserve"> Tier Three </w:t>
      </w:r>
      <w:r w:rsidR="00877D1C">
        <w:rPr>
          <w:b/>
        </w:rPr>
        <w:t>County Oversight Program Administrator</w:t>
      </w:r>
      <w:r w:rsidR="004E7107">
        <w:rPr>
          <w:b/>
        </w:rPr>
        <w:t>.</w:t>
      </w:r>
      <w:r w:rsidRPr="0003370C">
        <w:rPr>
          <w:b/>
        </w:rPr>
        <w:t xml:space="preserve"> </w:t>
      </w:r>
      <w:r w:rsidR="00711424" w:rsidRPr="0003370C">
        <w:t xml:space="preserve">In order for a </w:t>
      </w:r>
      <w:r w:rsidR="00C43F1B">
        <w:t>c</w:t>
      </w:r>
      <w:r w:rsidR="00711424" w:rsidRPr="0003370C">
        <w:t xml:space="preserve">ounty to be authorized by the Regional Water Board to provide oversight of the winery permitting program under </w:t>
      </w:r>
      <w:r w:rsidR="00833EFD" w:rsidRPr="0003370C">
        <w:t>Tier Three</w:t>
      </w:r>
      <w:r w:rsidR="00711424" w:rsidRPr="0003370C">
        <w:t xml:space="preserve">, the county </w:t>
      </w:r>
      <w:r w:rsidR="00C43F1B">
        <w:t xml:space="preserve">must </w:t>
      </w:r>
      <w:r w:rsidR="00711424" w:rsidRPr="0003370C">
        <w:t>have in place a framework for management of</w:t>
      </w:r>
      <w:r w:rsidR="0045506A">
        <w:t xml:space="preserve"> wineries and </w:t>
      </w:r>
      <w:r w:rsidR="00711424" w:rsidRPr="0003370C">
        <w:t xml:space="preserve">discharges to land in accordance with </w:t>
      </w:r>
      <w:r w:rsidRPr="0003370C">
        <w:t>this Order</w:t>
      </w:r>
      <w:r w:rsidR="00711424" w:rsidRPr="0003370C">
        <w:t xml:space="preserve">. </w:t>
      </w:r>
      <w:r w:rsidR="00B04C88" w:rsidRPr="00877D1C">
        <w:rPr>
          <w:b/>
        </w:rPr>
        <w:t>Attachment</w:t>
      </w:r>
      <w:r w:rsidR="00867A9E">
        <w:rPr>
          <w:b/>
        </w:rPr>
        <w:t>s D</w:t>
      </w:r>
      <w:r w:rsidR="00867A9E" w:rsidRPr="00867A9E">
        <w:t xml:space="preserve"> and</w:t>
      </w:r>
      <w:r w:rsidR="00B04C88" w:rsidRPr="00867A9E">
        <w:rPr>
          <w:b/>
        </w:rPr>
        <w:t xml:space="preserve"> </w:t>
      </w:r>
      <w:r w:rsidR="00877D1C" w:rsidRPr="00867A9E">
        <w:rPr>
          <w:b/>
        </w:rPr>
        <w:t>E</w:t>
      </w:r>
      <w:r w:rsidR="00867A9E">
        <w:t xml:space="preserve"> contain the a</w:t>
      </w:r>
      <w:r w:rsidR="00B04C88" w:rsidRPr="0003370C">
        <w:t>pplication form</w:t>
      </w:r>
      <w:r w:rsidR="00867A9E">
        <w:t xml:space="preserve"> and criteria, respectively,</w:t>
      </w:r>
      <w:r w:rsidR="00B04C88" w:rsidRPr="0003370C">
        <w:t xml:space="preserve"> for becoming an authorized </w:t>
      </w:r>
      <w:r w:rsidR="00867A9E">
        <w:t>Count</w:t>
      </w:r>
      <w:r w:rsidR="00E27684">
        <w:t xml:space="preserve">y </w:t>
      </w:r>
      <w:r w:rsidR="004B5DD5">
        <w:t xml:space="preserve">Program </w:t>
      </w:r>
      <w:r w:rsidR="00E27684">
        <w:t>Administrator</w:t>
      </w:r>
      <w:r w:rsidR="00B04C88" w:rsidRPr="0003370C">
        <w:t>.</w:t>
      </w:r>
    </w:p>
    <w:p w14:paraId="56E9FD26" w14:textId="77777777" w:rsidR="00B04C88" w:rsidRPr="0003370C" w:rsidRDefault="00B04C88" w:rsidP="00567627"/>
    <w:p w14:paraId="052F8782" w14:textId="5A74CC5D" w:rsidR="00711424" w:rsidRPr="0003370C" w:rsidRDefault="003C4E83" w:rsidP="005A3CE8">
      <w:pPr>
        <w:pStyle w:val="ListParagraph"/>
        <w:numPr>
          <w:ilvl w:val="0"/>
          <w:numId w:val="6"/>
        </w:numPr>
        <w:spacing w:after="120"/>
        <w:contextualSpacing w:val="0"/>
      </w:pPr>
      <w:r w:rsidRPr="0003370C">
        <w:rPr>
          <w:b/>
        </w:rPr>
        <w:t xml:space="preserve">Summary of Tier Three </w:t>
      </w:r>
      <w:r w:rsidR="007D0A7B">
        <w:rPr>
          <w:b/>
        </w:rPr>
        <w:t>c</w:t>
      </w:r>
      <w:r w:rsidRPr="0003370C">
        <w:rPr>
          <w:b/>
        </w:rPr>
        <w:t xml:space="preserve">ounty </w:t>
      </w:r>
      <w:r w:rsidR="007D0A7B">
        <w:rPr>
          <w:b/>
        </w:rPr>
        <w:t>r</w:t>
      </w:r>
      <w:r w:rsidRPr="0003370C">
        <w:rPr>
          <w:b/>
        </w:rPr>
        <w:t>oles</w:t>
      </w:r>
      <w:r w:rsidR="004E7107">
        <w:t>.</w:t>
      </w:r>
      <w:r w:rsidRPr="0003370C">
        <w:t xml:space="preserve"> </w:t>
      </w:r>
      <w:r w:rsidR="00833EFD" w:rsidRPr="0003370C">
        <w:t>Tier Three</w:t>
      </w:r>
      <w:r w:rsidR="00711424" w:rsidRPr="0003370C">
        <w:t xml:space="preserve"> authorizes a county to facilitate compliance with this Order’s winery discharge requirements for </w:t>
      </w:r>
      <w:r w:rsidRPr="0003370C">
        <w:t xml:space="preserve">winery wastewater </w:t>
      </w:r>
      <w:r w:rsidR="00711424" w:rsidRPr="0003370C">
        <w:t xml:space="preserve">facilities that discharge to land within that county. The intent of </w:t>
      </w:r>
      <w:r w:rsidR="00833EFD" w:rsidRPr="0003370C">
        <w:t>Tier Three</w:t>
      </w:r>
      <w:r w:rsidR="00711424" w:rsidRPr="0003370C">
        <w:t xml:space="preserve"> is to streamline t</w:t>
      </w:r>
      <w:r w:rsidR="00E27684">
        <w:t xml:space="preserve">he permitting process by </w:t>
      </w:r>
      <w:r w:rsidR="00711424" w:rsidRPr="0003370C">
        <w:t xml:space="preserve">counties </w:t>
      </w:r>
      <w:r w:rsidR="00E27684">
        <w:t>providing administrative oversight of</w:t>
      </w:r>
      <w:r w:rsidR="00711424" w:rsidRPr="0003370C">
        <w:t xml:space="preserve"> the following</w:t>
      </w:r>
      <w:r w:rsidRPr="0003370C">
        <w:t xml:space="preserve"> aspects of Order compliance</w:t>
      </w:r>
      <w:r w:rsidR="00711424" w:rsidRPr="0003370C">
        <w:t>:</w:t>
      </w:r>
    </w:p>
    <w:p w14:paraId="08330868" w14:textId="4A3BE1B3" w:rsidR="00C43F1B" w:rsidRPr="00C43F1B" w:rsidRDefault="00C43F1B" w:rsidP="00362D97">
      <w:pPr>
        <w:pStyle w:val="ListParagraph"/>
        <w:numPr>
          <w:ilvl w:val="0"/>
          <w:numId w:val="43"/>
        </w:numPr>
        <w:spacing w:after="120"/>
        <w:contextualSpacing w:val="0"/>
        <w:rPr>
          <w:snapToGrid w:val="0"/>
        </w:rPr>
      </w:pPr>
      <w:r>
        <w:rPr>
          <w:snapToGrid w:val="0"/>
        </w:rPr>
        <w:t>Review, accept, and oversee wastewater treatment system design and construction</w:t>
      </w:r>
      <w:r w:rsidR="0045506A">
        <w:rPr>
          <w:snapToGrid w:val="0"/>
        </w:rPr>
        <w:t>;</w:t>
      </w:r>
    </w:p>
    <w:p w14:paraId="0B6E3A28" w14:textId="3130039D" w:rsidR="00711424" w:rsidRPr="00DE1B6D" w:rsidRDefault="00C43F1B" w:rsidP="005A3CE8">
      <w:pPr>
        <w:spacing w:after="120"/>
        <w:ind w:left="360"/>
        <w:rPr>
          <w:snapToGrid w:val="0"/>
        </w:rPr>
      </w:pPr>
      <w:r>
        <w:rPr>
          <w:snapToGrid w:val="0"/>
        </w:rPr>
        <w:t>b</w:t>
      </w:r>
      <w:r w:rsidR="00DE1B6D">
        <w:rPr>
          <w:snapToGrid w:val="0"/>
        </w:rPr>
        <w:t>.</w:t>
      </w:r>
      <w:r w:rsidR="00DE1B6D">
        <w:rPr>
          <w:snapToGrid w:val="0"/>
        </w:rPr>
        <w:tab/>
      </w:r>
      <w:r w:rsidR="00711424" w:rsidRPr="00DE1B6D">
        <w:rPr>
          <w:snapToGrid w:val="0"/>
        </w:rPr>
        <w:t>Conduct inspection of wine</w:t>
      </w:r>
      <w:r w:rsidR="0045506A">
        <w:rPr>
          <w:snapToGrid w:val="0"/>
        </w:rPr>
        <w:t>ry wastewater treatment systems;</w:t>
      </w:r>
    </w:p>
    <w:p w14:paraId="1EB9BF4A" w14:textId="51223931" w:rsidR="00711424" w:rsidRPr="00DE1B6D" w:rsidRDefault="00C43F1B" w:rsidP="0058704F">
      <w:pPr>
        <w:spacing w:after="120"/>
        <w:ind w:hanging="360"/>
        <w:rPr>
          <w:snapToGrid w:val="0"/>
        </w:rPr>
      </w:pPr>
      <w:r>
        <w:rPr>
          <w:snapToGrid w:val="0"/>
        </w:rPr>
        <w:t>c</w:t>
      </w:r>
      <w:r w:rsidR="00DE1B6D">
        <w:rPr>
          <w:snapToGrid w:val="0"/>
        </w:rPr>
        <w:t>.</w:t>
      </w:r>
      <w:r w:rsidR="00DE1B6D">
        <w:rPr>
          <w:snapToGrid w:val="0"/>
        </w:rPr>
        <w:tab/>
      </w:r>
      <w:r w:rsidR="00711424" w:rsidRPr="00DE1B6D">
        <w:rPr>
          <w:snapToGrid w:val="0"/>
        </w:rPr>
        <w:t>Assist Dischargers with the development and implementation, if applicable, of the supplemental plans/re</w:t>
      </w:r>
      <w:r w:rsidR="0045506A">
        <w:rPr>
          <w:snapToGrid w:val="0"/>
        </w:rPr>
        <w:t>ports required under this Order;</w:t>
      </w:r>
    </w:p>
    <w:p w14:paraId="56EC3A8B" w14:textId="4235813D" w:rsidR="00711424" w:rsidRPr="00DE1B6D" w:rsidRDefault="00C43F1B" w:rsidP="0058704F">
      <w:pPr>
        <w:spacing w:after="120"/>
        <w:ind w:hanging="360"/>
        <w:rPr>
          <w:snapToGrid w:val="0"/>
        </w:rPr>
      </w:pPr>
      <w:r>
        <w:rPr>
          <w:snapToGrid w:val="0"/>
        </w:rPr>
        <w:t>d</w:t>
      </w:r>
      <w:r w:rsidR="00DE1B6D">
        <w:rPr>
          <w:snapToGrid w:val="0"/>
        </w:rPr>
        <w:t>.</w:t>
      </w:r>
      <w:r w:rsidR="00DE1B6D">
        <w:rPr>
          <w:snapToGrid w:val="0"/>
        </w:rPr>
        <w:tab/>
      </w:r>
      <w:r w:rsidR="00711424" w:rsidRPr="00DE1B6D">
        <w:rPr>
          <w:snapToGrid w:val="0"/>
        </w:rPr>
        <w:t>Review monitoring reports as required in this Order’s Monitoring and Reporting P</w:t>
      </w:r>
      <w:r w:rsidR="006323AF">
        <w:rPr>
          <w:snapToGrid w:val="0"/>
        </w:rPr>
        <w:t xml:space="preserve">rogram </w:t>
      </w:r>
      <w:r w:rsidR="00711424" w:rsidRPr="00DE1B6D">
        <w:rPr>
          <w:snapToGrid w:val="0"/>
        </w:rPr>
        <w:t>(</w:t>
      </w:r>
      <w:r w:rsidR="00711424" w:rsidRPr="00E27684">
        <w:rPr>
          <w:b/>
          <w:snapToGrid w:val="0"/>
        </w:rPr>
        <w:t>Attachment A</w:t>
      </w:r>
      <w:r w:rsidR="0045506A">
        <w:rPr>
          <w:snapToGrid w:val="0"/>
        </w:rPr>
        <w:t>);</w:t>
      </w:r>
      <w:r w:rsidR="003C4E83" w:rsidRPr="00DE1B6D">
        <w:rPr>
          <w:snapToGrid w:val="0"/>
        </w:rPr>
        <w:t xml:space="preserve"> and</w:t>
      </w:r>
    </w:p>
    <w:p w14:paraId="3F8EDD55" w14:textId="7AE8B849" w:rsidR="00711424" w:rsidRDefault="00C43F1B" w:rsidP="00DE1B6D">
      <w:pPr>
        <w:ind w:hanging="360"/>
        <w:rPr>
          <w:snapToGrid w:val="0"/>
        </w:rPr>
      </w:pPr>
      <w:r>
        <w:rPr>
          <w:snapToGrid w:val="0"/>
        </w:rPr>
        <w:t>e</w:t>
      </w:r>
      <w:r w:rsidR="00DE1B6D">
        <w:rPr>
          <w:snapToGrid w:val="0"/>
        </w:rPr>
        <w:t>.</w:t>
      </w:r>
      <w:r w:rsidR="00DE1B6D">
        <w:rPr>
          <w:snapToGrid w:val="0"/>
        </w:rPr>
        <w:tab/>
      </w:r>
      <w:r w:rsidR="00711424" w:rsidRPr="00DE1B6D">
        <w:rPr>
          <w:snapToGrid w:val="0"/>
        </w:rPr>
        <w:t xml:space="preserve"> Coordinate with the Regional Water Board staff when Dischargers exceed this Order’s effluent limitations and</w:t>
      </w:r>
      <w:r w:rsidR="0045506A">
        <w:rPr>
          <w:snapToGrid w:val="0"/>
        </w:rPr>
        <w:t>/or</w:t>
      </w:r>
      <w:r w:rsidR="00711424" w:rsidRPr="00DE1B6D">
        <w:rPr>
          <w:snapToGrid w:val="0"/>
        </w:rPr>
        <w:t xml:space="preserve"> numeric action limits.</w:t>
      </w:r>
    </w:p>
    <w:p w14:paraId="4CF2CE1E" w14:textId="1A08ADB5" w:rsidR="008749C3" w:rsidRDefault="008749C3" w:rsidP="00DE1B6D">
      <w:pPr>
        <w:ind w:hanging="360"/>
        <w:rPr>
          <w:snapToGrid w:val="0"/>
        </w:rPr>
      </w:pPr>
    </w:p>
    <w:p w14:paraId="59FCCB40" w14:textId="13A272FF" w:rsidR="008749C3" w:rsidRPr="00DE1B6D" w:rsidRDefault="008749C3" w:rsidP="00DE1B6D">
      <w:pPr>
        <w:ind w:hanging="360"/>
        <w:rPr>
          <w:snapToGrid w:val="0"/>
        </w:rPr>
      </w:pPr>
      <w:r w:rsidRPr="008749C3">
        <w:rPr>
          <w:b/>
          <w:snapToGrid w:val="0"/>
        </w:rPr>
        <w:t>Attachment E</w:t>
      </w:r>
      <w:r>
        <w:rPr>
          <w:snapToGrid w:val="0"/>
        </w:rPr>
        <w:t xml:space="preserve"> contains information on the county winery permitting program framework. </w:t>
      </w:r>
    </w:p>
    <w:p w14:paraId="25796BC1" w14:textId="77777777" w:rsidR="00711424" w:rsidRPr="0003370C" w:rsidRDefault="00711424" w:rsidP="00567627"/>
    <w:p w14:paraId="3E2782B6" w14:textId="34EA3F6E" w:rsidR="00711424" w:rsidRPr="0003370C" w:rsidRDefault="007C5F18" w:rsidP="00063478">
      <w:pPr>
        <w:pStyle w:val="ListParagraph"/>
        <w:numPr>
          <w:ilvl w:val="0"/>
          <w:numId w:val="6"/>
        </w:numPr>
      </w:pPr>
      <w:r w:rsidRPr="0003370C">
        <w:rPr>
          <w:b/>
        </w:rPr>
        <w:t xml:space="preserve">Partial </w:t>
      </w:r>
      <w:r w:rsidR="007D0A7B">
        <w:rPr>
          <w:b/>
        </w:rPr>
        <w:t>c</w:t>
      </w:r>
      <w:r w:rsidRPr="0003370C">
        <w:rPr>
          <w:b/>
        </w:rPr>
        <w:t xml:space="preserve">ounty </w:t>
      </w:r>
      <w:r w:rsidR="007D0A7B">
        <w:rPr>
          <w:b/>
        </w:rPr>
        <w:t>o</w:t>
      </w:r>
      <w:r w:rsidRPr="0003370C">
        <w:rPr>
          <w:b/>
        </w:rPr>
        <w:t xml:space="preserve">versight is possible under Tier Three </w:t>
      </w:r>
      <w:r w:rsidR="007D0A7B">
        <w:rPr>
          <w:b/>
        </w:rPr>
        <w:t>a</w:t>
      </w:r>
      <w:r w:rsidRPr="0003370C">
        <w:rPr>
          <w:b/>
        </w:rPr>
        <w:t>uthorization</w:t>
      </w:r>
      <w:r w:rsidR="004E7107">
        <w:t>.</w:t>
      </w:r>
      <w:r w:rsidRPr="0003370C">
        <w:t xml:space="preserve"> Some counties may prefer to </w:t>
      </w:r>
      <w:r w:rsidR="0070544E">
        <w:t>serve</w:t>
      </w:r>
      <w:r w:rsidRPr="0003370C">
        <w:t xml:space="preserve"> </w:t>
      </w:r>
      <w:r w:rsidR="004B5DD5">
        <w:t>as</w:t>
      </w:r>
      <w:r w:rsidR="0070544E">
        <w:t xml:space="preserve"> the</w:t>
      </w:r>
      <w:r w:rsidR="004B5DD5">
        <w:t xml:space="preserve"> county oversight program administrator </w:t>
      </w:r>
      <w:r w:rsidR="0070544E">
        <w:t>for only</w:t>
      </w:r>
      <w:r w:rsidRPr="0003370C">
        <w:t xml:space="preserve"> a subset of the winery wastewater facilities in their jurisdiction. This is an acceptable approach under this Order. </w:t>
      </w:r>
      <w:r w:rsidR="00711424" w:rsidRPr="0003370C">
        <w:t xml:space="preserve">If a </w:t>
      </w:r>
      <w:r w:rsidR="00C43F1B">
        <w:t>c</w:t>
      </w:r>
      <w:r w:rsidR="00711424" w:rsidRPr="0003370C">
        <w:t>ounty develops or is implementing a winery permitting program that covers a sole method of dis</w:t>
      </w:r>
      <w:r w:rsidR="00731573">
        <w:t>charge</w:t>
      </w:r>
      <w:r w:rsidR="00711424" w:rsidRPr="0003370C">
        <w:t>, such as subsurface</w:t>
      </w:r>
      <w:r w:rsidR="00731573">
        <w:t xml:space="preserve"> discharge</w:t>
      </w:r>
      <w:r w:rsidR="00711424" w:rsidRPr="0003370C">
        <w:t xml:space="preserve">, and the program consists of the elements outlined in </w:t>
      </w:r>
      <w:r w:rsidR="00711424" w:rsidRPr="004B5DD5">
        <w:rPr>
          <w:b/>
        </w:rPr>
        <w:t>Attachment E</w:t>
      </w:r>
      <w:r w:rsidR="00711424" w:rsidRPr="0003370C">
        <w:t xml:space="preserve"> of this Order, authorization may be granted, at the discretion of the Executive Officer, to the </w:t>
      </w:r>
      <w:r w:rsidR="00C43F1B">
        <w:t>c</w:t>
      </w:r>
      <w:r w:rsidR="00711424" w:rsidRPr="0003370C">
        <w:t xml:space="preserve">ounty to provide </w:t>
      </w:r>
      <w:r w:rsidR="00C43F1B">
        <w:t>c</w:t>
      </w:r>
      <w:r w:rsidR="00711424" w:rsidRPr="0003370C">
        <w:t>ounty oversight of th</w:t>
      </w:r>
      <w:r w:rsidR="00C43F1B">
        <w:t>os</w:t>
      </w:r>
      <w:r w:rsidR="00711424" w:rsidRPr="0003370C">
        <w:t>e wineries that discharge via the specified dis</w:t>
      </w:r>
      <w:r w:rsidR="00731573">
        <w:t xml:space="preserve">charge </w:t>
      </w:r>
      <w:r w:rsidR="00711424" w:rsidRPr="0003370C">
        <w:t xml:space="preserve">method. </w:t>
      </w:r>
      <w:r w:rsidR="00C43F1B">
        <w:t>A c</w:t>
      </w:r>
      <w:r w:rsidR="00711424" w:rsidRPr="0003370C">
        <w:t xml:space="preserve">ounty </w:t>
      </w:r>
      <w:r w:rsidR="00C43F1B">
        <w:t>may</w:t>
      </w:r>
      <w:r w:rsidR="00711424" w:rsidRPr="0003370C">
        <w:t xml:space="preserve"> submit the Request for Authorization in </w:t>
      </w:r>
      <w:r w:rsidR="00711424" w:rsidRPr="004B5DD5">
        <w:rPr>
          <w:b/>
        </w:rPr>
        <w:t>Attachment D</w:t>
      </w:r>
      <w:r w:rsidR="00711424" w:rsidRPr="0003370C">
        <w:t xml:space="preserve"> at any time following the adoption of this Order.</w:t>
      </w:r>
      <w:r w:rsidR="000F09DF">
        <w:t xml:space="preserve"> </w:t>
      </w:r>
    </w:p>
    <w:p w14:paraId="6BF71934" w14:textId="77777777" w:rsidR="00711424" w:rsidRPr="0003370C" w:rsidRDefault="00711424" w:rsidP="00567627"/>
    <w:p w14:paraId="311C779C" w14:textId="51071B63" w:rsidR="00D00FFB" w:rsidRPr="0003370C" w:rsidRDefault="00B2756E" w:rsidP="005A3CE8">
      <w:pPr>
        <w:pStyle w:val="ListParagraph"/>
        <w:numPr>
          <w:ilvl w:val="0"/>
          <w:numId w:val="6"/>
        </w:numPr>
        <w:spacing w:after="120"/>
        <w:contextualSpacing w:val="0"/>
      </w:pPr>
      <w:r w:rsidRPr="0003370C">
        <w:rPr>
          <w:b/>
        </w:rPr>
        <w:t>Submitting an application for coverage is required</w:t>
      </w:r>
      <w:r w:rsidRPr="0003370C">
        <w:t xml:space="preserve"> </w:t>
      </w:r>
      <w:r w:rsidR="00CB1BE1" w:rsidRPr="0003370C">
        <w:rPr>
          <w:b/>
        </w:rPr>
        <w:t>for all wineries discharging wastewater to land within the Region</w:t>
      </w:r>
      <w:r w:rsidR="00A12220">
        <w:rPr>
          <w:b/>
        </w:rPr>
        <w:t>.</w:t>
      </w:r>
      <w:r w:rsidRPr="0003370C">
        <w:t xml:space="preserve"> Water Code section 13260(a) requires that any person discharging waste or proposing to discharge waste within any region, other than to a community sewer system, that could affect the quality of the waters of the State, file a Report of Waste Discharge. </w:t>
      </w:r>
      <w:r w:rsidR="00CB1BE1" w:rsidRPr="0003370C">
        <w:t xml:space="preserve">For </w:t>
      </w:r>
      <w:r w:rsidR="007D0A7B">
        <w:t>wineries</w:t>
      </w:r>
      <w:r w:rsidR="00CB1BE1" w:rsidRPr="0003370C">
        <w:t xml:space="preserve">, submittal of the </w:t>
      </w:r>
      <w:r w:rsidR="004151FA">
        <w:t>Notice of Intent Package</w:t>
      </w:r>
      <w:r w:rsidR="00CB1BE1" w:rsidRPr="0003370C">
        <w:t xml:space="preserve"> constitutes the filing of a Report of Waste Discharge. The </w:t>
      </w:r>
      <w:r w:rsidR="004151FA">
        <w:t xml:space="preserve">Notice of Intent Package </w:t>
      </w:r>
      <w:r w:rsidR="00CB1BE1" w:rsidRPr="0003370C">
        <w:t>include</w:t>
      </w:r>
      <w:r w:rsidR="004151FA">
        <w:t>s</w:t>
      </w:r>
      <w:r w:rsidR="00CB1BE1" w:rsidRPr="0003370C">
        <w:t xml:space="preserve"> the following: </w:t>
      </w:r>
    </w:p>
    <w:p w14:paraId="44A2B592" w14:textId="784652B1" w:rsidR="00D00FFB" w:rsidRPr="0003370C" w:rsidRDefault="00D00FFB" w:rsidP="005A3CE8">
      <w:pPr>
        <w:pStyle w:val="ListParagraph"/>
        <w:numPr>
          <w:ilvl w:val="0"/>
          <w:numId w:val="17"/>
        </w:numPr>
        <w:spacing w:after="120"/>
        <w:contextualSpacing w:val="0"/>
      </w:pPr>
      <w:r w:rsidRPr="0003370C">
        <w:t>Location Map</w:t>
      </w:r>
    </w:p>
    <w:p w14:paraId="0C9431D6" w14:textId="1E3F7EB0" w:rsidR="00D00FFB" w:rsidRPr="0003370C" w:rsidRDefault="00D00FFB" w:rsidP="0058704F">
      <w:pPr>
        <w:pStyle w:val="ListParagraph"/>
        <w:numPr>
          <w:ilvl w:val="0"/>
          <w:numId w:val="17"/>
        </w:numPr>
        <w:spacing w:after="120"/>
        <w:contextualSpacing w:val="0"/>
      </w:pPr>
      <w:r w:rsidRPr="0003370C">
        <w:t>Facility Site Plan</w:t>
      </w:r>
      <w:r w:rsidR="00F761B9">
        <w:t xml:space="preserve"> or Map</w:t>
      </w:r>
    </w:p>
    <w:p w14:paraId="5C3B9896" w14:textId="1F340DBE" w:rsidR="00D00FFB" w:rsidRDefault="00F761B9" w:rsidP="0058704F">
      <w:pPr>
        <w:pStyle w:val="ListParagraph"/>
        <w:numPr>
          <w:ilvl w:val="0"/>
          <w:numId w:val="17"/>
        </w:numPr>
        <w:spacing w:after="120"/>
        <w:contextualSpacing w:val="0"/>
      </w:pPr>
      <w:r>
        <w:t xml:space="preserve">Wastewater </w:t>
      </w:r>
      <w:r w:rsidR="00D00FFB" w:rsidRPr="0003370C">
        <w:t xml:space="preserve">Flow </w:t>
      </w:r>
      <w:r>
        <w:t xml:space="preserve">and Treatment </w:t>
      </w:r>
      <w:r w:rsidR="00D00FFB" w:rsidRPr="0003370C">
        <w:t>Diagram</w:t>
      </w:r>
    </w:p>
    <w:p w14:paraId="2AFFE62D" w14:textId="69431B13" w:rsidR="00FE01F0" w:rsidRPr="0003370C" w:rsidRDefault="00FE01F0" w:rsidP="0058704F">
      <w:pPr>
        <w:pStyle w:val="ListParagraph"/>
        <w:numPr>
          <w:ilvl w:val="0"/>
          <w:numId w:val="17"/>
        </w:numPr>
        <w:spacing w:after="120"/>
        <w:contextualSpacing w:val="0"/>
      </w:pPr>
      <w:r>
        <w:t>Water Mass Balance</w:t>
      </w:r>
    </w:p>
    <w:p w14:paraId="3E81E8DB" w14:textId="4EDC75FC" w:rsidR="00D00FFB" w:rsidRPr="0003370C" w:rsidRDefault="00D00FFB" w:rsidP="0058704F">
      <w:pPr>
        <w:pStyle w:val="ListParagraph"/>
        <w:numPr>
          <w:ilvl w:val="0"/>
          <w:numId w:val="17"/>
        </w:numPr>
        <w:spacing w:after="120"/>
        <w:contextualSpacing w:val="0"/>
      </w:pPr>
      <w:r w:rsidRPr="0003370C">
        <w:t>Notice of Intent (NOI) Form</w:t>
      </w:r>
    </w:p>
    <w:p w14:paraId="55202FF4" w14:textId="2B76F1A3" w:rsidR="00D00FFB" w:rsidRPr="0003370C" w:rsidRDefault="00D00FFB" w:rsidP="0058704F">
      <w:pPr>
        <w:pStyle w:val="ListParagraph"/>
        <w:numPr>
          <w:ilvl w:val="0"/>
          <w:numId w:val="17"/>
        </w:numPr>
        <w:spacing w:after="120"/>
        <w:contextualSpacing w:val="0"/>
      </w:pPr>
      <w:r w:rsidRPr="0003370C">
        <w:t xml:space="preserve">Notice of Intent </w:t>
      </w:r>
      <w:r w:rsidR="00D23F6C">
        <w:t xml:space="preserve">Technical </w:t>
      </w:r>
      <w:r w:rsidRPr="0003370C">
        <w:t>Report</w:t>
      </w:r>
    </w:p>
    <w:p w14:paraId="7E8A6A0B" w14:textId="6915C375" w:rsidR="00D00FFB" w:rsidRDefault="00D00FFB" w:rsidP="0058704F">
      <w:pPr>
        <w:pStyle w:val="ListParagraph"/>
        <w:numPr>
          <w:ilvl w:val="0"/>
          <w:numId w:val="17"/>
        </w:numPr>
        <w:spacing w:after="120"/>
        <w:contextualSpacing w:val="0"/>
      </w:pPr>
      <w:r w:rsidRPr="0003370C">
        <w:t>Application fee, which</w:t>
      </w:r>
      <w:r w:rsidR="00FE01F0">
        <w:t xml:space="preserve"> serves as the first annual fee</w:t>
      </w:r>
    </w:p>
    <w:p w14:paraId="5575611F" w14:textId="6F9AB1F3" w:rsidR="00FE01F0" w:rsidRPr="0003370C" w:rsidRDefault="00FE01F0" w:rsidP="00FE01F0">
      <w:pPr>
        <w:pStyle w:val="ListParagraph"/>
        <w:numPr>
          <w:ilvl w:val="0"/>
          <w:numId w:val="17"/>
        </w:numPr>
        <w:spacing w:after="120"/>
        <w:contextualSpacing w:val="0"/>
      </w:pPr>
      <w:r w:rsidRPr="0003370C">
        <w:t>CEQA Compliance</w:t>
      </w:r>
      <w:r>
        <w:t xml:space="preserve"> for Tiers 2 and 3 wineries</w:t>
      </w:r>
    </w:p>
    <w:p w14:paraId="091572CE" w14:textId="626EAF59" w:rsidR="00D00FFB" w:rsidRPr="0003370C" w:rsidRDefault="00D00FFB" w:rsidP="00E01E8A">
      <w:pPr>
        <w:ind w:left="360"/>
      </w:pPr>
      <w:r w:rsidRPr="0003370C">
        <w:t xml:space="preserve">Instructions for completing the Notice of Intent and the Notice of Intent </w:t>
      </w:r>
      <w:r w:rsidR="009676DC">
        <w:t xml:space="preserve">Technical </w:t>
      </w:r>
      <w:r w:rsidRPr="0003370C">
        <w:t xml:space="preserve">Report are included in </w:t>
      </w:r>
      <w:r w:rsidRPr="00F761B9">
        <w:rPr>
          <w:b/>
        </w:rPr>
        <w:t xml:space="preserve">Attachment </w:t>
      </w:r>
      <w:r w:rsidR="000F09DF">
        <w:rPr>
          <w:b/>
        </w:rPr>
        <w:t>C</w:t>
      </w:r>
      <w:r w:rsidRPr="0003370C">
        <w:t>.</w:t>
      </w:r>
      <w:r w:rsidR="00B916B9">
        <w:t xml:space="preserve"> The information submitted in the NOI and accompanying </w:t>
      </w:r>
      <w:r w:rsidR="004151FA" w:rsidRPr="004151FA">
        <w:t>Notice of Intent Package</w:t>
      </w:r>
      <w:r w:rsidR="00B916B9">
        <w:t xml:space="preserve"> ensure that the wastewater system is designed to sufficiently treat and properly dispose of the waste generated by the facility and to ensure that the Order requirements are met. The Technical Report substantiates the info</w:t>
      </w:r>
      <w:r w:rsidR="004151FA">
        <w:t>rmation presented in the NOI</w:t>
      </w:r>
      <w:r w:rsidR="00B916B9">
        <w:t>.</w:t>
      </w:r>
    </w:p>
    <w:p w14:paraId="5E715D8F" w14:textId="77777777" w:rsidR="00B2756E" w:rsidRPr="0003370C" w:rsidRDefault="00B2756E" w:rsidP="00E01E8A">
      <w:pPr>
        <w:ind w:left="0"/>
      </w:pPr>
    </w:p>
    <w:p w14:paraId="5CAA5F88" w14:textId="659EFDBB" w:rsidR="00B2756E" w:rsidRPr="0003370C" w:rsidRDefault="006B0AB1" w:rsidP="00063478">
      <w:pPr>
        <w:pStyle w:val="ListParagraph"/>
        <w:numPr>
          <w:ilvl w:val="0"/>
          <w:numId w:val="6"/>
        </w:numPr>
      </w:pPr>
      <w:r>
        <w:rPr>
          <w:b/>
        </w:rPr>
        <w:t>Discharge authorization p</w:t>
      </w:r>
      <w:r w:rsidR="00D00FFB" w:rsidRPr="0003370C">
        <w:rPr>
          <w:b/>
        </w:rPr>
        <w:t>rocess</w:t>
      </w:r>
      <w:r w:rsidR="00A12220">
        <w:t>.</w:t>
      </w:r>
      <w:r w:rsidR="00D00FFB" w:rsidRPr="0003370C">
        <w:t xml:space="preserve"> </w:t>
      </w:r>
      <w:r w:rsidR="00B2756E" w:rsidRPr="0003370C">
        <w:t xml:space="preserve">Regional Water Board staff will review the submittal to verify that all </w:t>
      </w:r>
      <w:r w:rsidR="004151FA">
        <w:t xml:space="preserve">the </w:t>
      </w:r>
      <w:r w:rsidR="00B2756E" w:rsidRPr="0003370C">
        <w:t>required</w:t>
      </w:r>
      <w:r w:rsidR="007D0A7B">
        <w:t xml:space="preserve"> </w:t>
      </w:r>
      <w:r w:rsidR="004151FA">
        <w:t xml:space="preserve">components of the </w:t>
      </w:r>
      <w:r w:rsidR="004151FA" w:rsidRPr="004151FA">
        <w:rPr>
          <w:szCs w:val="24"/>
        </w:rPr>
        <w:t>Notice of Intent Package</w:t>
      </w:r>
      <w:r w:rsidR="004151FA">
        <w:t xml:space="preserve"> </w:t>
      </w:r>
      <w:r w:rsidR="00B2756E" w:rsidRPr="0003370C">
        <w:t xml:space="preserve">have been included, and, at that point, will issue a Discharge Authorization Letter to the Discharger. </w:t>
      </w:r>
      <w:r w:rsidR="007D0A7B">
        <w:t>T</w:t>
      </w:r>
      <w:r w:rsidR="00B2756E" w:rsidRPr="0003370C">
        <w:t>he Regional Water Board retains the authority to deny permit coverage to any entity based on insufficient application materials.</w:t>
      </w:r>
    </w:p>
    <w:p w14:paraId="32422A3C" w14:textId="77777777" w:rsidR="00061096" w:rsidRPr="0003370C" w:rsidRDefault="00061096" w:rsidP="00567627"/>
    <w:p w14:paraId="55B213AF" w14:textId="4902A818" w:rsidR="00061096" w:rsidRDefault="006B0AB1" w:rsidP="00063478">
      <w:pPr>
        <w:pStyle w:val="ListParagraph"/>
        <w:numPr>
          <w:ilvl w:val="0"/>
          <w:numId w:val="6"/>
        </w:numPr>
      </w:pPr>
      <w:r>
        <w:rPr>
          <w:b/>
        </w:rPr>
        <w:t>Discharger shall operate facility b</w:t>
      </w:r>
      <w:r w:rsidR="008C38F7" w:rsidRPr="0003370C">
        <w:rPr>
          <w:b/>
        </w:rPr>
        <w:t xml:space="preserve">ased on the </w:t>
      </w:r>
      <w:r w:rsidR="009C11D7">
        <w:rPr>
          <w:b/>
        </w:rPr>
        <w:t>Notice of Intent Package</w:t>
      </w:r>
      <w:r w:rsidR="00A12220">
        <w:t>.</w:t>
      </w:r>
      <w:r w:rsidR="008C38F7" w:rsidRPr="0003370C">
        <w:t xml:space="preserve"> </w:t>
      </w:r>
      <w:r w:rsidR="00B2756E" w:rsidRPr="0003370C">
        <w:t xml:space="preserve">Upon </w:t>
      </w:r>
      <w:r w:rsidR="00AE45A9">
        <w:t xml:space="preserve">receipt </w:t>
      </w:r>
      <w:r w:rsidR="00B2756E" w:rsidRPr="0003370C">
        <w:t>of a Discharge Authorization Letter</w:t>
      </w:r>
      <w:r w:rsidR="00AE45A9">
        <w:t xml:space="preserve">, the Discharger is authorized to discharge as described in its submitted </w:t>
      </w:r>
      <w:r w:rsidR="009C11D7" w:rsidRPr="004151FA">
        <w:rPr>
          <w:szCs w:val="24"/>
        </w:rPr>
        <w:t>Notice of Intent Package</w:t>
      </w:r>
      <w:r w:rsidR="00AE45A9">
        <w:t>, consistent with the requirements of this Order and any conditions set forth in the Discharge Authorization Letter</w:t>
      </w:r>
      <w:r w:rsidR="00B2756E" w:rsidRPr="0003370C">
        <w:t xml:space="preserve">. The Discharger is authorized to discharge as of the date of the Discharge Authorization Letter. The Discharge Authorization Letter will include identification of the Threat to Water Quality and Complexity ratings assigned to the given discharges, and any special conditions or requirements applicable to the discharges. </w:t>
      </w:r>
      <w:r w:rsidR="00061096" w:rsidRPr="0003370C">
        <w:t xml:space="preserve">If a Discharger needs to change any element of its system or operations, it must submit a revised NOI and </w:t>
      </w:r>
      <w:r w:rsidR="009C11D7">
        <w:t>Notice of Intent P</w:t>
      </w:r>
      <w:r w:rsidR="00061096" w:rsidRPr="0003370C">
        <w:t>ackage</w:t>
      </w:r>
      <w:r w:rsidR="00AE45A9">
        <w:t xml:space="preserve"> and obtain acceptance of the revised information by the Regional Water Board Executive Officer prior to implementing the change.</w:t>
      </w:r>
      <w:bookmarkEnd w:id="5"/>
    </w:p>
    <w:p w14:paraId="05F77684" w14:textId="36753115" w:rsidR="003F524C" w:rsidRPr="0003370C" w:rsidRDefault="003F524C" w:rsidP="003F524C">
      <w:pPr>
        <w:ind w:left="0"/>
      </w:pPr>
    </w:p>
    <w:p w14:paraId="08D4BB9F" w14:textId="494207D2" w:rsidR="00061096" w:rsidRDefault="006B0AB1" w:rsidP="001857B5">
      <w:pPr>
        <w:pStyle w:val="ListParagraph"/>
        <w:numPr>
          <w:ilvl w:val="0"/>
          <w:numId w:val="6"/>
        </w:numPr>
      </w:pPr>
      <w:r>
        <w:rPr>
          <w:b/>
        </w:rPr>
        <w:t>Annual f</w:t>
      </w:r>
      <w:r w:rsidR="00E03200" w:rsidRPr="0003370C">
        <w:rPr>
          <w:b/>
        </w:rPr>
        <w:t>ee</w:t>
      </w:r>
      <w:r w:rsidR="00A12220">
        <w:t>.</w:t>
      </w:r>
      <w:r w:rsidR="00E03200" w:rsidRPr="0003370C">
        <w:t xml:space="preserve"> </w:t>
      </w:r>
      <w:r w:rsidR="00A95562" w:rsidRPr="0003370C">
        <w:t xml:space="preserve">The Discharger is responsible for payment of an annual fee, pursuant to Water Code section 13260 and the Annual Fee Schedule as stated in CCR, Title 23, division 3, chapter 9, section 2200 (Annual Fee Schedules). The fee amount is determined by the type of order and the Threat to Water Quality and Complexity ratings assigned to that discharge. </w:t>
      </w:r>
      <w:r w:rsidR="00F04A0A">
        <w:t>Refer to the Water Quality Fee Schedule</w:t>
      </w:r>
      <w:r w:rsidR="00F04A0A" w:rsidRPr="0003370C">
        <w:t xml:space="preserve"> </w:t>
      </w:r>
      <w:r w:rsidR="00F04A0A">
        <w:t xml:space="preserve">accessible at </w:t>
      </w:r>
      <w:hyperlink r:id="rId10" w:anchor="wdr" w:history="1">
        <w:r w:rsidR="001857B5" w:rsidRPr="00F95F16">
          <w:rPr>
            <w:rStyle w:val="Hyperlink"/>
          </w:rPr>
          <w:t>http://www.waterboards.ca.gov/resources/fees/water_quality/#wdr</w:t>
        </w:r>
      </w:hyperlink>
      <w:r w:rsidR="001857B5">
        <w:t>.</w:t>
      </w:r>
    </w:p>
    <w:p w14:paraId="714C39D7" w14:textId="77777777" w:rsidR="001857B5" w:rsidRDefault="001857B5" w:rsidP="001857B5">
      <w:pPr>
        <w:pStyle w:val="ListParagraph"/>
      </w:pPr>
    </w:p>
    <w:p w14:paraId="5A37FF8A" w14:textId="2E8375B4" w:rsidR="00061096" w:rsidRPr="001B786B" w:rsidRDefault="006B0AB1" w:rsidP="00063478">
      <w:pPr>
        <w:pStyle w:val="ListParagraph"/>
        <w:numPr>
          <w:ilvl w:val="0"/>
          <w:numId w:val="6"/>
        </w:numPr>
      </w:pPr>
      <w:r>
        <w:rPr>
          <w:b/>
        </w:rPr>
        <w:t>Other Water Board</w:t>
      </w:r>
      <w:r w:rsidR="00AD73E3">
        <w:rPr>
          <w:b/>
        </w:rPr>
        <w:t>s</w:t>
      </w:r>
      <w:r>
        <w:rPr>
          <w:b/>
        </w:rPr>
        <w:t xml:space="preserve"> p</w:t>
      </w:r>
      <w:r w:rsidR="001B786B">
        <w:rPr>
          <w:b/>
        </w:rPr>
        <w:t xml:space="preserve">ermits. </w:t>
      </w:r>
      <w:r w:rsidR="00061096" w:rsidRPr="001B786B">
        <w:t xml:space="preserve">Other </w:t>
      </w:r>
      <w:r w:rsidR="00823C44">
        <w:t xml:space="preserve">Regional </w:t>
      </w:r>
      <w:r w:rsidR="00061096" w:rsidRPr="001B786B">
        <w:t>Water Board permits that wineries are or may be required to obtain</w:t>
      </w:r>
      <w:r w:rsidR="00A12220" w:rsidRPr="001B786B">
        <w:t xml:space="preserve"> include </w:t>
      </w:r>
      <w:proofErr w:type="spellStart"/>
      <w:r w:rsidR="00A12220" w:rsidRPr="001B786B">
        <w:t>stormwater</w:t>
      </w:r>
      <w:proofErr w:type="spellEnd"/>
      <w:r w:rsidR="00A12220" w:rsidRPr="001B786B">
        <w:t xml:space="preserve"> permits and 401 water quality certifications.</w:t>
      </w:r>
      <w:r w:rsidR="00823C44">
        <w:t xml:space="preserve"> </w:t>
      </w:r>
      <w:r w:rsidR="00AD73E3" w:rsidRPr="00AD73E3">
        <w:rPr>
          <w:b/>
        </w:rPr>
        <w:t>Section B.8</w:t>
      </w:r>
      <w:r w:rsidR="00AD73E3">
        <w:t xml:space="preserve"> of t</w:t>
      </w:r>
      <w:r w:rsidR="00823C44">
        <w:t>he Fact Sheet contains additional information on the permits.</w:t>
      </w:r>
    </w:p>
    <w:p w14:paraId="761A9AC0" w14:textId="77777777" w:rsidR="00B2756E" w:rsidRPr="0003370C" w:rsidRDefault="00B2756E" w:rsidP="00567627"/>
    <w:p w14:paraId="7FF3228C" w14:textId="5209E3E8" w:rsidR="00B2756E" w:rsidRPr="0003370C" w:rsidRDefault="00B2756E" w:rsidP="00063478">
      <w:pPr>
        <w:pStyle w:val="ListParagraph"/>
        <w:numPr>
          <w:ilvl w:val="0"/>
          <w:numId w:val="6"/>
        </w:numPr>
      </w:pPr>
      <w:r w:rsidRPr="0003370C">
        <w:rPr>
          <w:b/>
        </w:rPr>
        <w:t>Applicabilit</w:t>
      </w:r>
      <w:r w:rsidR="00C6357F" w:rsidRPr="0003370C">
        <w:rPr>
          <w:b/>
        </w:rPr>
        <w:t xml:space="preserve">y of General </w:t>
      </w:r>
      <w:r w:rsidR="002858B2">
        <w:rPr>
          <w:b/>
        </w:rPr>
        <w:t>Waste Discharge Requirement</w:t>
      </w:r>
      <w:r w:rsidR="00C6357F" w:rsidRPr="0003370C">
        <w:rPr>
          <w:b/>
        </w:rPr>
        <w:t>s</w:t>
      </w:r>
      <w:r w:rsidR="00A12220">
        <w:t>.</w:t>
      </w:r>
      <w:r w:rsidR="00C6357F" w:rsidRPr="0003370C">
        <w:t xml:space="preserve"> </w:t>
      </w:r>
      <w:r w:rsidRPr="0003370C">
        <w:t xml:space="preserve">Although the tiered framework of this Order provides coverage for most wineries that discharge to land, </w:t>
      </w:r>
      <w:r w:rsidR="00AE45A9">
        <w:t xml:space="preserve">the </w:t>
      </w:r>
      <w:r w:rsidRPr="0003370C">
        <w:t xml:space="preserve">Regional Water Board </w:t>
      </w:r>
      <w:r w:rsidR="00AE45A9">
        <w:t>Executive Officer</w:t>
      </w:r>
      <w:r w:rsidRPr="0003370C">
        <w:t xml:space="preserve"> may determine that individual </w:t>
      </w:r>
      <w:r w:rsidR="00AE45A9">
        <w:t>Waste Discharge Requirements (</w:t>
      </w:r>
      <w:r w:rsidRPr="0003370C">
        <w:t>WDRs</w:t>
      </w:r>
      <w:r w:rsidR="00AE45A9">
        <w:t>)</w:t>
      </w:r>
      <w:r w:rsidRPr="0003370C">
        <w:t xml:space="preserve"> may be more applicable. The determination of coverage will be based on project-specific characteristics such as discharge flow rate, location of discharge, and whether groundwater is impacted. If coverage under this Order is determined to </w:t>
      </w:r>
      <w:r w:rsidR="002858B2">
        <w:t xml:space="preserve">not be </w:t>
      </w:r>
      <w:r w:rsidRPr="0003370C">
        <w:t xml:space="preserve">applicable, Regional Water Board staff will notify the Discharger in writing of this determination.  </w:t>
      </w:r>
    </w:p>
    <w:p w14:paraId="1F266D7C" w14:textId="77777777" w:rsidR="00C6357F" w:rsidRPr="0003370C" w:rsidRDefault="00C6357F" w:rsidP="00567627"/>
    <w:p w14:paraId="59D560D6" w14:textId="211D5C7A" w:rsidR="00B2756E" w:rsidRPr="0003370C" w:rsidRDefault="006B0AB1" w:rsidP="00063478">
      <w:pPr>
        <w:pStyle w:val="ListParagraph"/>
        <w:numPr>
          <w:ilvl w:val="0"/>
          <w:numId w:val="6"/>
        </w:numPr>
      </w:pPr>
      <w:r>
        <w:rPr>
          <w:b/>
        </w:rPr>
        <w:t>Other agencies may also regulate the f</w:t>
      </w:r>
      <w:r w:rsidR="00C6357F" w:rsidRPr="0003370C">
        <w:rPr>
          <w:b/>
        </w:rPr>
        <w:t>acility</w:t>
      </w:r>
      <w:r w:rsidR="00A12220">
        <w:rPr>
          <w:b/>
        </w:rPr>
        <w:t>.</w:t>
      </w:r>
      <w:r w:rsidR="00C6357F" w:rsidRPr="0003370C">
        <w:t xml:space="preserve"> </w:t>
      </w:r>
      <w:r w:rsidR="00B2756E" w:rsidRPr="0003370C">
        <w:t xml:space="preserve">This Order does not preempt or supersede the authority of </w:t>
      </w:r>
      <w:r w:rsidR="00AE45A9">
        <w:t>cities, counties</w:t>
      </w:r>
      <w:r w:rsidR="00B2756E" w:rsidRPr="0003370C">
        <w:t>, flood control</w:t>
      </w:r>
      <w:r w:rsidR="00D23F6C">
        <w:t xml:space="preserve"> </w:t>
      </w:r>
      <w:r w:rsidR="00AE45A9">
        <w:t>districts</w:t>
      </w:r>
      <w:r w:rsidR="00B2756E" w:rsidRPr="0003370C">
        <w:t>, or other agencies to prohibit, restrict, or control discharges of waste subject to their jurisdiction.</w:t>
      </w:r>
    </w:p>
    <w:p w14:paraId="69F0E73A" w14:textId="77777777" w:rsidR="00B2756E" w:rsidRPr="0003370C" w:rsidRDefault="00B2756E" w:rsidP="00567627"/>
    <w:p w14:paraId="242E6809" w14:textId="07282D57" w:rsidR="00061096" w:rsidRPr="0003370C" w:rsidRDefault="002858B2" w:rsidP="00063478">
      <w:pPr>
        <w:pStyle w:val="ListParagraph"/>
        <w:numPr>
          <w:ilvl w:val="0"/>
          <w:numId w:val="6"/>
        </w:numPr>
      </w:pPr>
      <w:r>
        <w:rPr>
          <w:b/>
        </w:rPr>
        <w:t>U.S. EPA</w:t>
      </w:r>
      <w:r w:rsidR="00061096" w:rsidRPr="002706C2">
        <w:rPr>
          <w:b/>
        </w:rPr>
        <w:t xml:space="preserve"> requirement applicable to wineries that discharge </w:t>
      </w:r>
      <w:r w:rsidR="00544C77" w:rsidRPr="002706C2">
        <w:rPr>
          <w:b/>
        </w:rPr>
        <w:t>via a septic system</w:t>
      </w:r>
      <w:r w:rsidR="00A12220">
        <w:t>.</w:t>
      </w:r>
      <w:r w:rsidR="00544C77" w:rsidRPr="0003370C">
        <w:t xml:space="preserve"> </w:t>
      </w:r>
      <w:r w:rsidR="00061096" w:rsidRPr="0003370C">
        <w:t>The U.S. Environmental Protection Agency (U.S. EPA) states that a Class V well is used to inject or dispose of non</w:t>
      </w:r>
      <w:r w:rsidR="00061096" w:rsidRPr="0003370C">
        <w:noBreakHyphen/>
        <w:t xml:space="preserve">hazardous fluids underground. Septic system </w:t>
      </w:r>
      <w:proofErr w:type="spellStart"/>
      <w:r w:rsidR="00061096" w:rsidRPr="0003370C">
        <w:t>lea</w:t>
      </w:r>
      <w:r w:rsidR="001738FE">
        <w:t>ch</w:t>
      </w:r>
      <w:r w:rsidR="00061096" w:rsidRPr="0003370C">
        <w:t>fields</w:t>
      </w:r>
      <w:proofErr w:type="spellEnd"/>
      <w:r w:rsidR="00061096" w:rsidRPr="0003370C">
        <w:t xml:space="preserve"> are considered a Class V well. The Discharger must register under the U.S. EPA Underground Injection Control Program as operating a Class V well if wastewater is disposed of via </w:t>
      </w:r>
      <w:r w:rsidR="001738FE">
        <w:t xml:space="preserve">a septic system </w:t>
      </w:r>
      <w:proofErr w:type="spellStart"/>
      <w:r w:rsidR="001738FE">
        <w:t>leachfield</w:t>
      </w:r>
      <w:proofErr w:type="spellEnd"/>
      <w:r w:rsidR="00061096" w:rsidRPr="0003370C">
        <w:t>.</w:t>
      </w:r>
      <w:r w:rsidR="00544C77" w:rsidRPr="0003370C">
        <w:t xml:space="preserve"> </w:t>
      </w:r>
      <w:r w:rsidR="00061096" w:rsidRPr="0003370C">
        <w:t>Wineries covered by this Order must separately reg</w:t>
      </w:r>
      <w:r w:rsidR="001738FE">
        <w:t xml:space="preserve">ister their septic system </w:t>
      </w:r>
      <w:proofErr w:type="spellStart"/>
      <w:r w:rsidR="001738FE">
        <w:t>leach</w:t>
      </w:r>
      <w:r w:rsidR="00061096" w:rsidRPr="0003370C">
        <w:t>fields</w:t>
      </w:r>
      <w:proofErr w:type="spellEnd"/>
      <w:r w:rsidR="00061096" w:rsidRPr="0003370C">
        <w:t xml:space="preserve"> using the U.S. EPA Region 9 underground injection well inventory form located online at </w:t>
      </w:r>
      <w:hyperlink r:id="rId11" w:history="1">
        <w:r w:rsidR="00061096" w:rsidRPr="0003370C">
          <w:rPr>
            <w:rStyle w:val="Hyperlink"/>
            <w:rFonts w:eastAsiaTheme="majorEastAsia"/>
            <w:bCs/>
          </w:rPr>
          <w:t>http://www.epa.gov/sites/production/files/2015-10/documents/7520-16_508c.pdf</w:t>
        </w:r>
      </w:hyperlink>
      <w:r w:rsidR="00061096" w:rsidRPr="0003370C">
        <w:t>.</w:t>
      </w:r>
    </w:p>
    <w:p w14:paraId="27F58544" w14:textId="77777777" w:rsidR="00861A10" w:rsidRPr="0003370C" w:rsidRDefault="00861A10" w:rsidP="002706C2">
      <w:pPr>
        <w:pStyle w:val="Agendanumber"/>
        <w:numPr>
          <w:ilvl w:val="0"/>
          <w:numId w:val="0"/>
        </w:numPr>
        <w:ind w:left="585"/>
      </w:pPr>
    </w:p>
    <w:p w14:paraId="3B071EDB" w14:textId="110C5AEF" w:rsidR="00544C77" w:rsidRPr="0003370C" w:rsidRDefault="006B0AB1" w:rsidP="005A3CE8">
      <w:pPr>
        <w:pStyle w:val="ListParagraph"/>
        <w:numPr>
          <w:ilvl w:val="0"/>
          <w:numId w:val="6"/>
        </w:numPr>
        <w:spacing w:after="120"/>
        <w:contextualSpacing w:val="0"/>
        <w:rPr>
          <w:b/>
        </w:rPr>
      </w:pPr>
      <w:bookmarkStart w:id="7" w:name="_Toc470706559"/>
      <w:r>
        <w:rPr>
          <w:b/>
        </w:rPr>
        <w:t>Public notice p</w:t>
      </w:r>
      <w:r w:rsidR="00861A10" w:rsidRPr="0003370C">
        <w:rPr>
          <w:b/>
        </w:rPr>
        <w:t>r</w:t>
      </w:r>
      <w:r>
        <w:rPr>
          <w:b/>
        </w:rPr>
        <w:t>ocesses f</w:t>
      </w:r>
      <w:r w:rsidR="00861A10" w:rsidRPr="0003370C">
        <w:rPr>
          <w:b/>
        </w:rPr>
        <w:t>ollowed</w:t>
      </w:r>
      <w:bookmarkEnd w:id="7"/>
      <w:r w:rsidR="00A12220">
        <w:rPr>
          <w:b/>
        </w:rPr>
        <w:t>.</w:t>
      </w:r>
      <w:r w:rsidR="00544C77" w:rsidRPr="0003370C">
        <w:rPr>
          <w:b/>
        </w:rPr>
        <w:t xml:space="preserve"> </w:t>
      </w:r>
      <w:r w:rsidR="00544C77" w:rsidRPr="0003370C">
        <w:t>The Regional Water Board has followed required public processes in the issuing of this Order.</w:t>
      </w:r>
    </w:p>
    <w:p w14:paraId="398B90D8" w14:textId="7BC7A0B4" w:rsidR="00861A10" w:rsidRPr="0003370C" w:rsidRDefault="00F11F6F" w:rsidP="0058704F">
      <w:pPr>
        <w:spacing w:after="120"/>
        <w:ind w:hanging="360"/>
        <w:rPr>
          <w:b/>
        </w:rPr>
      </w:pPr>
      <w:r w:rsidRPr="005202D4">
        <w:t>a</w:t>
      </w:r>
      <w:r w:rsidR="00544C77" w:rsidRPr="005202D4">
        <w:t>.</w:t>
      </w:r>
      <w:r w:rsidR="00544C77" w:rsidRPr="0003370C">
        <w:rPr>
          <w:b/>
        </w:rPr>
        <w:tab/>
      </w:r>
      <w:r w:rsidR="00861A10" w:rsidRPr="0003370C">
        <w:rPr>
          <w:b/>
        </w:rPr>
        <w:t>Public Notification</w:t>
      </w:r>
      <w:r w:rsidR="00A12220">
        <w:rPr>
          <w:b/>
        </w:rPr>
        <w:t>.</w:t>
      </w:r>
      <w:r w:rsidR="00544C77" w:rsidRPr="0003370C">
        <w:rPr>
          <w:b/>
        </w:rPr>
        <w:t xml:space="preserve"> </w:t>
      </w:r>
      <w:r w:rsidR="00861A10" w:rsidRPr="0003370C">
        <w:t>The Regional Water Board has notified all known dischargers, potential dischargers</w:t>
      </w:r>
      <w:r w:rsidR="00494477">
        <w:t>,</w:t>
      </w:r>
      <w:r w:rsidR="00861A10" w:rsidRPr="0003370C">
        <w:t xml:space="preserve"> and interested parties of the intent to prescribe WDRs by adoption of this Order.</w:t>
      </w:r>
    </w:p>
    <w:p w14:paraId="589791EC" w14:textId="6215AD97" w:rsidR="00861A10" w:rsidRPr="0003370C" w:rsidRDefault="00F11F6F" w:rsidP="002706C2">
      <w:pPr>
        <w:ind w:hanging="360"/>
      </w:pPr>
      <w:r w:rsidRPr="005202D4">
        <w:t>b</w:t>
      </w:r>
      <w:r w:rsidR="00544C77" w:rsidRPr="005202D4">
        <w:t>.</w:t>
      </w:r>
      <w:r w:rsidR="00544C77" w:rsidRPr="005202D4">
        <w:tab/>
      </w:r>
      <w:r w:rsidR="00544C77" w:rsidRPr="0003370C">
        <w:rPr>
          <w:b/>
        </w:rPr>
        <w:t>Public Hearing</w:t>
      </w:r>
      <w:r w:rsidR="00A12220">
        <w:rPr>
          <w:b/>
        </w:rPr>
        <w:t>.</w:t>
      </w:r>
      <w:r w:rsidR="00544C77" w:rsidRPr="0003370C">
        <w:rPr>
          <w:b/>
        </w:rPr>
        <w:t xml:space="preserve"> </w:t>
      </w:r>
      <w:r w:rsidR="00861A10" w:rsidRPr="0003370C">
        <w:t xml:space="preserve">The Regional Water Board, in a public meeting, heard and considered all comments pertaining to the adoption of this Order. </w:t>
      </w:r>
    </w:p>
    <w:p w14:paraId="169B29BE" w14:textId="4E44AF9E" w:rsidR="00D94BE1" w:rsidRPr="0003370C" w:rsidRDefault="007A6084" w:rsidP="0070544E">
      <w:pPr>
        <w:pStyle w:val="Heading2"/>
      </w:pPr>
      <w:bookmarkStart w:id="8" w:name="_Toc470706541"/>
      <w:bookmarkStart w:id="9" w:name="_Toc487002335"/>
      <w:r w:rsidRPr="0003370C" w:rsidDel="00971E55">
        <w:t xml:space="preserve">WINERY WASTEWATER </w:t>
      </w:r>
      <w:r w:rsidRPr="0003370C">
        <w:t>TREATMENT CONSIDERATIONS</w:t>
      </w:r>
      <w:bookmarkEnd w:id="8"/>
      <w:bookmarkEnd w:id="9"/>
    </w:p>
    <w:p w14:paraId="4FF42A97" w14:textId="77777777" w:rsidR="00774B49" w:rsidRPr="00774B49" w:rsidRDefault="00774B49" w:rsidP="00774B49">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pPr>
    </w:p>
    <w:p w14:paraId="312F7030" w14:textId="2DA28C7C" w:rsidR="00D94BE1" w:rsidRPr="002F1E0B" w:rsidRDefault="0003370C" w:rsidP="006B0AB1">
      <w:pPr>
        <w:pStyle w:val="Agendanumber"/>
        <w:numPr>
          <w:ilvl w:val="0"/>
          <w:numId w:val="9"/>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pPr>
      <w:r w:rsidRPr="00900844">
        <w:rPr>
          <w:rFonts w:eastAsiaTheme="minorEastAsia"/>
          <w:b/>
          <w:sz w:val="24"/>
          <w:szCs w:val="24"/>
        </w:rPr>
        <w:t>Wastewater system</w:t>
      </w:r>
      <w:r w:rsidR="00A12220" w:rsidRPr="00900844">
        <w:rPr>
          <w:rFonts w:eastAsiaTheme="minorEastAsia"/>
          <w:b/>
          <w:sz w:val="24"/>
          <w:szCs w:val="24"/>
        </w:rPr>
        <w:t>.</w:t>
      </w:r>
      <w:r w:rsidRPr="00900844">
        <w:rPr>
          <w:rFonts w:eastAsiaTheme="minorEastAsia"/>
          <w:b/>
          <w:sz w:val="24"/>
          <w:szCs w:val="24"/>
        </w:rPr>
        <w:t xml:space="preserve"> </w:t>
      </w:r>
      <w:r w:rsidR="00823C44">
        <w:rPr>
          <w:rFonts w:eastAsiaTheme="minorEastAsia"/>
          <w:sz w:val="24"/>
          <w:szCs w:val="24"/>
        </w:rPr>
        <w:t xml:space="preserve">The term </w:t>
      </w:r>
      <w:r w:rsidR="00D94BE1" w:rsidRPr="00823C44" w:rsidDel="00971E55">
        <w:rPr>
          <w:rFonts w:eastAsiaTheme="minorEastAsia"/>
          <w:i/>
          <w:sz w:val="24"/>
          <w:szCs w:val="24"/>
        </w:rPr>
        <w:t>wastewater system</w:t>
      </w:r>
      <w:r w:rsidR="00D94BE1" w:rsidRPr="00900844" w:rsidDel="00971E55">
        <w:rPr>
          <w:rFonts w:eastAsiaTheme="minorEastAsia"/>
          <w:sz w:val="24"/>
          <w:szCs w:val="24"/>
        </w:rPr>
        <w:t xml:space="preserve"> refers to the collection and conveyance system, treatment equipment and systems, pumping stations, monitoring systems, and other systems associated with the collection, treatment, storage, and dis</w:t>
      </w:r>
      <w:r w:rsidR="00731573">
        <w:rPr>
          <w:rFonts w:eastAsiaTheme="minorEastAsia"/>
          <w:sz w:val="24"/>
          <w:szCs w:val="24"/>
        </w:rPr>
        <w:t>charge</w:t>
      </w:r>
      <w:r w:rsidR="00D94BE1" w:rsidRPr="00900844" w:rsidDel="00971E55">
        <w:rPr>
          <w:rFonts w:eastAsiaTheme="minorEastAsia"/>
          <w:sz w:val="24"/>
          <w:szCs w:val="24"/>
        </w:rPr>
        <w:t xml:space="preserve"> of wastewater. </w:t>
      </w:r>
    </w:p>
    <w:p w14:paraId="53ECD4D2" w14:textId="77777777" w:rsidR="002F1E0B" w:rsidRPr="0003370C" w:rsidRDefault="002F1E0B" w:rsidP="00CF654D">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pPr>
    </w:p>
    <w:p w14:paraId="03604379" w14:textId="6B5E8FC5" w:rsidR="00D94BE1" w:rsidRPr="005E4B99" w:rsidRDefault="0003370C" w:rsidP="00063478">
      <w:pPr>
        <w:pStyle w:val="ListParagraph"/>
        <w:numPr>
          <w:ilvl w:val="0"/>
          <w:numId w:val="9"/>
        </w:numPr>
        <w:rPr>
          <w:rFonts w:eastAsiaTheme="minorEastAsia"/>
        </w:rPr>
      </w:pPr>
      <w:r w:rsidRPr="00A12220">
        <w:rPr>
          <w:rFonts w:eastAsiaTheme="minorEastAsia"/>
          <w:b/>
        </w:rPr>
        <w:t xml:space="preserve">Alternative septic systems may be used by facilities covered under this Order, but </w:t>
      </w:r>
      <w:r w:rsidR="00823C44">
        <w:rPr>
          <w:rFonts w:eastAsiaTheme="minorEastAsia"/>
          <w:b/>
        </w:rPr>
        <w:t xml:space="preserve">conventional </w:t>
      </w:r>
      <w:r w:rsidRPr="00A12220">
        <w:rPr>
          <w:rFonts w:eastAsiaTheme="minorEastAsia"/>
          <w:b/>
        </w:rPr>
        <w:t>septic systems may not</w:t>
      </w:r>
      <w:r w:rsidR="00567627" w:rsidRPr="00A12220">
        <w:rPr>
          <w:rFonts w:eastAsiaTheme="minorEastAsia"/>
          <w:b/>
        </w:rPr>
        <w:t>.</w:t>
      </w:r>
      <w:r w:rsidRPr="00A12220">
        <w:rPr>
          <w:rFonts w:eastAsiaTheme="minorEastAsia"/>
          <w:b/>
        </w:rPr>
        <w:t xml:space="preserve"> </w:t>
      </w:r>
      <w:r w:rsidR="00567627" w:rsidRPr="005E4B99">
        <w:t>Alternative septic systems are designed to accommodate winery (high-strength) waste</w:t>
      </w:r>
      <w:r w:rsidR="00A12220" w:rsidRPr="005E4B99">
        <w:t>.</w:t>
      </w:r>
      <w:r w:rsidR="00567627" w:rsidRPr="005E4B99">
        <w:t xml:space="preserve"> </w:t>
      </w:r>
      <w:r w:rsidR="00D94BE1" w:rsidRPr="005E4B99">
        <w:t>Using a conventional septic tank designed for domestic wastewater for the treatment of winery wastewa</w:t>
      </w:r>
      <w:r w:rsidR="00A12220" w:rsidRPr="005E4B99">
        <w:t>ter is prohibited in this Order</w:t>
      </w:r>
      <w:r w:rsidR="00823C44">
        <w:t xml:space="preserve"> for Tier 2 facilities and Tier 3 facilities that discharge greater than 1,500 gallons per day</w:t>
      </w:r>
      <w:r w:rsidR="00037CB0">
        <w:t>, unless it is used as a pretreatment settling unit prior to additional treatment</w:t>
      </w:r>
      <w:r w:rsidR="00A12220" w:rsidRPr="005E4B99">
        <w:t>.</w:t>
      </w:r>
      <w:r w:rsidR="00823C44">
        <w:t xml:space="preserve"> For existing Tier 1 wineries, the conventional septic system can be used if the wastewater entering the septic system has a BOD concentration less than 300 mg/L and a TSS concentration less than 330 mg/L. </w:t>
      </w:r>
    </w:p>
    <w:p w14:paraId="1F093474" w14:textId="77777777" w:rsidR="00D94BE1" w:rsidRPr="0003370C" w:rsidRDefault="00D94BE1" w:rsidP="00567627">
      <w:pPr>
        <w:pStyle w:val="ListParagraph"/>
        <w:rPr>
          <w:rFonts w:eastAsiaTheme="minorEastAsia"/>
        </w:rPr>
      </w:pPr>
    </w:p>
    <w:p w14:paraId="66CFBB80" w14:textId="0C4EEC2A" w:rsidR="00D64AC7" w:rsidRDefault="00313572" w:rsidP="00063478">
      <w:pPr>
        <w:pStyle w:val="ListParagraph"/>
        <w:numPr>
          <w:ilvl w:val="0"/>
          <w:numId w:val="9"/>
        </w:numPr>
      </w:pPr>
      <w:r>
        <w:rPr>
          <w:b/>
        </w:rPr>
        <w:t>Solids must be rem</w:t>
      </w:r>
      <w:r w:rsidR="001738FE">
        <w:rPr>
          <w:b/>
        </w:rPr>
        <w:t>oved before dis</w:t>
      </w:r>
      <w:r w:rsidR="00731573">
        <w:rPr>
          <w:b/>
        </w:rPr>
        <w:t>charge</w:t>
      </w:r>
      <w:r w:rsidR="001738FE">
        <w:rPr>
          <w:b/>
        </w:rPr>
        <w:t xml:space="preserve"> to a </w:t>
      </w:r>
      <w:proofErr w:type="spellStart"/>
      <w:r w:rsidR="001738FE">
        <w:rPr>
          <w:b/>
        </w:rPr>
        <w:t>leachfield</w:t>
      </w:r>
      <w:proofErr w:type="spellEnd"/>
      <w:r w:rsidR="001738FE">
        <w:rPr>
          <w:b/>
        </w:rPr>
        <w:t xml:space="preserve"> so that the </w:t>
      </w:r>
      <w:proofErr w:type="spellStart"/>
      <w:r w:rsidR="001738FE">
        <w:rPr>
          <w:b/>
        </w:rPr>
        <w:t>leach</w:t>
      </w:r>
      <w:r>
        <w:rPr>
          <w:b/>
        </w:rPr>
        <w:t>field</w:t>
      </w:r>
      <w:proofErr w:type="spellEnd"/>
      <w:r>
        <w:rPr>
          <w:b/>
        </w:rPr>
        <w:t xml:space="preserve"> </w:t>
      </w:r>
      <w:r w:rsidR="00037CB0">
        <w:rPr>
          <w:b/>
        </w:rPr>
        <w:t>distribution system</w:t>
      </w:r>
      <w:r>
        <w:rPr>
          <w:b/>
        </w:rPr>
        <w:t xml:space="preserve"> does not clog. </w:t>
      </w:r>
      <w:r w:rsidR="00D94BE1" w:rsidRPr="0003370C">
        <w:t>If the Discharger uses a septic system that results in subsurfa</w:t>
      </w:r>
      <w:r w:rsidR="001738FE">
        <w:t>ce dis</w:t>
      </w:r>
      <w:r w:rsidR="00731573">
        <w:t>charge</w:t>
      </w:r>
      <w:r w:rsidR="001738FE">
        <w:t xml:space="preserve"> via a </w:t>
      </w:r>
      <w:proofErr w:type="spellStart"/>
      <w:r w:rsidR="001738FE">
        <w:t>leach</w:t>
      </w:r>
      <w:r w:rsidR="00D94BE1" w:rsidRPr="0003370C">
        <w:t>field</w:t>
      </w:r>
      <w:proofErr w:type="spellEnd"/>
      <w:r w:rsidR="00D94BE1" w:rsidRPr="0003370C">
        <w:t>, solids and organic matter in the wastewater may result in leach drain clogging and have a negative impa</w:t>
      </w:r>
      <w:r w:rsidR="001738FE">
        <w:t xml:space="preserve">ct on permeability at the </w:t>
      </w:r>
      <w:r w:rsidR="00037CB0">
        <w:t>discharge</w:t>
      </w:r>
      <w:r w:rsidR="00D94BE1" w:rsidRPr="0003370C">
        <w:t xml:space="preserve"> site. This Order requires that the wastewater is treated to reduce the concentration of solids and organic matter prior</w:t>
      </w:r>
      <w:r w:rsidR="001738FE">
        <w:t xml:space="preserve"> to discharge via a </w:t>
      </w:r>
      <w:proofErr w:type="spellStart"/>
      <w:r w:rsidR="001738FE">
        <w:t>leach</w:t>
      </w:r>
      <w:r>
        <w:t>field</w:t>
      </w:r>
      <w:proofErr w:type="spellEnd"/>
      <w:r>
        <w:t>.</w:t>
      </w:r>
    </w:p>
    <w:p w14:paraId="70B7CBF1" w14:textId="77777777" w:rsidR="00447AC2" w:rsidRDefault="00447AC2" w:rsidP="00447AC2">
      <w:pPr>
        <w:pStyle w:val="ListParagraph"/>
      </w:pPr>
    </w:p>
    <w:p w14:paraId="31DA37AC" w14:textId="77777777" w:rsidR="00447AC2" w:rsidRPr="00B916B9" w:rsidRDefault="00447AC2" w:rsidP="00447AC2">
      <w:pPr>
        <w:pStyle w:val="OrderItem"/>
        <w:numPr>
          <w:ilvl w:val="0"/>
          <w:numId w:val="9"/>
        </w:numPr>
        <w:rPr>
          <w:b/>
        </w:rPr>
      </w:pPr>
      <w:r w:rsidRPr="00B916B9">
        <w:rPr>
          <w:b/>
        </w:rPr>
        <w:t>Treatm</w:t>
      </w:r>
      <w:r>
        <w:rPr>
          <w:b/>
        </w:rPr>
        <w:t>ent and discharge</w:t>
      </w:r>
      <w:r w:rsidRPr="00B916B9">
        <w:rPr>
          <w:b/>
        </w:rPr>
        <w:t xml:space="preserve"> of wastewater </w:t>
      </w:r>
      <w:r>
        <w:rPr>
          <w:b/>
        </w:rPr>
        <w:t>must</w:t>
      </w:r>
      <w:r w:rsidRPr="00B916B9">
        <w:rPr>
          <w:b/>
        </w:rPr>
        <w:t xml:space="preserve"> demonstrate Best Practicable Treatment or Control (BPTC) for winery wastewater and domestic wastewater, where applicable. </w:t>
      </w:r>
      <w:r w:rsidRPr="00B916B9">
        <w:t xml:space="preserve">BPTC </w:t>
      </w:r>
      <w:r>
        <w:t>is</w:t>
      </w:r>
      <w:r w:rsidRPr="00B916B9">
        <w:t xml:space="preserve"> demonstrated by compliance with all of the following:</w:t>
      </w:r>
    </w:p>
    <w:p w14:paraId="1B969B53" w14:textId="77777777" w:rsidR="00447AC2" w:rsidRPr="006008DB" w:rsidRDefault="00447AC2" w:rsidP="00447AC2">
      <w:pPr>
        <w:pStyle w:val="ListParagraph"/>
        <w:numPr>
          <w:ilvl w:val="0"/>
          <w:numId w:val="84"/>
        </w:numPr>
        <w:spacing w:after="120"/>
        <w:contextualSpacing w:val="0"/>
        <w:rPr>
          <w:szCs w:val="24"/>
        </w:rPr>
      </w:pPr>
      <w:r>
        <w:rPr>
          <w:szCs w:val="24"/>
        </w:rPr>
        <w:t>Compliance with the</w:t>
      </w:r>
      <w:r w:rsidRPr="006008DB">
        <w:rPr>
          <w:szCs w:val="24"/>
        </w:rPr>
        <w:t xml:space="preserve"> Order</w:t>
      </w:r>
      <w:r>
        <w:rPr>
          <w:szCs w:val="24"/>
        </w:rPr>
        <w:t>;</w:t>
      </w:r>
    </w:p>
    <w:p w14:paraId="7BD190D2" w14:textId="77777777" w:rsidR="00447AC2" w:rsidRDefault="00447AC2" w:rsidP="00447AC2">
      <w:pPr>
        <w:pStyle w:val="ListParagraph"/>
        <w:numPr>
          <w:ilvl w:val="0"/>
          <w:numId w:val="84"/>
        </w:numPr>
        <w:spacing w:after="120"/>
        <w:contextualSpacing w:val="0"/>
        <w:rPr>
          <w:szCs w:val="24"/>
        </w:rPr>
      </w:pPr>
      <w:r w:rsidRPr="006008DB">
        <w:rPr>
          <w:szCs w:val="24"/>
        </w:rPr>
        <w:t xml:space="preserve">Compliance with the </w:t>
      </w:r>
      <w:r>
        <w:rPr>
          <w:szCs w:val="24"/>
        </w:rPr>
        <w:t>Notice of Intent Package, as submitted; and</w:t>
      </w:r>
    </w:p>
    <w:p w14:paraId="31ADC80B" w14:textId="77777777" w:rsidR="00447AC2" w:rsidRPr="006008DB" w:rsidRDefault="00447AC2" w:rsidP="00447AC2">
      <w:pPr>
        <w:pStyle w:val="ListParagraph"/>
        <w:numPr>
          <w:ilvl w:val="0"/>
          <w:numId w:val="84"/>
        </w:numPr>
        <w:spacing w:after="120"/>
        <w:contextualSpacing w:val="0"/>
        <w:rPr>
          <w:szCs w:val="24"/>
        </w:rPr>
      </w:pPr>
      <w:r>
        <w:rPr>
          <w:szCs w:val="24"/>
        </w:rPr>
        <w:t>Compliance with</w:t>
      </w:r>
      <w:r w:rsidRPr="006008DB">
        <w:rPr>
          <w:szCs w:val="24"/>
        </w:rPr>
        <w:t>:</w:t>
      </w:r>
    </w:p>
    <w:p w14:paraId="72E01C4B" w14:textId="77777777" w:rsidR="00447AC2" w:rsidRPr="006008DB" w:rsidRDefault="00447AC2" w:rsidP="00447AC2">
      <w:pPr>
        <w:pStyle w:val="ListParagraph"/>
        <w:numPr>
          <w:ilvl w:val="0"/>
          <w:numId w:val="85"/>
        </w:numPr>
        <w:spacing w:after="120"/>
        <w:ind w:left="1080"/>
        <w:contextualSpacing w:val="0"/>
        <w:rPr>
          <w:szCs w:val="24"/>
        </w:rPr>
      </w:pPr>
      <w:r w:rsidRPr="006008DB">
        <w:rPr>
          <w:szCs w:val="24"/>
        </w:rPr>
        <w:t xml:space="preserve">Applicable Basin Plan groundwater limitations as stated in Section 3.4 of the Basin Plan. </w:t>
      </w:r>
    </w:p>
    <w:p w14:paraId="1AAA6255" w14:textId="77777777" w:rsidR="00447AC2" w:rsidRPr="006008DB" w:rsidRDefault="00447AC2" w:rsidP="00447AC2">
      <w:pPr>
        <w:pStyle w:val="ListParagraph"/>
        <w:numPr>
          <w:ilvl w:val="0"/>
          <w:numId w:val="85"/>
        </w:numPr>
        <w:spacing w:after="120"/>
        <w:ind w:left="1080"/>
        <w:contextualSpacing w:val="0"/>
        <w:rPr>
          <w:szCs w:val="24"/>
        </w:rPr>
      </w:pPr>
      <w:r w:rsidRPr="006008DB">
        <w:rPr>
          <w:szCs w:val="24"/>
        </w:rPr>
        <w:t>Requirements for</w:t>
      </w:r>
      <w:r>
        <w:rPr>
          <w:szCs w:val="24"/>
        </w:rPr>
        <w:t xml:space="preserve"> operation of the wastewater tre</w:t>
      </w:r>
      <w:r w:rsidRPr="006008DB">
        <w:rPr>
          <w:szCs w:val="24"/>
        </w:rPr>
        <w:t>atment system and disinfection requirements provided by the Division of Drinking Water approved Title 22 Engineering Report. The Engineering Report is required if the treated wastewater contains domestic wastewater and the recycled water is being used to irrigate vineyards. The uses and water quality treatment requirements of recycled water that is used for irrigation are contained in CCR Title 22 section 60304.</w:t>
      </w:r>
    </w:p>
    <w:p w14:paraId="158B1EBD" w14:textId="77777777" w:rsidR="00447AC2" w:rsidRPr="006008DB" w:rsidRDefault="00447AC2" w:rsidP="00447AC2">
      <w:pPr>
        <w:pStyle w:val="ListParagraph"/>
        <w:numPr>
          <w:ilvl w:val="0"/>
          <w:numId w:val="85"/>
        </w:numPr>
        <w:spacing w:after="120"/>
        <w:ind w:left="1080"/>
        <w:contextualSpacing w:val="0"/>
        <w:rPr>
          <w:szCs w:val="24"/>
        </w:rPr>
      </w:pPr>
      <w:r w:rsidRPr="006008DB">
        <w:rPr>
          <w:szCs w:val="24"/>
        </w:rPr>
        <w:t>Water quality-related mitigation measures from an approved site-specific CEQA document (if one is prepared).</w:t>
      </w:r>
    </w:p>
    <w:p w14:paraId="1526F38F" w14:textId="77777777" w:rsidR="00447AC2" w:rsidRDefault="00447AC2" w:rsidP="00447AC2">
      <w:pPr>
        <w:ind w:left="360"/>
      </w:pPr>
      <w:r w:rsidRPr="00386595">
        <w:t xml:space="preserve">The </w:t>
      </w:r>
      <w:r>
        <w:t>i</w:t>
      </w:r>
      <w:r w:rsidRPr="00386595">
        <w:t xml:space="preserve">nformation submitted in the NOI and accompanying </w:t>
      </w:r>
      <w:r>
        <w:t>Notice of Intent Package</w:t>
      </w:r>
      <w:r w:rsidRPr="00386595">
        <w:t xml:space="preserve"> ensure</w:t>
      </w:r>
      <w:r>
        <w:t xml:space="preserve">s that a </w:t>
      </w:r>
      <w:r w:rsidRPr="00386595">
        <w:t xml:space="preserve">facility is designed to sufficiently treat and properly dispose of the waste generated by the facility and to ensure that the Order requirements are met. The </w:t>
      </w:r>
      <w:r>
        <w:t>Technical Report</w:t>
      </w:r>
      <w:r w:rsidRPr="00386595">
        <w:t xml:space="preserve"> substantiates the information presented in the NOI and </w:t>
      </w:r>
      <w:r>
        <w:t>the Notice of Intent Package</w:t>
      </w:r>
      <w:r w:rsidRPr="00386595">
        <w:t>.</w:t>
      </w:r>
    </w:p>
    <w:p w14:paraId="00C2F303" w14:textId="0815C650" w:rsidR="00D64AC7" w:rsidRDefault="00D64AC7" w:rsidP="00447AC2">
      <w:pPr>
        <w:ind w:left="0"/>
      </w:pPr>
    </w:p>
    <w:p w14:paraId="7243195C" w14:textId="57424725" w:rsidR="00D64AC7" w:rsidRPr="00CB58F6" w:rsidDel="00971E55" w:rsidRDefault="007A6084" w:rsidP="0070544E">
      <w:pPr>
        <w:pStyle w:val="Heading2"/>
      </w:pPr>
      <w:bookmarkStart w:id="10" w:name="_Toc470706543"/>
      <w:bookmarkStart w:id="11" w:name="_Toc487002336"/>
      <w:r>
        <w:t>WINERY WASTEWATER C</w:t>
      </w:r>
      <w:r w:rsidRPr="00CB58F6" w:rsidDel="00971E55">
        <w:t>HARACTERISTICS</w:t>
      </w:r>
      <w:bookmarkEnd w:id="10"/>
      <w:bookmarkEnd w:id="11"/>
      <w:r w:rsidRPr="00CB58F6" w:rsidDel="00971E55">
        <w:t xml:space="preserve"> </w:t>
      </w:r>
    </w:p>
    <w:p w14:paraId="5EAA54DA" w14:textId="77777777" w:rsidR="00774B49" w:rsidRPr="00774B49" w:rsidRDefault="00774B49" w:rsidP="00774B49">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p>
    <w:p w14:paraId="1330CDFE" w14:textId="6EE83E48" w:rsidR="00D64AC7" w:rsidRPr="00CB58F6" w:rsidDel="00971E55" w:rsidRDefault="00A23AE5" w:rsidP="00063478">
      <w:pPr>
        <w:pStyle w:val="Agendanumber"/>
        <w:numPr>
          <w:ilvl w:val="0"/>
          <w:numId w:val="1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 xml:space="preserve">Winery wastewater has variable chemistry. </w:t>
      </w:r>
      <w:r w:rsidR="00D64AC7" w:rsidRPr="00CB58F6" w:rsidDel="00971E55">
        <w:rPr>
          <w:sz w:val="24"/>
          <w:szCs w:val="24"/>
        </w:rPr>
        <w:t>Winery process wastewater can have a high organic load, low pH, variable salinity, and nutrient levels that have the potential to impact</w:t>
      </w:r>
      <w:r w:rsidR="00D64AC7">
        <w:rPr>
          <w:sz w:val="24"/>
          <w:szCs w:val="24"/>
        </w:rPr>
        <w:t xml:space="preserve"> water quality</w:t>
      </w:r>
      <w:r w:rsidR="00D64AC7" w:rsidRPr="00CB58F6" w:rsidDel="00971E55">
        <w:rPr>
          <w:sz w:val="24"/>
          <w:szCs w:val="24"/>
        </w:rPr>
        <w:t>. The variability in the winery wastewater characteristics is attributed to differences in winemaking processes and techniques, amounts of water used, and overall winery design</w:t>
      </w:r>
      <w:r w:rsidR="00A66179" w:rsidRPr="00CB58F6" w:rsidDel="00971E55">
        <w:rPr>
          <w:sz w:val="24"/>
          <w:szCs w:val="24"/>
        </w:rPr>
        <w:t>.</w:t>
      </w:r>
    </w:p>
    <w:p w14:paraId="13E284A5" w14:textId="1B0E281D" w:rsidR="00D64AC7" w:rsidRPr="00CB58F6" w:rsidDel="00971E55" w:rsidRDefault="00D64AC7" w:rsidP="00A66179">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p>
    <w:p w14:paraId="74077199" w14:textId="24D0B179" w:rsidR="00D64AC7" w:rsidRPr="00CB58F6" w:rsidDel="00971E55" w:rsidRDefault="00A66179" w:rsidP="00063478">
      <w:pPr>
        <w:pStyle w:val="Agendanumber"/>
        <w:numPr>
          <w:ilvl w:val="0"/>
          <w:numId w:val="1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 xml:space="preserve">Most winery wastewater is generated during the crush season. </w:t>
      </w:r>
      <w:r w:rsidR="00D64AC7" w:rsidRPr="00CB58F6" w:rsidDel="00971E55">
        <w:rPr>
          <w:sz w:val="24"/>
          <w:szCs w:val="24"/>
        </w:rPr>
        <w:t>Depending on the size and type of activity occurring at a winery, the production of winery wastewater is generated during two primary seasons, referred to here</w:t>
      </w:r>
      <w:r w:rsidR="00D64AC7">
        <w:rPr>
          <w:sz w:val="24"/>
          <w:szCs w:val="24"/>
        </w:rPr>
        <w:t>in</w:t>
      </w:r>
      <w:r w:rsidR="00D64AC7" w:rsidRPr="00CB58F6" w:rsidDel="00971E55">
        <w:rPr>
          <w:sz w:val="24"/>
          <w:szCs w:val="24"/>
        </w:rPr>
        <w:t xml:space="preserve"> as </w:t>
      </w:r>
      <w:r w:rsidR="00D64AC7">
        <w:rPr>
          <w:sz w:val="24"/>
          <w:szCs w:val="24"/>
        </w:rPr>
        <w:t>“</w:t>
      </w:r>
      <w:r w:rsidR="00D64AC7" w:rsidRPr="00CB58F6" w:rsidDel="00971E55">
        <w:rPr>
          <w:sz w:val="24"/>
          <w:szCs w:val="24"/>
        </w:rPr>
        <w:t>crush</w:t>
      </w:r>
      <w:r w:rsidR="00D64AC7">
        <w:rPr>
          <w:sz w:val="24"/>
          <w:szCs w:val="24"/>
        </w:rPr>
        <w:t>”</w:t>
      </w:r>
      <w:r w:rsidR="00D64AC7" w:rsidRPr="00CB58F6" w:rsidDel="00971E55">
        <w:rPr>
          <w:sz w:val="24"/>
          <w:szCs w:val="24"/>
        </w:rPr>
        <w:t xml:space="preserve"> and </w:t>
      </w:r>
      <w:r w:rsidR="00D64AC7">
        <w:rPr>
          <w:sz w:val="24"/>
          <w:szCs w:val="24"/>
        </w:rPr>
        <w:t>“</w:t>
      </w:r>
      <w:r w:rsidR="00D64AC7" w:rsidRPr="00CB58F6" w:rsidDel="00971E55">
        <w:rPr>
          <w:sz w:val="24"/>
          <w:szCs w:val="24"/>
        </w:rPr>
        <w:t>non-crush.</w:t>
      </w:r>
      <w:r w:rsidR="00D64AC7">
        <w:rPr>
          <w:sz w:val="24"/>
          <w:szCs w:val="24"/>
        </w:rPr>
        <w:t>”</w:t>
      </w:r>
      <w:r w:rsidR="00D64AC7" w:rsidRPr="00CB58F6" w:rsidDel="00971E55">
        <w:rPr>
          <w:sz w:val="24"/>
          <w:szCs w:val="24"/>
        </w:rPr>
        <w:t xml:space="preserve"> The crush generally spans three months a year, between September and December, but can vary</w:t>
      </w:r>
      <w:r w:rsidR="00E34260">
        <w:rPr>
          <w:sz w:val="24"/>
          <w:szCs w:val="24"/>
        </w:rPr>
        <w:t xml:space="preserve"> in length</w:t>
      </w:r>
      <w:r w:rsidR="00D64AC7" w:rsidRPr="00CB58F6" w:rsidDel="00971E55">
        <w:rPr>
          <w:sz w:val="24"/>
          <w:szCs w:val="24"/>
        </w:rPr>
        <w:t xml:space="preserve"> from about 42 to 140 days depending on the </w:t>
      </w:r>
      <w:r w:rsidR="00D64AC7">
        <w:rPr>
          <w:sz w:val="24"/>
          <w:szCs w:val="24"/>
        </w:rPr>
        <w:t>size of the vineyard and grape ripeness.</w:t>
      </w:r>
      <w:r w:rsidR="00D64AC7" w:rsidRPr="00CB58F6" w:rsidDel="00971E55">
        <w:rPr>
          <w:sz w:val="24"/>
          <w:szCs w:val="24"/>
        </w:rPr>
        <w:t xml:space="preserve"> Discharges during the crush typically include wastewater generated during harvesting and crushing grapes. It is during the crush that the majority (generally greater than 60 percent) of the wastewater is generated. Floor and barrel washing, racking, sanitation, and bottling occur throughout the year and contribute to the wastewater generated during the non-crush season. </w:t>
      </w:r>
    </w:p>
    <w:p w14:paraId="5C9DFB9B" w14:textId="77777777" w:rsidR="00D64AC7" w:rsidRPr="00CB58F6" w:rsidDel="00971E55" w:rsidRDefault="00D64AC7" w:rsidP="00D64AC7">
      <w:pPr>
        <w:pStyle w:val="ListParagraph"/>
        <w:ind w:left="360" w:hanging="360"/>
        <w:rPr>
          <w:szCs w:val="24"/>
        </w:rPr>
      </w:pPr>
    </w:p>
    <w:p w14:paraId="2CF474B5" w14:textId="3DEDD97A" w:rsidR="00D64AC7" w:rsidRPr="00727103" w:rsidDel="00971E55" w:rsidRDefault="006B0AB1" w:rsidP="00710BEF">
      <w:pPr>
        <w:pStyle w:val="Agendanumber"/>
        <w:numPr>
          <w:ilvl w:val="0"/>
          <w:numId w:val="1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bookmarkStart w:id="12" w:name="_Toc448403898"/>
      <w:bookmarkStart w:id="13" w:name="_Toc470706544"/>
      <w:r>
        <w:rPr>
          <w:b/>
          <w:sz w:val="24"/>
          <w:szCs w:val="24"/>
        </w:rPr>
        <w:t>Water q</w:t>
      </w:r>
      <w:r w:rsidR="003B17ED" w:rsidRPr="00727103" w:rsidDel="00971E55">
        <w:rPr>
          <w:b/>
          <w:sz w:val="24"/>
          <w:szCs w:val="24"/>
        </w:rPr>
        <w:t>ual</w:t>
      </w:r>
      <w:r>
        <w:rPr>
          <w:b/>
          <w:sz w:val="24"/>
          <w:szCs w:val="24"/>
        </w:rPr>
        <w:t>ity constituents of i</w:t>
      </w:r>
      <w:r w:rsidR="003B17ED" w:rsidRPr="00727103" w:rsidDel="00971E55">
        <w:rPr>
          <w:b/>
          <w:sz w:val="24"/>
          <w:szCs w:val="24"/>
        </w:rPr>
        <w:t>nterest</w:t>
      </w:r>
      <w:bookmarkEnd w:id="12"/>
      <w:r>
        <w:rPr>
          <w:b/>
          <w:sz w:val="24"/>
          <w:szCs w:val="24"/>
        </w:rPr>
        <w:t>: c</w:t>
      </w:r>
      <w:r w:rsidR="003B17ED" w:rsidRPr="00727103" w:rsidDel="00971E55">
        <w:rPr>
          <w:b/>
          <w:sz w:val="24"/>
          <w:szCs w:val="24"/>
        </w:rPr>
        <w:t xml:space="preserve">haracteristics and </w:t>
      </w:r>
      <w:r>
        <w:rPr>
          <w:b/>
          <w:sz w:val="24"/>
          <w:szCs w:val="24"/>
        </w:rPr>
        <w:t>m</w:t>
      </w:r>
      <w:r w:rsidR="003B17ED" w:rsidRPr="00727103" w:rsidDel="00971E55">
        <w:rPr>
          <w:b/>
          <w:sz w:val="24"/>
          <w:szCs w:val="24"/>
        </w:rPr>
        <w:t>anagement</w:t>
      </w:r>
      <w:bookmarkEnd w:id="13"/>
      <w:r w:rsidR="003B17ED" w:rsidRPr="00727103">
        <w:rPr>
          <w:sz w:val="24"/>
          <w:szCs w:val="24"/>
        </w:rPr>
        <w:t xml:space="preserve">. </w:t>
      </w:r>
      <w:r w:rsidR="00D64AC7" w:rsidRPr="00727103" w:rsidDel="00971E55">
        <w:rPr>
          <w:sz w:val="24"/>
          <w:szCs w:val="24"/>
        </w:rPr>
        <w:t>The following is a discussion of water quality constituents that may be discharged in winery wastewater. It is intended to describe those constituents most likely to be discharged, but is not exhaustive.</w:t>
      </w:r>
      <w:r w:rsidR="00B553BF">
        <w:rPr>
          <w:sz w:val="24"/>
          <w:szCs w:val="24"/>
        </w:rPr>
        <w:t xml:space="preserve"> Additional information on winery waste water quality is provided in </w:t>
      </w:r>
      <w:r w:rsidR="00B553BF" w:rsidRPr="00B553BF">
        <w:rPr>
          <w:b/>
          <w:sz w:val="24"/>
          <w:szCs w:val="24"/>
        </w:rPr>
        <w:t>section D.4</w:t>
      </w:r>
      <w:r w:rsidR="00B553BF">
        <w:rPr>
          <w:sz w:val="24"/>
          <w:szCs w:val="24"/>
        </w:rPr>
        <w:t xml:space="preserve"> of the Fact Sheet.</w:t>
      </w:r>
    </w:p>
    <w:p w14:paraId="46FC60F9" w14:textId="52D9AA46" w:rsidR="00D64AC7" w:rsidRPr="000F7252" w:rsidDel="00971E55" w:rsidRDefault="00D64AC7" w:rsidP="00362D97">
      <w:pPr>
        <w:pStyle w:val="ListParagraph"/>
        <w:numPr>
          <w:ilvl w:val="0"/>
          <w:numId w:val="49"/>
        </w:numPr>
        <w:spacing w:after="120"/>
        <w:ind w:left="720"/>
        <w:contextualSpacing w:val="0"/>
      </w:pPr>
      <w:bookmarkStart w:id="14" w:name="_Toc448403901"/>
      <w:r w:rsidRPr="00D23F6C" w:rsidDel="00971E55">
        <w:rPr>
          <w:b/>
        </w:rPr>
        <w:t>Organic / B</w:t>
      </w:r>
      <w:r w:rsidR="006B0AB1" w:rsidRPr="00D23F6C">
        <w:rPr>
          <w:b/>
        </w:rPr>
        <w:t>iochemical Oxygen Demand (BOD) l</w:t>
      </w:r>
      <w:r w:rsidRPr="00D23F6C" w:rsidDel="00971E55">
        <w:rPr>
          <w:b/>
        </w:rPr>
        <w:t>oading</w:t>
      </w:r>
      <w:r w:rsidR="00241994" w:rsidRPr="00D23F6C">
        <w:rPr>
          <w:b/>
        </w:rPr>
        <w:t xml:space="preserve"> </w:t>
      </w:r>
      <w:r w:rsidR="006126BC">
        <w:rPr>
          <w:b/>
        </w:rPr>
        <w:t>can lead</w:t>
      </w:r>
      <w:r w:rsidR="00241994" w:rsidRPr="00D23F6C">
        <w:rPr>
          <w:b/>
        </w:rPr>
        <w:t xml:space="preserve"> to anaerobic conditions, which slows the soil’s natural wastewater treatment processes.</w:t>
      </w:r>
      <w:r w:rsidRPr="00727103" w:rsidDel="00971E55">
        <w:t xml:space="preserve"> </w:t>
      </w:r>
      <w:bookmarkEnd w:id="14"/>
      <w:r w:rsidR="005E5ACE">
        <w:t xml:space="preserve">This Order addresses BOD through effluent limitations and the requirement to allow resting periods for the soil. </w:t>
      </w:r>
    </w:p>
    <w:p w14:paraId="73A48CF3" w14:textId="0D356CC0" w:rsidR="00D23F6C" w:rsidRDefault="00241994" w:rsidP="00362D97">
      <w:pPr>
        <w:pStyle w:val="ListParagraph"/>
        <w:numPr>
          <w:ilvl w:val="0"/>
          <w:numId w:val="49"/>
        </w:numPr>
        <w:spacing w:after="120"/>
        <w:ind w:left="720"/>
        <w:contextualSpacing w:val="0"/>
      </w:pPr>
      <w:r w:rsidRPr="00D23F6C">
        <w:rPr>
          <w:b/>
        </w:rPr>
        <w:t xml:space="preserve">Low or high </w:t>
      </w:r>
      <w:r w:rsidR="00D64AC7" w:rsidRPr="00D23F6C">
        <w:rPr>
          <w:b/>
        </w:rPr>
        <w:t>pH</w:t>
      </w:r>
      <w:r>
        <w:t xml:space="preserve"> </w:t>
      </w:r>
      <w:r w:rsidR="007B68EF" w:rsidRPr="00D23F6C">
        <w:rPr>
          <w:b/>
        </w:rPr>
        <w:t>can deteriorate soil health and mobilize</w:t>
      </w:r>
      <w:r w:rsidRPr="00D23F6C">
        <w:rPr>
          <w:b/>
        </w:rPr>
        <w:t xml:space="preserve"> metals.</w:t>
      </w:r>
      <w:r>
        <w:t xml:space="preserve">  </w:t>
      </w:r>
      <w:r w:rsidR="005E5ACE" w:rsidRPr="000F7252">
        <w:t xml:space="preserve">This Order contains an effluent </w:t>
      </w:r>
      <w:r w:rsidR="00604C97">
        <w:t xml:space="preserve">pH </w:t>
      </w:r>
      <w:r w:rsidR="005E5ACE" w:rsidRPr="000F7252">
        <w:t xml:space="preserve">limitation </w:t>
      </w:r>
      <w:r w:rsidR="00604C97">
        <w:t xml:space="preserve">range of </w:t>
      </w:r>
      <w:r w:rsidR="005E5ACE" w:rsidRPr="000F7252">
        <w:t xml:space="preserve">6.0 to 9.0, which ensures that the effluent is neither too basic nor too acidic to support microbial activity in the receiving soil and groundwater. </w:t>
      </w:r>
    </w:p>
    <w:p w14:paraId="6DC2C5D2" w14:textId="7AD960E5" w:rsidR="00D23F6C" w:rsidRDefault="007B68EF" w:rsidP="00362D97">
      <w:pPr>
        <w:pStyle w:val="ListParagraph"/>
        <w:numPr>
          <w:ilvl w:val="0"/>
          <w:numId w:val="49"/>
        </w:numPr>
        <w:spacing w:after="120"/>
        <w:ind w:left="720"/>
        <w:contextualSpacing w:val="0"/>
      </w:pPr>
      <w:r w:rsidRPr="00D23F6C">
        <w:rPr>
          <w:b/>
        </w:rPr>
        <w:t>Total suspended s</w:t>
      </w:r>
      <w:r w:rsidR="00D64AC7" w:rsidRPr="00D23F6C">
        <w:rPr>
          <w:b/>
        </w:rPr>
        <w:t>olids</w:t>
      </w:r>
      <w:r w:rsidR="003E5C7C" w:rsidRPr="00D23F6C">
        <w:rPr>
          <w:b/>
        </w:rPr>
        <w:t xml:space="preserve"> are filtered by the soil, but they can also clog the soil, which decreases the soil’s ability to receive and treat wastewater.</w:t>
      </w:r>
      <w:r w:rsidR="00232A98">
        <w:t xml:space="preserve"> This O</w:t>
      </w:r>
      <w:r w:rsidR="003E5C7C">
        <w:t>rder has an effluent limitation for total suspended so</w:t>
      </w:r>
      <w:r w:rsidR="00232A98">
        <w:t>lids. Furthermore, this O</w:t>
      </w:r>
      <w:r w:rsidR="003E5C7C">
        <w:t>rder requires total suspended solids to be taken into account in determining the appropriate hydraulic loading.</w:t>
      </w:r>
    </w:p>
    <w:p w14:paraId="58652B2D" w14:textId="6F69D4EE" w:rsidR="00D23F6C" w:rsidRDefault="007B68EF" w:rsidP="00362D97">
      <w:pPr>
        <w:pStyle w:val="ListParagraph"/>
        <w:numPr>
          <w:ilvl w:val="0"/>
          <w:numId w:val="49"/>
        </w:numPr>
        <w:spacing w:after="120"/>
        <w:ind w:left="720"/>
        <w:contextualSpacing w:val="0"/>
      </w:pPr>
      <w:r w:rsidRPr="00D23F6C">
        <w:rPr>
          <w:b/>
        </w:rPr>
        <w:t xml:space="preserve">Nitrate </w:t>
      </w:r>
      <w:r w:rsidR="00823C44">
        <w:rPr>
          <w:b/>
        </w:rPr>
        <w:t>in groundwater can be</w:t>
      </w:r>
      <w:r w:rsidR="00D03341" w:rsidRPr="00D23F6C">
        <w:rPr>
          <w:b/>
        </w:rPr>
        <w:t xml:space="preserve"> health hazard. </w:t>
      </w:r>
      <w:r w:rsidR="005E5B93">
        <w:t>Nitrate</w:t>
      </w:r>
      <w:r w:rsidR="005E5B93" w:rsidRPr="00D03341">
        <w:t xml:space="preserve"> </w:t>
      </w:r>
      <w:r w:rsidR="006126BC">
        <w:t xml:space="preserve">concentrations </w:t>
      </w:r>
      <w:r w:rsidR="00D03341" w:rsidRPr="00D03341">
        <w:t>can be re</w:t>
      </w:r>
      <w:r w:rsidR="006126BC">
        <w:t>duce</w:t>
      </w:r>
      <w:r w:rsidR="00D03341" w:rsidRPr="00D03341">
        <w:t>d</w:t>
      </w:r>
      <w:r w:rsidR="006126BC">
        <w:t xml:space="preserve"> prior to </w:t>
      </w:r>
      <w:r w:rsidR="00D03341" w:rsidRPr="00D03341">
        <w:t>land application, and it can also be removed t</w:t>
      </w:r>
      <w:r w:rsidR="006126BC">
        <w:t xml:space="preserve">hrough </w:t>
      </w:r>
      <w:r w:rsidR="00535FD6">
        <w:t xml:space="preserve">wastewater application </w:t>
      </w:r>
      <w:r w:rsidR="00D03341" w:rsidRPr="00D03341">
        <w:t>dosing and cropping management practices during application.</w:t>
      </w:r>
      <w:r w:rsidR="00535FD6">
        <w:t xml:space="preserve"> N</w:t>
      </w:r>
      <w:r w:rsidR="005E5B93">
        <w:t>itrate</w:t>
      </w:r>
      <w:r w:rsidR="00535FD6">
        <w:t xml:space="preserve"> is addressed in this Order</w:t>
      </w:r>
      <w:r w:rsidR="005E5B93">
        <w:t xml:space="preserve"> </w:t>
      </w:r>
      <w:r w:rsidR="00455D8E">
        <w:t>with numeric action levels and, for wineri</w:t>
      </w:r>
      <w:r w:rsidR="00823C44">
        <w:t>es discharging to known nitrate-</w:t>
      </w:r>
      <w:r w:rsidR="00535FD6">
        <w:t xml:space="preserve">impacted </w:t>
      </w:r>
      <w:r w:rsidR="00823C44">
        <w:t xml:space="preserve">groundwater </w:t>
      </w:r>
      <w:r w:rsidR="00535FD6">
        <w:t xml:space="preserve">areas, </w:t>
      </w:r>
      <w:r w:rsidR="005E5B93">
        <w:t xml:space="preserve">nitrate </w:t>
      </w:r>
      <w:r w:rsidR="00455D8E">
        <w:t>effluent limitations.</w:t>
      </w:r>
      <w:r w:rsidR="005446AF">
        <w:t xml:space="preserve"> </w:t>
      </w:r>
      <w:r w:rsidR="005446AF" w:rsidRPr="005446AF">
        <w:rPr>
          <w:b/>
        </w:rPr>
        <w:t>Figures 3</w:t>
      </w:r>
      <w:r w:rsidR="00C5026D">
        <w:t xml:space="preserve"> through</w:t>
      </w:r>
      <w:r w:rsidR="005446AF">
        <w:t xml:space="preserve"> </w:t>
      </w:r>
      <w:r w:rsidR="00C5026D">
        <w:rPr>
          <w:b/>
        </w:rPr>
        <w:t>5</w:t>
      </w:r>
      <w:r w:rsidR="005446AF">
        <w:t xml:space="preserve"> in </w:t>
      </w:r>
      <w:r w:rsidR="005446AF" w:rsidRPr="005446AF">
        <w:rPr>
          <w:b/>
        </w:rPr>
        <w:t>Attachment J</w:t>
      </w:r>
      <w:r w:rsidR="005446AF">
        <w:t xml:space="preserve"> depict the nitrate-impacted groundwater areas.</w:t>
      </w:r>
    </w:p>
    <w:p w14:paraId="1181ACE9" w14:textId="235DEB70" w:rsidR="00D23F6C" w:rsidRDefault="006B0AB1" w:rsidP="00362D97">
      <w:pPr>
        <w:pStyle w:val="ListParagraph"/>
        <w:numPr>
          <w:ilvl w:val="0"/>
          <w:numId w:val="49"/>
        </w:numPr>
        <w:spacing w:after="120"/>
        <w:ind w:left="720"/>
        <w:contextualSpacing w:val="0"/>
      </w:pPr>
      <w:r w:rsidRPr="00D23F6C">
        <w:rPr>
          <w:b/>
        </w:rPr>
        <w:t>Salinity and total dissolved s</w:t>
      </w:r>
      <w:r w:rsidR="00D64AC7" w:rsidRPr="00D23F6C">
        <w:rPr>
          <w:b/>
        </w:rPr>
        <w:t>olids</w:t>
      </w:r>
      <w:r w:rsidR="006E1621" w:rsidRPr="00D23F6C">
        <w:rPr>
          <w:b/>
        </w:rPr>
        <w:t xml:space="preserve"> are two different ways of measuring dissolved salts in water. </w:t>
      </w:r>
      <w:r w:rsidR="006E1621">
        <w:t xml:space="preserve">Of the different types of salts and dissolved solids, sodium chloride and </w:t>
      </w:r>
      <w:r w:rsidR="00840C67">
        <w:t>fixed dissolved solids have increased</w:t>
      </w:r>
      <w:r w:rsidR="006E1621">
        <w:t xml:space="preserve"> potential for </w:t>
      </w:r>
      <w:r w:rsidR="00EF78EC">
        <w:t xml:space="preserve">impacting the </w:t>
      </w:r>
      <w:r w:rsidR="006E1621">
        <w:t>soil</w:t>
      </w:r>
      <w:r w:rsidR="00EF78EC">
        <w:t xml:space="preserve"> and groundwater</w:t>
      </w:r>
      <w:r w:rsidR="006E1621">
        <w:t>. Thus, this Order addresses salinity and dissolved solids with monitoring</w:t>
      </w:r>
      <w:r w:rsidR="00455D8E">
        <w:t xml:space="preserve"> for the forms that are more </w:t>
      </w:r>
      <w:r w:rsidR="00840C67">
        <w:t>likely to impact groundwater and soil</w:t>
      </w:r>
      <w:r w:rsidR="006E1621">
        <w:t xml:space="preserve">, </w:t>
      </w:r>
      <w:r w:rsidR="00455D8E">
        <w:t xml:space="preserve">source control </w:t>
      </w:r>
      <w:r w:rsidR="006E1621">
        <w:t>best management practices, and numeric action levels</w:t>
      </w:r>
      <w:r w:rsidR="00455D8E">
        <w:t xml:space="preserve"> that trigger further study and action when exceeded</w:t>
      </w:r>
      <w:r w:rsidR="00840C67">
        <w:t xml:space="preserve">. </w:t>
      </w:r>
    </w:p>
    <w:p w14:paraId="373CED16" w14:textId="4E90BD3C" w:rsidR="00D64AC7" w:rsidRPr="006E1621" w:rsidRDefault="00D64AC7" w:rsidP="00362D97">
      <w:pPr>
        <w:pStyle w:val="ListParagraph"/>
        <w:numPr>
          <w:ilvl w:val="0"/>
          <w:numId w:val="49"/>
        </w:numPr>
        <w:ind w:left="720"/>
      </w:pPr>
      <w:r w:rsidRPr="00D23F6C">
        <w:rPr>
          <w:b/>
        </w:rPr>
        <w:t>Chloride</w:t>
      </w:r>
      <w:r w:rsidR="006B0AB1" w:rsidRPr="00D23F6C">
        <w:rPr>
          <w:b/>
        </w:rPr>
        <w:t xml:space="preserve"> and s</w:t>
      </w:r>
      <w:r w:rsidRPr="00D23F6C">
        <w:rPr>
          <w:b/>
        </w:rPr>
        <w:t>odium</w:t>
      </w:r>
      <w:r w:rsidR="006E1621" w:rsidRPr="00D23F6C">
        <w:rPr>
          <w:b/>
        </w:rPr>
        <w:t xml:space="preserve"> are of particular concern because excess sodium can restrict water movement through the soil. </w:t>
      </w:r>
      <w:r w:rsidR="006E1621">
        <w:t>It is difficult</w:t>
      </w:r>
      <w:r w:rsidR="006D7214">
        <w:t xml:space="preserve"> and can be more</w:t>
      </w:r>
      <w:r w:rsidR="00823C44">
        <w:t xml:space="preserve"> costly</w:t>
      </w:r>
      <w:r w:rsidR="006E1621">
        <w:t xml:space="preserve"> to remove sodiu</w:t>
      </w:r>
      <w:r w:rsidR="00840C67">
        <w:t>m and chloride from solution, thus source control efforts are important</w:t>
      </w:r>
      <w:r w:rsidR="006E1621">
        <w:t>.</w:t>
      </w:r>
      <w:r w:rsidR="00496F45">
        <w:t xml:space="preserve"> </w:t>
      </w:r>
      <w:r w:rsidR="006E555F">
        <w:t xml:space="preserve">Chloride can cause adverse environmental impacts to soil and groundwater because chloride is highly soluble, does not adsorb onto soil particles, does not degrade, and generally inhibits biological processes. </w:t>
      </w:r>
      <w:r w:rsidR="00496F45">
        <w:t>This Order addresses chloride and sodium with Numeric Action Levels that trigger further studies and action when exceeded.</w:t>
      </w:r>
      <w:r w:rsidR="00840C67">
        <w:t xml:space="preserve"> </w:t>
      </w:r>
    </w:p>
    <w:p w14:paraId="65B22C29" w14:textId="77777777" w:rsidR="00D64AC7" w:rsidRDefault="00D64AC7" w:rsidP="000562A5"/>
    <w:p w14:paraId="24BA5A88" w14:textId="28886501" w:rsidR="00D64AC7" w:rsidRDefault="00D64AC7" w:rsidP="0070544E">
      <w:pPr>
        <w:pStyle w:val="Heading2"/>
      </w:pPr>
      <w:bookmarkStart w:id="15" w:name="_Toc470706545"/>
      <w:bookmarkStart w:id="16" w:name="_Toc487002337"/>
      <w:r w:rsidRPr="00CB58F6">
        <w:t>EFFLUENT LIMITATIONS AND NUMERIC ACTION LEVELS</w:t>
      </w:r>
      <w:bookmarkEnd w:id="15"/>
      <w:bookmarkEnd w:id="16"/>
    </w:p>
    <w:p w14:paraId="24C77062" w14:textId="77777777" w:rsidR="00B01B0A" w:rsidRDefault="00B01B0A" w:rsidP="00B01B0A">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b/>
          <w:sz w:val="24"/>
          <w:szCs w:val="24"/>
        </w:rPr>
      </w:pPr>
      <w:bookmarkStart w:id="17" w:name="_Toc470706546"/>
    </w:p>
    <w:p w14:paraId="633A6F94" w14:textId="54859C3B" w:rsidR="00E65123" w:rsidRDefault="00D64AC7" w:rsidP="005A3CE8">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b/>
          <w:sz w:val="24"/>
          <w:szCs w:val="24"/>
        </w:rPr>
      </w:pPr>
      <w:r w:rsidRPr="000562A5">
        <w:rPr>
          <w:b/>
          <w:sz w:val="24"/>
          <w:szCs w:val="24"/>
        </w:rPr>
        <w:t>General Concepts</w:t>
      </w:r>
      <w:bookmarkEnd w:id="17"/>
      <w:r w:rsidR="00E65123">
        <w:rPr>
          <w:b/>
          <w:sz w:val="24"/>
          <w:szCs w:val="24"/>
        </w:rPr>
        <w:t xml:space="preserve">. </w:t>
      </w:r>
    </w:p>
    <w:p w14:paraId="79A57419" w14:textId="4F17CB72" w:rsidR="00C5615C" w:rsidRDefault="00C5615C" w:rsidP="002B1210">
      <w:pPr>
        <w:pStyle w:val="ListParagraph"/>
        <w:numPr>
          <w:ilvl w:val="1"/>
          <w:numId w:val="18"/>
        </w:numPr>
        <w:ind w:left="720"/>
        <w:rPr>
          <w:b/>
        </w:rPr>
      </w:pPr>
      <w:r w:rsidRPr="00B01B0A">
        <w:rPr>
          <w:b/>
        </w:rPr>
        <w:t xml:space="preserve">Numeric action levels. </w:t>
      </w:r>
      <w:r w:rsidRPr="00E65123">
        <w:t xml:space="preserve">This Order </w:t>
      </w:r>
      <w:r>
        <w:t xml:space="preserve">also </w:t>
      </w:r>
      <w:r w:rsidRPr="00E65123">
        <w:t>contains numeric action levels.</w:t>
      </w:r>
      <w:r w:rsidR="00B01B0A" w:rsidRPr="00B01B0A">
        <w:t xml:space="preserve"> </w:t>
      </w:r>
      <w:r w:rsidR="00E13838">
        <w:t>Three e</w:t>
      </w:r>
      <w:r w:rsidRPr="00E65123">
        <w:t>xceedance</w:t>
      </w:r>
      <w:r w:rsidR="00E13838">
        <w:t>s</w:t>
      </w:r>
      <w:r w:rsidRPr="00E65123">
        <w:t xml:space="preserve"> of a numeric effluent limitation </w:t>
      </w:r>
      <w:r w:rsidR="00E13838">
        <w:t xml:space="preserve">in a 12-month period </w:t>
      </w:r>
      <w:r w:rsidRPr="00E65123">
        <w:t>triggers additional Order requirements for further investigation</w:t>
      </w:r>
      <w:r>
        <w:t xml:space="preserve"> </w:t>
      </w:r>
      <w:r w:rsidR="00FF615E">
        <w:t>and</w:t>
      </w:r>
      <w:r>
        <w:t xml:space="preserve"> corrective actions. </w:t>
      </w:r>
      <w:r w:rsidR="00FF615E">
        <w:t>N</w:t>
      </w:r>
      <w:r w:rsidRPr="005E5EF7">
        <w:t>umeric action levels measured at the discharge point allow</w:t>
      </w:r>
      <w:r w:rsidR="00E13838">
        <w:t>s the Discharger to gauge the effectiveness of preventing water quality objective exceedances,</w:t>
      </w:r>
      <w:r>
        <w:t xml:space="preserve"> </w:t>
      </w:r>
      <w:r w:rsidRPr="005E5EF7">
        <w:t xml:space="preserve">and also collect information </w:t>
      </w:r>
      <w:r w:rsidR="00E13838">
        <w:t>to inform wastewater treatment system operation and management approaches</w:t>
      </w:r>
      <w:r w:rsidRPr="005E5EF7">
        <w:t>.</w:t>
      </w:r>
      <w:r w:rsidRPr="00B01B0A">
        <w:rPr>
          <w:b/>
        </w:rPr>
        <w:t xml:space="preserve"> </w:t>
      </w:r>
    </w:p>
    <w:p w14:paraId="5EE4B718" w14:textId="77777777" w:rsidR="00B01B0A" w:rsidRPr="00B01B0A" w:rsidRDefault="00B01B0A" w:rsidP="00B01B0A">
      <w:pPr>
        <w:pStyle w:val="ListParagraph"/>
        <w:rPr>
          <w:b/>
        </w:rPr>
      </w:pPr>
    </w:p>
    <w:p w14:paraId="6F23E126" w14:textId="77777777" w:rsidR="00C5615C" w:rsidRPr="00E65123" w:rsidRDefault="00C5615C" w:rsidP="00C5615C">
      <w:pPr>
        <w:pStyle w:val="Agendanumber"/>
        <w:numPr>
          <w:ilvl w:val="1"/>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ind w:left="720"/>
        <w:rPr>
          <w:b/>
          <w:sz w:val="24"/>
          <w:szCs w:val="24"/>
        </w:rPr>
      </w:pPr>
      <w:r>
        <w:rPr>
          <w:b/>
          <w:sz w:val="24"/>
          <w:szCs w:val="24"/>
        </w:rPr>
        <w:t xml:space="preserve">Technology and water quality-based effluent limitations. </w:t>
      </w:r>
      <w:r w:rsidRPr="00E65123">
        <w:rPr>
          <w:sz w:val="24"/>
          <w:szCs w:val="24"/>
        </w:rPr>
        <w:t xml:space="preserve">Effluent limitations are established based upon the technology used to treat the </w:t>
      </w:r>
      <w:r>
        <w:rPr>
          <w:sz w:val="24"/>
          <w:szCs w:val="24"/>
        </w:rPr>
        <w:t>waste</w:t>
      </w:r>
      <w:r w:rsidRPr="00E65123">
        <w:rPr>
          <w:sz w:val="24"/>
          <w:szCs w:val="24"/>
        </w:rPr>
        <w:t>water or by the water quality protection needs of the receiving water.</w:t>
      </w:r>
      <w:r>
        <w:rPr>
          <w:sz w:val="24"/>
          <w:szCs w:val="24"/>
        </w:rPr>
        <w:t xml:space="preserve"> This Order contains both technology-based effluent limitations (TBELs) and water quality-based effluent limitations (WBELs).</w:t>
      </w:r>
    </w:p>
    <w:p w14:paraId="769D2B81" w14:textId="77777777" w:rsidR="00D64AC7" w:rsidRPr="00E65123" w:rsidRDefault="00D64AC7" w:rsidP="00E65123">
      <w:pPr>
        <w:ind w:hanging="360"/>
      </w:pPr>
    </w:p>
    <w:p w14:paraId="5D7B90A5" w14:textId="5C617785" w:rsidR="00DA78D8" w:rsidRPr="00DA78D8" w:rsidRDefault="006B0AB1" w:rsidP="00063478">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r>
        <w:rPr>
          <w:b/>
          <w:sz w:val="24"/>
          <w:szCs w:val="24"/>
        </w:rPr>
        <w:t>BOD loading l</w:t>
      </w:r>
      <w:r w:rsidR="00D64AC7" w:rsidRPr="002122F6">
        <w:rPr>
          <w:b/>
          <w:sz w:val="24"/>
          <w:szCs w:val="24"/>
        </w:rPr>
        <w:t>imitation</w:t>
      </w:r>
      <w:r w:rsidR="002122F6">
        <w:rPr>
          <w:b/>
          <w:sz w:val="24"/>
          <w:szCs w:val="24"/>
        </w:rPr>
        <w:t>.</w:t>
      </w:r>
      <w:r w:rsidR="00D64AC7" w:rsidRPr="002122F6">
        <w:rPr>
          <w:b/>
          <w:sz w:val="24"/>
          <w:szCs w:val="24"/>
        </w:rPr>
        <w:t xml:space="preserve"> </w:t>
      </w:r>
      <w:r w:rsidR="001522B3">
        <w:rPr>
          <w:sz w:val="24"/>
          <w:szCs w:val="24"/>
        </w:rPr>
        <w:t xml:space="preserve">The mass-based limitation for BOD was </w:t>
      </w:r>
      <w:r w:rsidR="0070544E">
        <w:rPr>
          <w:sz w:val="24"/>
          <w:szCs w:val="24"/>
        </w:rPr>
        <w:t>selected from U.S. EPA guidance and applies to all tiers.</w:t>
      </w:r>
    </w:p>
    <w:p w14:paraId="6E6DAB42" w14:textId="77777777" w:rsidR="00D64AC7" w:rsidRPr="00DA78D8" w:rsidRDefault="00D64AC7" w:rsidP="00DA78D8">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p>
    <w:p w14:paraId="163B289E" w14:textId="39470DD9" w:rsidR="00D64AC7" w:rsidRPr="00ED164C" w:rsidRDefault="00D64AC7" w:rsidP="00063478">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 w:val="24"/>
          <w:szCs w:val="24"/>
        </w:rPr>
      </w:pPr>
      <w:bookmarkStart w:id="18" w:name="_Toc470706547"/>
      <w:r w:rsidRPr="000562A5">
        <w:rPr>
          <w:b/>
          <w:sz w:val="24"/>
          <w:szCs w:val="24"/>
        </w:rPr>
        <w:t>Technology-based effluent limitations</w:t>
      </w:r>
      <w:r w:rsidR="00E13CCC">
        <w:rPr>
          <w:b/>
          <w:sz w:val="24"/>
          <w:szCs w:val="24"/>
        </w:rPr>
        <w:t xml:space="preserve"> – secondary wastewater treatment  </w:t>
      </w:r>
      <w:r w:rsidRPr="000562A5">
        <w:rPr>
          <w:b/>
          <w:sz w:val="24"/>
          <w:szCs w:val="24"/>
        </w:rPr>
        <w:t xml:space="preserve"> – </w:t>
      </w:r>
      <w:r w:rsidR="002E5EFC">
        <w:rPr>
          <w:b/>
          <w:sz w:val="24"/>
          <w:szCs w:val="24"/>
        </w:rPr>
        <w:t xml:space="preserve">Tiers 2 and 3 </w:t>
      </w:r>
      <w:r w:rsidRPr="000562A5">
        <w:rPr>
          <w:b/>
          <w:sz w:val="24"/>
          <w:szCs w:val="24"/>
        </w:rPr>
        <w:t>facilities</w:t>
      </w:r>
      <w:bookmarkEnd w:id="18"/>
      <w:r w:rsidR="00ED164C" w:rsidRPr="00ED164C">
        <w:rPr>
          <w:b/>
          <w:sz w:val="24"/>
          <w:szCs w:val="24"/>
        </w:rPr>
        <w:t xml:space="preserve">. </w:t>
      </w:r>
      <w:r w:rsidRPr="00ED164C">
        <w:rPr>
          <w:sz w:val="24"/>
          <w:szCs w:val="24"/>
        </w:rPr>
        <w:t xml:space="preserve">This Order includes technology-based effluent limitations </w:t>
      </w:r>
      <w:r w:rsidR="001555A2">
        <w:rPr>
          <w:sz w:val="24"/>
          <w:szCs w:val="24"/>
        </w:rPr>
        <w:t xml:space="preserve">for BOD and total suspended solids </w:t>
      </w:r>
      <w:r w:rsidRPr="00ED164C">
        <w:rPr>
          <w:sz w:val="24"/>
          <w:szCs w:val="24"/>
        </w:rPr>
        <w:t>that apply to faci</w:t>
      </w:r>
      <w:r w:rsidR="00DE15C7">
        <w:rPr>
          <w:sz w:val="24"/>
          <w:szCs w:val="24"/>
        </w:rPr>
        <w:t xml:space="preserve">lities covered under </w:t>
      </w:r>
      <w:r w:rsidR="001555A2">
        <w:rPr>
          <w:sz w:val="24"/>
          <w:szCs w:val="24"/>
        </w:rPr>
        <w:t xml:space="preserve">Tiers 2 and </w:t>
      </w:r>
      <w:r w:rsidR="00DE2D06">
        <w:rPr>
          <w:sz w:val="24"/>
          <w:szCs w:val="24"/>
        </w:rPr>
        <w:t xml:space="preserve">Tier </w:t>
      </w:r>
      <w:r w:rsidR="001555A2">
        <w:rPr>
          <w:sz w:val="24"/>
          <w:szCs w:val="24"/>
        </w:rPr>
        <w:t>3</w:t>
      </w:r>
      <w:r w:rsidR="00DE2D06">
        <w:rPr>
          <w:sz w:val="24"/>
          <w:szCs w:val="24"/>
        </w:rPr>
        <w:t xml:space="preserve"> (discharging greater than 1,500 gpd)</w:t>
      </w:r>
      <w:r w:rsidR="001555A2">
        <w:rPr>
          <w:sz w:val="24"/>
          <w:szCs w:val="24"/>
        </w:rPr>
        <w:t xml:space="preserve"> of </w:t>
      </w:r>
      <w:r w:rsidR="00DE15C7">
        <w:rPr>
          <w:sz w:val="24"/>
          <w:szCs w:val="24"/>
        </w:rPr>
        <w:t>the Order.</w:t>
      </w:r>
    </w:p>
    <w:p w14:paraId="4A7A0790" w14:textId="77777777" w:rsidR="00D64AC7" w:rsidRPr="00383675" w:rsidRDefault="00D64AC7" w:rsidP="00D64AC7">
      <w:pPr>
        <w:pStyle w:val="ListParagraph"/>
        <w:ind w:left="360"/>
        <w:rPr>
          <w:szCs w:val="24"/>
        </w:rPr>
      </w:pPr>
    </w:p>
    <w:p w14:paraId="7ECA89A2" w14:textId="5DA7E95C" w:rsidR="00FF615E" w:rsidRDefault="00D64AC7" w:rsidP="00063478">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sz w:val="24"/>
          <w:szCs w:val="24"/>
        </w:rPr>
      </w:pPr>
      <w:bookmarkStart w:id="19" w:name="_Toc470706549"/>
      <w:r w:rsidRPr="000562A5">
        <w:rPr>
          <w:b/>
          <w:sz w:val="24"/>
          <w:szCs w:val="24"/>
        </w:rPr>
        <w:t>Techn</w:t>
      </w:r>
      <w:r w:rsidR="00E13CCC">
        <w:rPr>
          <w:b/>
          <w:sz w:val="24"/>
          <w:szCs w:val="24"/>
        </w:rPr>
        <w:t>ology-based effluent limitation</w:t>
      </w:r>
      <w:r w:rsidRPr="000562A5">
        <w:rPr>
          <w:b/>
          <w:sz w:val="24"/>
          <w:szCs w:val="24"/>
        </w:rPr>
        <w:t xml:space="preserve"> an</w:t>
      </w:r>
      <w:r w:rsidR="00232A98">
        <w:rPr>
          <w:b/>
          <w:sz w:val="24"/>
          <w:szCs w:val="24"/>
        </w:rPr>
        <w:t xml:space="preserve">d other numeric requirements – </w:t>
      </w:r>
      <w:bookmarkEnd w:id="19"/>
      <w:r w:rsidR="00FF615E">
        <w:rPr>
          <w:b/>
          <w:sz w:val="24"/>
          <w:szCs w:val="24"/>
        </w:rPr>
        <w:t>ponds</w:t>
      </w:r>
      <w:r w:rsidR="00A61BA0">
        <w:rPr>
          <w:b/>
          <w:sz w:val="24"/>
          <w:szCs w:val="24"/>
        </w:rPr>
        <w:t xml:space="preserve">. </w:t>
      </w:r>
      <w:r w:rsidR="00A61BA0" w:rsidRPr="00A61BA0">
        <w:rPr>
          <w:sz w:val="24"/>
          <w:szCs w:val="24"/>
        </w:rPr>
        <w:t>Ponds,</w:t>
      </w:r>
      <w:r w:rsidR="00A61BA0">
        <w:rPr>
          <w:sz w:val="24"/>
          <w:szCs w:val="24"/>
        </w:rPr>
        <w:t xml:space="preserve"> which </w:t>
      </w:r>
      <w:r w:rsidR="00A61BA0" w:rsidRPr="00A61BA0">
        <w:rPr>
          <w:sz w:val="24"/>
          <w:szCs w:val="24"/>
        </w:rPr>
        <w:t>can be used to treat domestic and industrial wastewater</w:t>
      </w:r>
      <w:r w:rsidR="00A61BA0">
        <w:rPr>
          <w:sz w:val="24"/>
          <w:szCs w:val="24"/>
        </w:rPr>
        <w:t>,</w:t>
      </w:r>
      <w:r w:rsidR="00A61BA0" w:rsidRPr="00A61BA0">
        <w:rPr>
          <w:sz w:val="24"/>
          <w:szCs w:val="24"/>
        </w:rPr>
        <w:t xml:space="preserve"> can be used alone or in combination with other </w:t>
      </w:r>
      <w:r w:rsidR="00A61BA0" w:rsidRPr="007F15CB">
        <w:rPr>
          <w:sz w:val="24"/>
          <w:szCs w:val="24"/>
        </w:rPr>
        <w:t xml:space="preserve">wastewater treatment processes. </w:t>
      </w:r>
      <w:r w:rsidR="007F15CB" w:rsidRPr="007F15CB">
        <w:rPr>
          <w:sz w:val="24"/>
          <w:szCs w:val="24"/>
        </w:rPr>
        <w:t>Algae impacts total suspended solids removal in ponds. Ponds need adequate freeboard in or</w:t>
      </w:r>
      <w:r w:rsidR="00232A98">
        <w:rPr>
          <w:sz w:val="24"/>
          <w:szCs w:val="24"/>
        </w:rPr>
        <w:t xml:space="preserve">der to not overflow during the </w:t>
      </w:r>
      <w:r w:rsidR="007F15CB" w:rsidRPr="007F15CB">
        <w:rPr>
          <w:sz w:val="24"/>
          <w:szCs w:val="24"/>
        </w:rPr>
        <w:t>w</w:t>
      </w:r>
      <w:r w:rsidR="00F04A0A">
        <w:rPr>
          <w:sz w:val="24"/>
          <w:szCs w:val="24"/>
        </w:rPr>
        <w:t>et season</w:t>
      </w:r>
      <w:r w:rsidR="007F15CB" w:rsidRPr="007F15CB">
        <w:rPr>
          <w:sz w:val="24"/>
          <w:szCs w:val="24"/>
        </w:rPr>
        <w:t>.</w:t>
      </w:r>
      <w:r w:rsidR="007F15CB" w:rsidRPr="007F15CB">
        <w:rPr>
          <w:b/>
        </w:rPr>
        <w:t xml:space="preserve"> </w:t>
      </w:r>
      <w:r w:rsidR="00FF615E">
        <w:rPr>
          <w:b/>
        </w:rPr>
        <w:t>P</w:t>
      </w:r>
      <w:r w:rsidR="00FF615E" w:rsidRPr="007F15CB">
        <w:rPr>
          <w:sz w:val="24"/>
          <w:szCs w:val="24"/>
        </w:rPr>
        <w:t>onds need to be m</w:t>
      </w:r>
      <w:r w:rsidR="00FF615E">
        <w:rPr>
          <w:sz w:val="24"/>
          <w:szCs w:val="24"/>
        </w:rPr>
        <w:t>anaged to control odors</w:t>
      </w:r>
      <w:r w:rsidR="00FF615E">
        <w:t xml:space="preserve">. </w:t>
      </w:r>
      <w:r w:rsidR="00FF615E" w:rsidRPr="00FF615E">
        <w:t xml:space="preserve">The Order contains a </w:t>
      </w:r>
      <w:r w:rsidR="00FF615E" w:rsidRPr="00FF615E">
        <w:rPr>
          <w:sz w:val="24"/>
          <w:szCs w:val="24"/>
        </w:rPr>
        <w:t>dissolved oxygen limitation</w:t>
      </w:r>
      <w:r w:rsidR="00FF615E" w:rsidRPr="00FF615E">
        <w:t xml:space="preserve"> </w:t>
      </w:r>
      <w:r w:rsidR="00FF615E">
        <w:t>for the water contained in ponds, which is greater than the dissolved oxygen level that can lead to odor</w:t>
      </w:r>
      <w:r w:rsidR="00757E20">
        <w:rPr>
          <w:sz w:val="24"/>
          <w:szCs w:val="24"/>
        </w:rPr>
        <w:t xml:space="preserve">. </w:t>
      </w:r>
    </w:p>
    <w:p w14:paraId="46605C65" w14:textId="77777777" w:rsidR="00FF615E" w:rsidRDefault="00FF615E" w:rsidP="00FF615E">
      <w:pPr>
        <w:pStyle w:val="ListParagraph"/>
        <w:rPr>
          <w:szCs w:val="24"/>
        </w:rPr>
      </w:pPr>
    </w:p>
    <w:p w14:paraId="60FB1E9E" w14:textId="4F1F4C9A" w:rsidR="007F15CB" w:rsidRPr="007F15CB" w:rsidRDefault="007F15CB" w:rsidP="00FF615E">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sz w:val="24"/>
          <w:szCs w:val="24"/>
        </w:rPr>
      </w:pPr>
      <w:r w:rsidRPr="007F15CB">
        <w:rPr>
          <w:sz w:val="24"/>
          <w:szCs w:val="24"/>
        </w:rPr>
        <w:t>Various causes can lead to pond failure, and this Order contains requirements that safeguard against the common causes of pond failure.</w:t>
      </w:r>
      <w:r>
        <w:rPr>
          <w:sz w:val="24"/>
          <w:szCs w:val="24"/>
        </w:rPr>
        <w:t xml:space="preserve"> </w:t>
      </w:r>
      <w:r w:rsidRPr="007F15CB">
        <w:rPr>
          <w:sz w:val="24"/>
          <w:szCs w:val="24"/>
        </w:rPr>
        <w:t xml:space="preserve">Ponds may contribute to groundwater contamination, </w:t>
      </w:r>
      <w:r w:rsidR="00232A98">
        <w:rPr>
          <w:sz w:val="24"/>
          <w:szCs w:val="24"/>
        </w:rPr>
        <w:t>and therefore, this O</w:t>
      </w:r>
      <w:r w:rsidR="002B67E8">
        <w:rPr>
          <w:sz w:val="24"/>
          <w:szCs w:val="24"/>
        </w:rPr>
        <w:t>rder requires a pond</w:t>
      </w:r>
      <w:r w:rsidRPr="007F15CB">
        <w:rPr>
          <w:sz w:val="24"/>
          <w:szCs w:val="24"/>
        </w:rPr>
        <w:t xml:space="preserve"> infi</w:t>
      </w:r>
      <w:r w:rsidR="00232A98">
        <w:rPr>
          <w:sz w:val="24"/>
          <w:szCs w:val="24"/>
        </w:rPr>
        <w:t>ltration rate assessment. This O</w:t>
      </w:r>
      <w:r w:rsidRPr="007F15CB">
        <w:rPr>
          <w:sz w:val="24"/>
          <w:szCs w:val="24"/>
        </w:rPr>
        <w:t>rder contains further requirements that safeguard against ponds causing groundwater degradation.</w:t>
      </w:r>
    </w:p>
    <w:p w14:paraId="5DBB2381" w14:textId="77777777" w:rsidR="00D64AC7" w:rsidRPr="007F15CB" w:rsidRDefault="00D64AC7" w:rsidP="00E65123">
      <w:pPr>
        <w:ind w:hanging="360"/>
        <w:rPr>
          <w:rFonts w:eastAsia="Times New Roman"/>
        </w:rPr>
      </w:pPr>
    </w:p>
    <w:p w14:paraId="03CD6AED" w14:textId="47FCEC1E" w:rsidR="009508C1" w:rsidRPr="009508C1" w:rsidRDefault="006B0AB1" w:rsidP="005A3CE8">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bookmarkStart w:id="20" w:name="_Toc470706551"/>
      <w:r>
        <w:rPr>
          <w:b/>
          <w:sz w:val="24"/>
          <w:szCs w:val="24"/>
        </w:rPr>
        <w:t>Water q</w:t>
      </w:r>
      <w:r w:rsidR="00D64AC7" w:rsidRPr="000562A5">
        <w:rPr>
          <w:b/>
          <w:sz w:val="24"/>
          <w:szCs w:val="24"/>
        </w:rPr>
        <w:t>uality-based effluent limitations</w:t>
      </w:r>
      <w:bookmarkEnd w:id="20"/>
      <w:r w:rsidR="009508C1">
        <w:rPr>
          <w:b/>
          <w:sz w:val="24"/>
          <w:szCs w:val="24"/>
        </w:rPr>
        <w:t>.</w:t>
      </w:r>
      <w:r w:rsidR="009508C1" w:rsidRPr="009508C1">
        <w:rPr>
          <w:b/>
          <w:sz w:val="24"/>
          <w:szCs w:val="24"/>
        </w:rPr>
        <w:t xml:space="preserve"> </w:t>
      </w:r>
      <w:r w:rsidR="009508C1" w:rsidRPr="009508C1">
        <w:rPr>
          <w:sz w:val="24"/>
          <w:szCs w:val="24"/>
        </w:rPr>
        <w:t>Water quality based effluent limitations (WQBELs) involve an evaluation of the discharge and its effect on the receiving water. A WQBEL is designed to protect the quality of the receiving water by ensuring that State water quality objectives are met.</w:t>
      </w:r>
    </w:p>
    <w:p w14:paraId="4C5BDF10" w14:textId="56C8BA5C" w:rsidR="00D64AC7" w:rsidRPr="00CB58F6" w:rsidRDefault="00011ADB" w:rsidP="0058704F">
      <w:pPr>
        <w:spacing w:after="120"/>
        <w:ind w:hanging="360"/>
      </w:pPr>
      <w:r>
        <w:t>a.</w:t>
      </w:r>
      <w:r>
        <w:tab/>
      </w:r>
      <w:r w:rsidR="00D64AC7" w:rsidRPr="00011ADB">
        <w:rPr>
          <w:b/>
        </w:rPr>
        <w:t>Groundwater-driven water quality-based effluent limitations.</w:t>
      </w:r>
      <w:r w:rsidR="00D64AC7">
        <w:t xml:space="preserve"> </w:t>
      </w:r>
      <w:r w:rsidR="00D64AC7" w:rsidRPr="008A047C">
        <w:t>Basin Plan Section 3.4 and Tables 3-5 and 3-6 state water quality objectives for groundwater. A groundwater-driven water quality-based effluent limitation is established to prevent a constituent such as nitrate in the effluent applied to land from exceeding the Basin Plan water quality objective in t</w:t>
      </w:r>
      <w:r w:rsidR="000E440A">
        <w:t xml:space="preserve">he groundwater saturated zone. </w:t>
      </w:r>
    </w:p>
    <w:p w14:paraId="7B893E3A" w14:textId="02328CE8" w:rsidR="00D64AC7" w:rsidRDefault="00011ADB" w:rsidP="0058704F">
      <w:pPr>
        <w:spacing w:after="120"/>
        <w:ind w:left="1080" w:hanging="360"/>
      </w:pPr>
      <w:proofErr w:type="spellStart"/>
      <w:r>
        <w:t>i</w:t>
      </w:r>
      <w:proofErr w:type="spellEnd"/>
      <w:r>
        <w:t>.</w:t>
      </w:r>
      <w:r>
        <w:tab/>
      </w:r>
      <w:r w:rsidR="00D64AC7" w:rsidRPr="00011ADB">
        <w:rPr>
          <w:b/>
        </w:rPr>
        <w:t>Ni</w:t>
      </w:r>
      <w:r w:rsidR="007E5AB1">
        <w:rPr>
          <w:b/>
        </w:rPr>
        <w:t>trate numeric action l</w:t>
      </w:r>
      <w:r w:rsidR="006B0AB1">
        <w:rPr>
          <w:b/>
        </w:rPr>
        <w:t>evel and effluent l</w:t>
      </w:r>
      <w:r w:rsidR="00D64AC7" w:rsidRPr="00011ADB">
        <w:rPr>
          <w:b/>
        </w:rPr>
        <w:t>imits</w:t>
      </w:r>
      <w:r>
        <w:t>. This Order contains nitrate numeric action levels or numeric effluent limitations if the winery discharges to an area with nitrate-impacted groundwater.</w:t>
      </w:r>
    </w:p>
    <w:p w14:paraId="0FD8294D" w14:textId="37814659" w:rsidR="00011ADB" w:rsidRPr="000E440A" w:rsidRDefault="00011ADB" w:rsidP="0058704F">
      <w:pPr>
        <w:spacing w:after="120"/>
        <w:ind w:left="1440" w:hanging="360"/>
      </w:pPr>
      <w:r w:rsidRPr="000E440A">
        <w:t>a)</w:t>
      </w:r>
      <w:r w:rsidRPr="000E440A">
        <w:tab/>
        <w:t>The n</w:t>
      </w:r>
      <w:r w:rsidR="00D64AC7" w:rsidRPr="000E440A">
        <w:t>itrate effluent limit or numeric action level of 12.5 mg/L with no managed vegetative cover</w:t>
      </w:r>
      <w:r w:rsidR="001822DC">
        <w:t xml:space="preserve"> in the discharge area</w:t>
      </w:r>
      <w:r w:rsidR="006F5262">
        <w:t xml:space="preserve"> and the depth to groundwater is greater than five feet</w:t>
      </w:r>
      <w:r w:rsidRPr="000E440A">
        <w:t>, and it is 20 mg/L with managed vegetative cover</w:t>
      </w:r>
      <w:r w:rsidR="00660D0B">
        <w:t xml:space="preserve"> such as crop or landscape</w:t>
      </w:r>
      <w:r w:rsidRPr="000E440A">
        <w:t>.</w:t>
      </w:r>
      <w:r w:rsidR="00AD73E3">
        <w:t xml:space="preserve"> </w:t>
      </w:r>
      <w:r w:rsidR="00D64AC7" w:rsidRPr="000E440A">
        <w:t xml:space="preserve"> </w:t>
      </w:r>
    </w:p>
    <w:p w14:paraId="40531E29" w14:textId="5D046005" w:rsidR="00D56A93" w:rsidRPr="000E440A" w:rsidRDefault="00011ADB" w:rsidP="0058704F">
      <w:pPr>
        <w:spacing w:after="120"/>
        <w:ind w:left="1440" w:hanging="360"/>
      </w:pPr>
      <w:r w:rsidRPr="000E440A">
        <w:t>b)</w:t>
      </w:r>
      <w:r w:rsidRPr="000E440A">
        <w:tab/>
        <w:t>The value</w:t>
      </w:r>
      <w:r w:rsidR="00D56A93" w:rsidRPr="000E440A">
        <w:t>s</w:t>
      </w:r>
      <w:r w:rsidRPr="000E440A">
        <w:t xml:space="preserve"> of 12.5 mg/L</w:t>
      </w:r>
      <w:r w:rsidR="00D56A93" w:rsidRPr="000E440A">
        <w:t xml:space="preserve"> (no managed</w:t>
      </w:r>
      <w:r w:rsidR="0089642C">
        <w:t xml:space="preserve"> vegetation</w:t>
      </w:r>
      <w:r w:rsidR="00D56A93" w:rsidRPr="000E440A">
        <w:t>)</w:t>
      </w:r>
      <w:r w:rsidRPr="000E440A">
        <w:t xml:space="preserve"> </w:t>
      </w:r>
      <w:r w:rsidR="00D56A93" w:rsidRPr="000E440A">
        <w:t xml:space="preserve">and 20 mg/L (managed </w:t>
      </w:r>
      <w:r w:rsidR="0089642C">
        <w:t>vegetation</w:t>
      </w:r>
      <w:r w:rsidR="00D56A93" w:rsidRPr="000E440A">
        <w:t xml:space="preserve">) </w:t>
      </w:r>
      <w:r w:rsidRPr="000E440A">
        <w:t xml:space="preserve">at the point of discharge assumes that </w:t>
      </w:r>
      <w:r w:rsidR="007E5AB1">
        <w:t>nitrate concentrations</w:t>
      </w:r>
      <w:r w:rsidRPr="000E440A">
        <w:t xml:space="preserve"> will be re</w:t>
      </w:r>
      <w:r w:rsidR="007E5AB1">
        <w:t xml:space="preserve">duced </w:t>
      </w:r>
      <w:r w:rsidRPr="000E440A">
        <w:t xml:space="preserve">by the soil before the discharge reaches the groundwater table. </w:t>
      </w:r>
    </w:p>
    <w:p w14:paraId="2D241759" w14:textId="3AE62250" w:rsidR="00D64AC7" w:rsidRDefault="00D56A93" w:rsidP="00762CF0">
      <w:pPr>
        <w:ind w:left="1440" w:hanging="360"/>
      </w:pPr>
      <w:r w:rsidRPr="000E440A">
        <w:t>c)</w:t>
      </w:r>
      <w:r w:rsidRPr="000E440A">
        <w:tab/>
        <w:t>Discharges to areas with known nitrate</w:t>
      </w:r>
      <w:r w:rsidR="007E5AB1">
        <w:t>-impacted groundwater</w:t>
      </w:r>
      <w:r w:rsidRPr="000E440A">
        <w:t xml:space="preserve"> have </w:t>
      </w:r>
      <w:r w:rsidR="007E5AB1">
        <w:t xml:space="preserve">nitrogen loading rate and nitrate </w:t>
      </w:r>
      <w:r w:rsidRPr="000E440A">
        <w:t>effluent limitations</w:t>
      </w:r>
      <w:r w:rsidR="007E5AB1">
        <w:t>.</w:t>
      </w:r>
    </w:p>
    <w:p w14:paraId="32119440" w14:textId="77777777" w:rsidR="000E440A" w:rsidRPr="000E440A" w:rsidRDefault="000E440A" w:rsidP="00762CF0">
      <w:pPr>
        <w:ind w:left="1440" w:hanging="360"/>
      </w:pPr>
    </w:p>
    <w:p w14:paraId="3374DA6D" w14:textId="44CB4601" w:rsidR="00D64AC7" w:rsidRDefault="00F00E3C" w:rsidP="00785796">
      <w:pPr>
        <w:ind w:left="1080" w:hanging="360"/>
      </w:pPr>
      <w:r>
        <w:t>ii.</w:t>
      </w:r>
      <w:r>
        <w:tab/>
      </w:r>
      <w:r w:rsidR="006B0AB1">
        <w:rPr>
          <w:b/>
        </w:rPr>
        <w:t>Chloride numeric action l</w:t>
      </w:r>
      <w:r w:rsidR="00D64AC7" w:rsidRPr="00F00E3C">
        <w:rPr>
          <w:b/>
        </w:rPr>
        <w:t>imit</w:t>
      </w:r>
      <w:r w:rsidR="008A4047" w:rsidRPr="00F00E3C">
        <w:rPr>
          <w:b/>
        </w:rPr>
        <w:t>.</w:t>
      </w:r>
      <w:r w:rsidR="008A4047">
        <w:t xml:space="preserve"> This Order establishes a numeric action level for chloride rather than an effluent limitation. The factors that </w:t>
      </w:r>
      <w:r w:rsidR="00577B19">
        <w:t xml:space="preserve">Regional </w:t>
      </w:r>
      <w:r>
        <w:t>Water Board staff</w:t>
      </w:r>
      <w:r w:rsidR="008A4047">
        <w:t xml:space="preserve"> considered in establishing the numeric action level include the following: </w:t>
      </w:r>
      <w:r w:rsidR="007E5AB1">
        <w:t xml:space="preserve">(a) </w:t>
      </w:r>
      <w:r>
        <w:t xml:space="preserve">there has not been </w:t>
      </w:r>
      <w:r w:rsidR="008A4047">
        <w:t xml:space="preserve">a chloride effluent limitation for wineries in the past, </w:t>
      </w:r>
      <w:r w:rsidR="007E5AB1">
        <w:t xml:space="preserve">(b) </w:t>
      </w:r>
      <w:r w:rsidR="008A4047">
        <w:t xml:space="preserve">variable factors make it difficult to predict the chloride concentration at the time that the effluent reaches the groundwater table, and </w:t>
      </w:r>
      <w:r w:rsidR="007E5AB1">
        <w:t xml:space="preserve">(c) chloride is one ion to consider in </w:t>
      </w:r>
      <w:r w:rsidR="008A4047">
        <w:t xml:space="preserve">salinity. </w:t>
      </w:r>
    </w:p>
    <w:p w14:paraId="38B96461" w14:textId="77777777" w:rsidR="00D23F6C" w:rsidRPr="00E65123" w:rsidRDefault="00D23F6C" w:rsidP="00785796">
      <w:pPr>
        <w:ind w:left="1080" w:hanging="360"/>
      </w:pPr>
    </w:p>
    <w:p w14:paraId="04BFFB7D" w14:textId="2FBD4128" w:rsidR="00D64AC7" w:rsidRPr="00FA50C6" w:rsidRDefault="00D64AC7" w:rsidP="00063478">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b/>
          <w:sz w:val="24"/>
          <w:szCs w:val="24"/>
        </w:rPr>
      </w:pPr>
      <w:bookmarkStart w:id="21" w:name="_Toc470706552"/>
      <w:r w:rsidRPr="00FA50C6">
        <w:rPr>
          <w:b/>
          <w:sz w:val="24"/>
          <w:szCs w:val="24"/>
        </w:rPr>
        <w:t>Water quality-based effluent limitations and discharge pro</w:t>
      </w:r>
      <w:r w:rsidR="008C78E8">
        <w:rPr>
          <w:b/>
          <w:sz w:val="24"/>
          <w:szCs w:val="24"/>
        </w:rPr>
        <w:t>hibitions and specifications – l</w:t>
      </w:r>
      <w:r w:rsidRPr="00FA50C6">
        <w:rPr>
          <w:b/>
          <w:sz w:val="24"/>
          <w:szCs w:val="24"/>
        </w:rPr>
        <w:t>ocation-specific</w:t>
      </w:r>
      <w:bookmarkEnd w:id="21"/>
      <w:r w:rsidR="00FA50C6">
        <w:rPr>
          <w:b/>
          <w:sz w:val="24"/>
          <w:szCs w:val="24"/>
        </w:rPr>
        <w:t xml:space="preserve">. </w:t>
      </w:r>
      <w:r w:rsidR="006A70B6">
        <w:rPr>
          <w:sz w:val="24"/>
          <w:szCs w:val="24"/>
        </w:rPr>
        <w:t>There are additional</w:t>
      </w:r>
      <w:r w:rsidR="00FA50C6">
        <w:rPr>
          <w:sz w:val="24"/>
          <w:szCs w:val="24"/>
        </w:rPr>
        <w:t xml:space="preserve"> requirements in this Order</w:t>
      </w:r>
      <w:r w:rsidR="006A70B6">
        <w:rPr>
          <w:sz w:val="24"/>
          <w:szCs w:val="24"/>
        </w:rPr>
        <w:t>, which</w:t>
      </w:r>
      <w:r w:rsidR="00FA50C6">
        <w:rPr>
          <w:sz w:val="24"/>
          <w:szCs w:val="24"/>
        </w:rPr>
        <w:t xml:space="preserve"> </w:t>
      </w:r>
      <w:r w:rsidR="00A95762">
        <w:rPr>
          <w:sz w:val="24"/>
          <w:szCs w:val="24"/>
        </w:rPr>
        <w:t xml:space="preserve">apply to wineries in regionally-specific areas </w:t>
      </w:r>
      <w:r w:rsidR="0070544E">
        <w:rPr>
          <w:sz w:val="24"/>
          <w:szCs w:val="24"/>
        </w:rPr>
        <w:t>and driven by</w:t>
      </w:r>
      <w:r w:rsidR="00577B19">
        <w:rPr>
          <w:sz w:val="24"/>
          <w:szCs w:val="24"/>
        </w:rPr>
        <w:t xml:space="preserve"> impacted </w:t>
      </w:r>
      <w:r w:rsidR="00FA50C6">
        <w:rPr>
          <w:sz w:val="24"/>
          <w:szCs w:val="24"/>
        </w:rPr>
        <w:t>groundwater.</w:t>
      </w:r>
      <w:r w:rsidR="006A70B6">
        <w:rPr>
          <w:sz w:val="24"/>
          <w:szCs w:val="24"/>
        </w:rPr>
        <w:t xml:space="preserve"> </w:t>
      </w:r>
      <w:r w:rsidRPr="006A70B6">
        <w:rPr>
          <w:sz w:val="24"/>
          <w:szCs w:val="24"/>
        </w:rPr>
        <w:t>These additional requirements contain the safeguards for allowing wineries to be located within these sensitive areas and meet the required higher level of water quality protection to not further degrade, and to improve, th</w:t>
      </w:r>
      <w:r w:rsidR="0070544E">
        <w:rPr>
          <w:sz w:val="24"/>
          <w:szCs w:val="24"/>
        </w:rPr>
        <w:t>e receiving water</w:t>
      </w:r>
      <w:r w:rsidRPr="006A70B6">
        <w:rPr>
          <w:sz w:val="24"/>
          <w:szCs w:val="24"/>
        </w:rPr>
        <w:t>.</w:t>
      </w:r>
    </w:p>
    <w:p w14:paraId="541F9365" w14:textId="77777777" w:rsidR="00D64AC7" w:rsidRPr="00CB58F6" w:rsidRDefault="00D64AC7" w:rsidP="00D64AC7">
      <w:pPr>
        <w:pStyle w:val="ListParagraph"/>
        <w:ind w:left="360"/>
        <w:rPr>
          <w:szCs w:val="24"/>
        </w:rPr>
      </w:pPr>
    </w:p>
    <w:p w14:paraId="7FE22D95" w14:textId="230C68E5" w:rsidR="001E2DB0" w:rsidRPr="00577B19" w:rsidRDefault="00826E63" w:rsidP="00C91461">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rFonts w:eastAsiaTheme="minorEastAsia"/>
          <w:sz w:val="24"/>
          <w:szCs w:val="24"/>
        </w:rPr>
      </w:pPr>
      <w:r w:rsidRPr="00B31839">
        <w:rPr>
          <w:rFonts w:eastAsiaTheme="minorEastAsia"/>
          <w:b/>
          <w:sz w:val="24"/>
          <w:szCs w:val="24"/>
        </w:rPr>
        <w:t>Ground water-driven water quality-based effluent limitations</w:t>
      </w:r>
      <w:r w:rsidR="00B31839">
        <w:rPr>
          <w:rFonts w:eastAsiaTheme="minorEastAsia"/>
          <w:sz w:val="24"/>
          <w:szCs w:val="24"/>
        </w:rPr>
        <w:t xml:space="preserve">. </w:t>
      </w:r>
      <w:r w:rsidR="001E2DB0" w:rsidRPr="00B31839">
        <w:rPr>
          <w:sz w:val="24"/>
          <w:szCs w:val="24"/>
        </w:rPr>
        <w:t xml:space="preserve">For wineries that discharge to areas of known </w:t>
      </w:r>
      <w:r w:rsidR="00AD282F">
        <w:rPr>
          <w:sz w:val="24"/>
          <w:szCs w:val="24"/>
        </w:rPr>
        <w:t>nitrate-impacted groundwater areas</w:t>
      </w:r>
      <w:r w:rsidR="001E2DB0" w:rsidRPr="00B31839">
        <w:rPr>
          <w:sz w:val="24"/>
          <w:szCs w:val="24"/>
        </w:rPr>
        <w:t xml:space="preserve">, the numeric criteria </w:t>
      </w:r>
      <w:r w:rsidR="0070544E">
        <w:rPr>
          <w:sz w:val="24"/>
          <w:szCs w:val="24"/>
        </w:rPr>
        <w:t>are implemented as</w:t>
      </w:r>
      <w:r w:rsidR="001E2DB0" w:rsidRPr="00B31839">
        <w:rPr>
          <w:sz w:val="24"/>
          <w:szCs w:val="24"/>
        </w:rPr>
        <w:t xml:space="preserve"> effluent limitations ra</w:t>
      </w:r>
      <w:r w:rsidR="00B31839">
        <w:rPr>
          <w:sz w:val="24"/>
          <w:szCs w:val="24"/>
        </w:rPr>
        <w:t>ther than numeric action levels.</w:t>
      </w:r>
      <w:r w:rsidR="001E2DB0" w:rsidRPr="00B31839">
        <w:rPr>
          <w:sz w:val="24"/>
          <w:szCs w:val="24"/>
        </w:rPr>
        <w:t xml:space="preserve"> </w:t>
      </w:r>
      <w:r w:rsidR="00B31839">
        <w:rPr>
          <w:sz w:val="24"/>
          <w:szCs w:val="24"/>
        </w:rPr>
        <w:t>Also, the</w:t>
      </w:r>
      <w:r w:rsidR="001E2DB0" w:rsidRPr="00B31839">
        <w:rPr>
          <w:sz w:val="24"/>
          <w:szCs w:val="24"/>
        </w:rPr>
        <w:t xml:space="preserve"> exceedance of </w:t>
      </w:r>
      <w:r w:rsidR="00A01C9F">
        <w:rPr>
          <w:sz w:val="24"/>
          <w:szCs w:val="24"/>
        </w:rPr>
        <w:t>the numeric effluent limitation</w:t>
      </w:r>
      <w:r w:rsidR="00B31839">
        <w:rPr>
          <w:sz w:val="24"/>
          <w:szCs w:val="24"/>
        </w:rPr>
        <w:t xml:space="preserve">, </w:t>
      </w:r>
      <w:r w:rsidR="001E2DB0" w:rsidRPr="00B31839">
        <w:rPr>
          <w:sz w:val="24"/>
          <w:szCs w:val="24"/>
        </w:rPr>
        <w:t>triggers the requirement to perform an assessment. At th</w:t>
      </w:r>
      <w:r w:rsidR="00823C44">
        <w:rPr>
          <w:sz w:val="24"/>
          <w:szCs w:val="24"/>
        </w:rPr>
        <w:t xml:space="preserve">e time of drafting this Order, </w:t>
      </w:r>
      <w:r w:rsidR="001E2DB0" w:rsidRPr="00B31839">
        <w:rPr>
          <w:sz w:val="24"/>
          <w:szCs w:val="24"/>
        </w:rPr>
        <w:t xml:space="preserve">information </w:t>
      </w:r>
      <w:r w:rsidR="00573E35">
        <w:rPr>
          <w:sz w:val="24"/>
          <w:szCs w:val="24"/>
        </w:rPr>
        <w:t xml:space="preserve">is available </w:t>
      </w:r>
      <w:r w:rsidR="00AD282F">
        <w:rPr>
          <w:sz w:val="24"/>
          <w:szCs w:val="24"/>
        </w:rPr>
        <w:t>about the nitrate-impacted groundwater areas</w:t>
      </w:r>
      <w:r w:rsidR="001E2DB0" w:rsidRPr="00B31839">
        <w:rPr>
          <w:sz w:val="24"/>
          <w:szCs w:val="24"/>
        </w:rPr>
        <w:t xml:space="preserve"> in the Livermore Valley</w:t>
      </w:r>
      <w:r w:rsidR="00573E35">
        <w:rPr>
          <w:sz w:val="24"/>
          <w:szCs w:val="24"/>
        </w:rPr>
        <w:t xml:space="preserve"> in Alameda County</w:t>
      </w:r>
      <w:r w:rsidR="005446AF">
        <w:rPr>
          <w:sz w:val="24"/>
          <w:szCs w:val="24"/>
        </w:rPr>
        <w:t xml:space="preserve"> and Petaluma Valley groundwater basin in Sonoma County</w:t>
      </w:r>
      <w:r w:rsidR="001E2DB0" w:rsidRPr="00B31839">
        <w:rPr>
          <w:sz w:val="24"/>
          <w:szCs w:val="24"/>
        </w:rPr>
        <w:t xml:space="preserve">. Therefore, the </w:t>
      </w:r>
      <w:r w:rsidR="007B0474" w:rsidRPr="00B31839">
        <w:rPr>
          <w:sz w:val="24"/>
          <w:szCs w:val="24"/>
        </w:rPr>
        <w:t>n</w:t>
      </w:r>
      <w:r w:rsidR="007B0474">
        <w:rPr>
          <w:sz w:val="24"/>
          <w:szCs w:val="24"/>
        </w:rPr>
        <w:t>itrogen</w:t>
      </w:r>
      <w:r w:rsidR="007B0474" w:rsidRPr="00B31839">
        <w:rPr>
          <w:sz w:val="24"/>
          <w:szCs w:val="24"/>
        </w:rPr>
        <w:t xml:space="preserve"> </w:t>
      </w:r>
      <w:r w:rsidR="001E2DB0" w:rsidRPr="00B31839">
        <w:rPr>
          <w:sz w:val="24"/>
          <w:szCs w:val="24"/>
        </w:rPr>
        <w:t>mass loading effluent limitations, which app</w:t>
      </w:r>
      <w:r w:rsidR="00AD282F">
        <w:rPr>
          <w:sz w:val="24"/>
          <w:szCs w:val="24"/>
        </w:rPr>
        <w:t xml:space="preserve">ly to areas of known nitrate-impacted </w:t>
      </w:r>
      <w:r w:rsidR="001E2DB0" w:rsidRPr="00B31839">
        <w:rPr>
          <w:sz w:val="24"/>
          <w:szCs w:val="24"/>
        </w:rPr>
        <w:t xml:space="preserve">groundwater, are derived from the </w:t>
      </w:r>
      <w:r w:rsidR="00B31839">
        <w:rPr>
          <w:sz w:val="24"/>
          <w:szCs w:val="24"/>
        </w:rPr>
        <w:t>N</w:t>
      </w:r>
      <w:r w:rsidR="001E2DB0" w:rsidRPr="00B31839">
        <w:rPr>
          <w:sz w:val="24"/>
          <w:szCs w:val="24"/>
        </w:rPr>
        <w:t xml:space="preserve">utrient </w:t>
      </w:r>
      <w:r w:rsidR="00B31839">
        <w:rPr>
          <w:sz w:val="24"/>
          <w:szCs w:val="24"/>
        </w:rPr>
        <w:t>M</w:t>
      </w:r>
      <w:r w:rsidR="001E2DB0" w:rsidRPr="00B31839">
        <w:rPr>
          <w:sz w:val="24"/>
          <w:szCs w:val="24"/>
        </w:rPr>
        <w:t xml:space="preserve">anagement </w:t>
      </w:r>
      <w:r w:rsidR="00B31839">
        <w:rPr>
          <w:sz w:val="24"/>
          <w:szCs w:val="24"/>
        </w:rPr>
        <w:t>P</w:t>
      </w:r>
      <w:r w:rsidR="001E2DB0" w:rsidRPr="00B31839">
        <w:rPr>
          <w:sz w:val="24"/>
          <w:szCs w:val="24"/>
        </w:rPr>
        <w:t xml:space="preserve">lan recommendations developed by Zone 7 </w:t>
      </w:r>
      <w:r w:rsidR="007B0474">
        <w:rPr>
          <w:sz w:val="24"/>
          <w:szCs w:val="24"/>
        </w:rPr>
        <w:t xml:space="preserve">Water Agency </w:t>
      </w:r>
      <w:r w:rsidR="001E2DB0" w:rsidRPr="00B31839">
        <w:rPr>
          <w:sz w:val="24"/>
          <w:szCs w:val="24"/>
        </w:rPr>
        <w:t xml:space="preserve">of Alameda County. </w:t>
      </w:r>
      <w:r w:rsidR="00573E35">
        <w:rPr>
          <w:sz w:val="24"/>
          <w:szCs w:val="24"/>
        </w:rPr>
        <w:t>Additional</w:t>
      </w:r>
      <w:r w:rsidR="001E2DB0" w:rsidRPr="00B31839">
        <w:rPr>
          <w:sz w:val="24"/>
          <w:szCs w:val="24"/>
        </w:rPr>
        <w:t xml:space="preserve"> information regarding other </w:t>
      </w:r>
      <w:r w:rsidR="00AD282F">
        <w:rPr>
          <w:sz w:val="24"/>
          <w:szCs w:val="24"/>
        </w:rPr>
        <w:t>impacted groundwater areas</w:t>
      </w:r>
      <w:r w:rsidR="001E2DB0" w:rsidRPr="00B31839">
        <w:rPr>
          <w:sz w:val="24"/>
          <w:szCs w:val="24"/>
        </w:rPr>
        <w:t xml:space="preserve"> </w:t>
      </w:r>
      <w:r w:rsidR="00573E35">
        <w:rPr>
          <w:sz w:val="24"/>
          <w:szCs w:val="24"/>
        </w:rPr>
        <w:t xml:space="preserve">may </w:t>
      </w:r>
      <w:r w:rsidR="00C91461">
        <w:rPr>
          <w:sz w:val="24"/>
          <w:szCs w:val="24"/>
        </w:rPr>
        <w:t>be determined during</w:t>
      </w:r>
      <w:r w:rsidR="001E2DB0" w:rsidRPr="00B31839">
        <w:rPr>
          <w:sz w:val="24"/>
          <w:szCs w:val="24"/>
        </w:rPr>
        <w:t xml:space="preserve"> the life of this Order, </w:t>
      </w:r>
      <w:r w:rsidR="006D06EE" w:rsidRPr="00B31839">
        <w:rPr>
          <w:sz w:val="24"/>
          <w:szCs w:val="24"/>
        </w:rPr>
        <w:t>particularly as regional Salt and Nutrient Management Plans continue to be developed</w:t>
      </w:r>
      <w:r w:rsidR="00C91461">
        <w:rPr>
          <w:sz w:val="24"/>
          <w:szCs w:val="24"/>
        </w:rPr>
        <w:t>.</w:t>
      </w:r>
      <w:r w:rsidR="00823C44">
        <w:rPr>
          <w:sz w:val="24"/>
          <w:szCs w:val="24"/>
        </w:rPr>
        <w:t xml:space="preserve"> </w:t>
      </w:r>
      <w:r w:rsidR="00C91461">
        <w:rPr>
          <w:sz w:val="24"/>
          <w:szCs w:val="24"/>
        </w:rPr>
        <w:t xml:space="preserve">Therefore, </w:t>
      </w:r>
      <w:r w:rsidR="001E2DB0" w:rsidRPr="00B31839">
        <w:rPr>
          <w:sz w:val="24"/>
          <w:szCs w:val="24"/>
        </w:rPr>
        <w:t xml:space="preserve">Dischargers must refer to this website </w:t>
      </w:r>
      <w:hyperlink r:id="rId12" w:history="1">
        <w:r w:rsidR="007F21DE" w:rsidRPr="007F21DE">
          <w:rPr>
            <w:rStyle w:val="Hyperlink"/>
            <w:rFonts w:eastAsiaTheme="majorEastAsia"/>
            <w:sz w:val="24"/>
            <w:szCs w:val="24"/>
          </w:rPr>
          <w:t>http://www.waterboards.ca.gov/sanfranciscobay/water_issues/programs/on_site_wastewater_treatment_systems.shtml</w:t>
        </w:r>
      </w:hyperlink>
      <w:r w:rsidR="007F21DE">
        <w:rPr>
          <w:szCs w:val="24"/>
        </w:rPr>
        <w:t xml:space="preserve"> </w:t>
      </w:r>
      <w:r w:rsidR="005446AF">
        <w:rPr>
          <w:sz w:val="24"/>
          <w:szCs w:val="24"/>
        </w:rPr>
        <w:t xml:space="preserve">for updated </w:t>
      </w:r>
      <w:r w:rsidR="001E2DB0" w:rsidRPr="00B31839">
        <w:rPr>
          <w:sz w:val="24"/>
          <w:szCs w:val="24"/>
        </w:rPr>
        <w:t>map</w:t>
      </w:r>
      <w:r w:rsidR="005446AF">
        <w:rPr>
          <w:sz w:val="24"/>
          <w:szCs w:val="24"/>
        </w:rPr>
        <w:t>s</w:t>
      </w:r>
      <w:r w:rsidR="001E2DB0" w:rsidRPr="00B31839">
        <w:rPr>
          <w:sz w:val="24"/>
          <w:szCs w:val="24"/>
        </w:rPr>
        <w:t xml:space="preserve"> of the areas of </w:t>
      </w:r>
      <w:r w:rsidR="00AD282F">
        <w:rPr>
          <w:sz w:val="24"/>
          <w:szCs w:val="24"/>
        </w:rPr>
        <w:t>nitrate-impacted groundwater</w:t>
      </w:r>
      <w:r w:rsidR="001E2DB0" w:rsidRPr="00B31839">
        <w:rPr>
          <w:sz w:val="24"/>
          <w:szCs w:val="24"/>
        </w:rPr>
        <w:t xml:space="preserve">. </w:t>
      </w:r>
      <w:r w:rsidR="00C91461" w:rsidRPr="00C91461">
        <w:rPr>
          <w:sz w:val="24"/>
          <w:szCs w:val="24"/>
        </w:rPr>
        <w:t>In addition, Regional Water Board staff will periodically review available groundwater data for nitrogen, chloride, and sodium, and inform Dischargers as to whether additional effluent limitations apply.</w:t>
      </w:r>
      <w:r w:rsidR="005446AF">
        <w:rPr>
          <w:sz w:val="24"/>
          <w:szCs w:val="24"/>
        </w:rPr>
        <w:t xml:space="preserve"> </w:t>
      </w:r>
      <w:r w:rsidR="005446AF" w:rsidRPr="005446AF">
        <w:rPr>
          <w:b/>
          <w:sz w:val="24"/>
          <w:szCs w:val="24"/>
        </w:rPr>
        <w:t>Figures 3</w:t>
      </w:r>
      <w:r w:rsidR="00C5026D">
        <w:rPr>
          <w:sz w:val="24"/>
          <w:szCs w:val="24"/>
        </w:rPr>
        <w:t xml:space="preserve"> through</w:t>
      </w:r>
      <w:r w:rsidR="005446AF">
        <w:rPr>
          <w:sz w:val="24"/>
          <w:szCs w:val="24"/>
        </w:rPr>
        <w:t xml:space="preserve"> </w:t>
      </w:r>
      <w:r w:rsidR="00C5026D">
        <w:rPr>
          <w:b/>
          <w:sz w:val="24"/>
          <w:szCs w:val="24"/>
        </w:rPr>
        <w:t>5</w:t>
      </w:r>
      <w:r w:rsidR="005446AF">
        <w:rPr>
          <w:sz w:val="24"/>
          <w:szCs w:val="24"/>
        </w:rPr>
        <w:t xml:space="preserve"> depict the nitrate-impacted groundwater areas (</w:t>
      </w:r>
      <w:r w:rsidR="005446AF" w:rsidRPr="005446AF">
        <w:rPr>
          <w:b/>
          <w:sz w:val="24"/>
          <w:szCs w:val="24"/>
        </w:rPr>
        <w:t>Attachment J</w:t>
      </w:r>
      <w:r w:rsidR="005446AF">
        <w:rPr>
          <w:sz w:val="24"/>
          <w:szCs w:val="24"/>
        </w:rPr>
        <w:t>).</w:t>
      </w:r>
    </w:p>
    <w:p w14:paraId="442784DD" w14:textId="77777777" w:rsidR="00577B19" w:rsidRPr="00577B19" w:rsidRDefault="00577B19" w:rsidP="00577B19">
      <w:pPr>
        <w:pStyle w:val="Agendanumber"/>
        <w:numPr>
          <w:ilvl w:val="0"/>
          <w:numId w:val="0"/>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ind w:left="360"/>
        <w:rPr>
          <w:rFonts w:eastAsiaTheme="minorEastAsia"/>
          <w:sz w:val="24"/>
          <w:szCs w:val="24"/>
        </w:rPr>
      </w:pPr>
    </w:p>
    <w:p w14:paraId="04B85D13" w14:textId="7B35FB87" w:rsidR="00577B19" w:rsidRPr="00577B19" w:rsidRDefault="00577B19" w:rsidP="0045506A">
      <w:pPr>
        <w:pStyle w:val="Agendanumber"/>
        <w:numPr>
          <w:ilvl w:val="0"/>
          <w:numId w:val="18"/>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rPr>
          <w:rFonts w:eastAsiaTheme="minorEastAsia"/>
          <w:sz w:val="24"/>
          <w:szCs w:val="24"/>
        </w:rPr>
      </w:pPr>
      <w:r w:rsidRPr="00577B19">
        <w:rPr>
          <w:rFonts w:eastAsiaTheme="minorEastAsia"/>
          <w:sz w:val="24"/>
          <w:szCs w:val="24"/>
        </w:rPr>
        <w:t xml:space="preserve">For discharges of wastewater to known nitrate-impacted groundwater, the Discharger shall conduct a site-specific assessment Nitrogen </w:t>
      </w:r>
      <w:r>
        <w:rPr>
          <w:rFonts w:eastAsiaTheme="minorEastAsia"/>
          <w:sz w:val="24"/>
          <w:szCs w:val="24"/>
        </w:rPr>
        <w:t>Assessment and Management Plan. The purpose of the Nitrogen Assessment is t</w:t>
      </w:r>
      <w:r w:rsidRPr="00577B19">
        <w:rPr>
          <w:rFonts w:eastAsiaTheme="minorEastAsia"/>
          <w:sz w:val="24"/>
          <w:szCs w:val="24"/>
        </w:rPr>
        <w:t>o assess whether the effluent leaving the discharge point meet the groundwater nitrate water quality objective of 10 mg/L</w:t>
      </w:r>
      <w:r>
        <w:rPr>
          <w:rFonts w:eastAsiaTheme="minorEastAsia"/>
          <w:sz w:val="24"/>
          <w:szCs w:val="24"/>
        </w:rPr>
        <w:t xml:space="preserve">-N </w:t>
      </w:r>
      <w:r w:rsidRPr="00577B19">
        <w:rPr>
          <w:rFonts w:eastAsiaTheme="minorEastAsia"/>
          <w:sz w:val="24"/>
          <w:szCs w:val="24"/>
        </w:rPr>
        <w:t>by the time the effluent reac</w:t>
      </w:r>
      <w:r>
        <w:rPr>
          <w:rFonts w:eastAsiaTheme="minorEastAsia"/>
          <w:sz w:val="24"/>
          <w:szCs w:val="24"/>
        </w:rPr>
        <w:t>hes the groundwater surface. Additionally, the Nitrogen Assessment will</w:t>
      </w:r>
      <w:r w:rsidRPr="00577B19">
        <w:rPr>
          <w:rFonts w:eastAsiaTheme="minorEastAsia"/>
          <w:sz w:val="24"/>
          <w:szCs w:val="24"/>
        </w:rPr>
        <w:t xml:space="preserve"> identify practices that the Discharger shall implement to minimize adverse impacts to groundwater from the land application of nitrogen found in winery process wastewater and processing solids.</w:t>
      </w:r>
    </w:p>
    <w:p w14:paraId="10422906" w14:textId="77777777" w:rsidR="001E2DB0" w:rsidRPr="00CB58F6" w:rsidRDefault="001E2DB0" w:rsidP="00266236">
      <w:pPr>
        <w:ind w:left="0"/>
      </w:pPr>
    </w:p>
    <w:p w14:paraId="4AF44B3C" w14:textId="2DC75FBB" w:rsidR="00D64AC7" w:rsidRDefault="0051017A" w:rsidP="0070544E">
      <w:pPr>
        <w:pStyle w:val="Heading2"/>
      </w:pPr>
      <w:bookmarkStart w:id="22" w:name="_Toc470706555"/>
      <w:bookmarkStart w:id="23" w:name="_Toc487002338"/>
      <w:r>
        <w:t>DISCHARGE S</w:t>
      </w:r>
      <w:r w:rsidRPr="00CB58F6">
        <w:t>PECIFICATIONS</w:t>
      </w:r>
      <w:bookmarkEnd w:id="22"/>
      <w:bookmarkEnd w:id="23"/>
    </w:p>
    <w:p w14:paraId="2EC33FFD" w14:textId="77777777" w:rsidR="00774B49" w:rsidRPr="00774B49" w:rsidRDefault="00774B49" w:rsidP="00774B49">
      <w:pPr>
        <w:pStyle w:val="OrderItem"/>
        <w:spacing w:after="0"/>
        <w:ind w:left="360" w:firstLine="0"/>
        <w:rPr>
          <w:i/>
          <w:szCs w:val="24"/>
        </w:rPr>
      </w:pPr>
    </w:p>
    <w:p w14:paraId="5C4FF6A3" w14:textId="77450AFB" w:rsidR="00D64AC7" w:rsidRPr="00E15C65" w:rsidRDefault="00561347" w:rsidP="00063478">
      <w:pPr>
        <w:pStyle w:val="OrderItem"/>
        <w:numPr>
          <w:ilvl w:val="0"/>
          <w:numId w:val="11"/>
        </w:numPr>
        <w:spacing w:after="0"/>
        <w:rPr>
          <w:i/>
          <w:szCs w:val="24"/>
        </w:rPr>
      </w:pPr>
      <w:r w:rsidRPr="00561347">
        <w:rPr>
          <w:b/>
          <w:szCs w:val="24"/>
        </w:rPr>
        <w:t>S</w:t>
      </w:r>
      <w:r w:rsidR="006B0AB1">
        <w:rPr>
          <w:b/>
          <w:szCs w:val="24"/>
        </w:rPr>
        <w:t>olids d</w:t>
      </w:r>
      <w:r w:rsidRPr="00561347">
        <w:rPr>
          <w:b/>
          <w:szCs w:val="24"/>
        </w:rPr>
        <w:t xml:space="preserve">isposal requires proper management to ensure that groundwater is protected. </w:t>
      </w:r>
      <w:r w:rsidR="007B0474">
        <w:rPr>
          <w:szCs w:val="24"/>
        </w:rPr>
        <w:t>Winery solid waste is</w:t>
      </w:r>
      <w:r w:rsidR="00D64AC7">
        <w:rPr>
          <w:szCs w:val="24"/>
        </w:rPr>
        <w:t xml:space="preserve"> generated during the wine production process. Land application of winery </w:t>
      </w:r>
      <w:r w:rsidR="00857F0A">
        <w:rPr>
          <w:szCs w:val="24"/>
        </w:rPr>
        <w:t>solid waste</w:t>
      </w:r>
      <w:r w:rsidR="00D64AC7" w:rsidRPr="00CB58F6">
        <w:rPr>
          <w:szCs w:val="24"/>
        </w:rPr>
        <w:t xml:space="preserve"> can be a valuable soil amendment that increases soil water holding capacity, reduces runoff, adds beneficial microorganisms, adds organic matter, and sequesters carbon. Winery</w:t>
      </w:r>
      <w:r w:rsidR="007B0474">
        <w:rPr>
          <w:szCs w:val="24"/>
        </w:rPr>
        <w:t xml:space="preserve"> solid waste</w:t>
      </w:r>
      <w:r w:rsidR="00D64AC7" w:rsidRPr="00CB58F6">
        <w:rPr>
          <w:szCs w:val="24"/>
        </w:rPr>
        <w:t xml:space="preserve"> may contain nutrients, salts, and oxygen reducing compounds that can degrade water quality if allowed to migrate into groundwater or surface water.</w:t>
      </w:r>
      <w:r>
        <w:rPr>
          <w:szCs w:val="24"/>
        </w:rPr>
        <w:t xml:space="preserve"> </w:t>
      </w:r>
      <w:r w:rsidR="007B0474">
        <w:t xml:space="preserve">To provide assurance that the </w:t>
      </w:r>
      <w:r w:rsidRPr="00D12E40">
        <w:t xml:space="preserve">solids do not create an adverse effect on public health and safety or the environment, solids disposal </w:t>
      </w:r>
      <w:r w:rsidR="00E27684">
        <w:t>requirem</w:t>
      </w:r>
      <w:r w:rsidR="00C33615">
        <w:t xml:space="preserve">ents are included in </w:t>
      </w:r>
      <w:r w:rsidR="00E27684" w:rsidRPr="00E27684">
        <w:rPr>
          <w:b/>
        </w:rPr>
        <w:t>Section V.17</w:t>
      </w:r>
      <w:r w:rsidR="00E27684">
        <w:t>. Discharge Specifications</w:t>
      </w:r>
      <w:r w:rsidR="00C33615">
        <w:t xml:space="preserve"> of this Order.</w:t>
      </w:r>
    </w:p>
    <w:p w14:paraId="10831259" w14:textId="77777777" w:rsidR="00E15C65" w:rsidRPr="00C53D9B" w:rsidRDefault="00E15C65" w:rsidP="00E15C65">
      <w:pPr>
        <w:pStyle w:val="OrderItem"/>
        <w:spacing w:after="0"/>
        <w:ind w:left="0" w:firstLine="0"/>
        <w:rPr>
          <w:i/>
          <w:szCs w:val="24"/>
        </w:rPr>
      </w:pPr>
    </w:p>
    <w:p w14:paraId="4E0C411D" w14:textId="5D44031F" w:rsidR="00C33615" w:rsidRDefault="00C53D9B" w:rsidP="00C33615">
      <w:pPr>
        <w:pStyle w:val="OrderItem"/>
        <w:numPr>
          <w:ilvl w:val="0"/>
          <w:numId w:val="11"/>
        </w:numPr>
        <w:spacing w:after="0"/>
        <w:rPr>
          <w:szCs w:val="24"/>
        </w:rPr>
      </w:pPr>
      <w:r w:rsidRPr="00C33615">
        <w:rPr>
          <w:b/>
          <w:szCs w:val="24"/>
        </w:rPr>
        <w:t xml:space="preserve">Winery </w:t>
      </w:r>
      <w:r w:rsidR="00857F0A" w:rsidRPr="00C33615">
        <w:rPr>
          <w:b/>
          <w:szCs w:val="24"/>
        </w:rPr>
        <w:t>solid waste</w:t>
      </w:r>
      <w:r w:rsidR="00C33615" w:rsidRPr="00C33615">
        <w:rPr>
          <w:b/>
          <w:szCs w:val="24"/>
        </w:rPr>
        <w:t xml:space="preserve"> include</w:t>
      </w:r>
      <w:r w:rsidR="00D23F6C">
        <w:rPr>
          <w:b/>
          <w:szCs w:val="24"/>
        </w:rPr>
        <w:t>s</w:t>
      </w:r>
      <w:r w:rsidR="00C33615" w:rsidRPr="00C33615">
        <w:rPr>
          <w:b/>
          <w:szCs w:val="24"/>
        </w:rPr>
        <w:t xml:space="preserve"> </w:t>
      </w:r>
      <w:r w:rsidR="00C33615" w:rsidRPr="00C33615">
        <w:rPr>
          <w:szCs w:val="24"/>
        </w:rPr>
        <w:t>grape marc, lees, filtered solids, stalks, wastewater sludge, inorganic solids, winery wastewater sludge, inorganic solids, and residual solids.</w:t>
      </w:r>
      <w:r w:rsidR="00C33615" w:rsidRPr="00C33615">
        <w:t xml:space="preserve"> </w:t>
      </w:r>
      <w:r w:rsidR="00C33615" w:rsidRPr="00C33615">
        <w:rPr>
          <w:szCs w:val="24"/>
        </w:rPr>
        <w:t xml:space="preserve">Winery solid waste may be discharged to land in accordance with the </w:t>
      </w:r>
      <w:r w:rsidR="004151FA">
        <w:rPr>
          <w:szCs w:val="24"/>
        </w:rPr>
        <w:t>Notice of Intent Package</w:t>
      </w:r>
      <w:r w:rsidR="00C33615">
        <w:rPr>
          <w:szCs w:val="24"/>
        </w:rPr>
        <w:t>.</w:t>
      </w:r>
    </w:p>
    <w:p w14:paraId="22717556" w14:textId="77777777" w:rsidR="00C33615" w:rsidRDefault="00C33615" w:rsidP="00C33615">
      <w:pPr>
        <w:pStyle w:val="ListParagraph"/>
        <w:rPr>
          <w:szCs w:val="24"/>
        </w:rPr>
      </w:pPr>
    </w:p>
    <w:p w14:paraId="4B7222CE" w14:textId="4FA3AAD6" w:rsidR="00C53D9B" w:rsidRPr="00C53D9B" w:rsidRDefault="00C53D9B" w:rsidP="00823C44">
      <w:pPr>
        <w:pStyle w:val="OrderItem"/>
        <w:numPr>
          <w:ilvl w:val="0"/>
          <w:numId w:val="14"/>
        </w:numPr>
        <w:spacing w:after="0"/>
        <w:rPr>
          <w:szCs w:val="24"/>
        </w:rPr>
      </w:pPr>
      <w:r w:rsidRPr="006008DB">
        <w:rPr>
          <w:szCs w:val="24"/>
        </w:rPr>
        <w:t>Application of winery solids or wastewater to the discharge area or crop lands shall be at rates which are reasonable for the crop, soil, climate, special local situations, a</w:t>
      </w:r>
      <w:r w:rsidR="009E1519">
        <w:rPr>
          <w:szCs w:val="24"/>
        </w:rPr>
        <w:t>nd management system.</w:t>
      </w:r>
      <w:r w:rsidR="009E1519" w:rsidRPr="009E1519">
        <w:rPr>
          <w:b/>
          <w:szCs w:val="24"/>
        </w:rPr>
        <w:t xml:space="preserve"> Appendix 1</w:t>
      </w:r>
      <w:r w:rsidRPr="006008DB">
        <w:rPr>
          <w:szCs w:val="24"/>
        </w:rPr>
        <w:t xml:space="preserve"> contains additional information on applying wastewater at agronomic rates. The wastewater di</w:t>
      </w:r>
      <w:r w:rsidR="00731573">
        <w:rPr>
          <w:szCs w:val="24"/>
        </w:rPr>
        <w:t>scharge</w:t>
      </w:r>
      <w:r w:rsidRPr="006008DB">
        <w:rPr>
          <w:szCs w:val="24"/>
        </w:rPr>
        <w:t xml:space="preserve"> system shall be designed based on site-specific characteristics.   </w:t>
      </w:r>
    </w:p>
    <w:p w14:paraId="02B5B22C" w14:textId="77777777" w:rsidR="00D64AC7" w:rsidRPr="00CB58F6" w:rsidRDefault="00D64AC7" w:rsidP="00D64AC7">
      <w:pPr>
        <w:pStyle w:val="OrderItem"/>
        <w:spacing w:after="0"/>
        <w:ind w:left="0" w:firstLine="0"/>
        <w:rPr>
          <w:szCs w:val="24"/>
        </w:rPr>
      </w:pPr>
    </w:p>
    <w:p w14:paraId="5EE2DDBC" w14:textId="10F9A2E2" w:rsidR="00D64AC7" w:rsidRPr="00950838" w:rsidRDefault="00561347" w:rsidP="00063478">
      <w:pPr>
        <w:pStyle w:val="OrderItem"/>
        <w:numPr>
          <w:ilvl w:val="0"/>
          <w:numId w:val="11"/>
        </w:numPr>
        <w:spacing w:after="0"/>
        <w:rPr>
          <w:i/>
          <w:szCs w:val="24"/>
        </w:rPr>
      </w:pPr>
      <w:r>
        <w:rPr>
          <w:b/>
          <w:szCs w:val="24"/>
        </w:rPr>
        <w:t>If compost</w:t>
      </w:r>
      <w:r w:rsidR="007B0474">
        <w:rPr>
          <w:b/>
          <w:szCs w:val="24"/>
        </w:rPr>
        <w:t>ing of winery solids happens on</w:t>
      </w:r>
      <w:r>
        <w:rPr>
          <w:b/>
          <w:szCs w:val="24"/>
        </w:rPr>
        <w:t xml:space="preserve">site, the Composting General Order </w:t>
      </w:r>
      <w:r w:rsidR="007B0474">
        <w:rPr>
          <w:b/>
          <w:szCs w:val="24"/>
        </w:rPr>
        <w:t>may be</w:t>
      </w:r>
      <w:r>
        <w:rPr>
          <w:b/>
          <w:szCs w:val="24"/>
        </w:rPr>
        <w:t xml:space="preserve"> required. </w:t>
      </w:r>
      <w:r w:rsidR="00D64AC7" w:rsidRPr="009044A9">
        <w:rPr>
          <w:szCs w:val="24"/>
        </w:rPr>
        <w:t>Composting is the biological decomposition of organic materials by microorganisms under</w:t>
      </w:r>
      <w:r w:rsidR="00D64AC7">
        <w:rPr>
          <w:szCs w:val="24"/>
        </w:rPr>
        <w:t xml:space="preserve"> </w:t>
      </w:r>
      <w:r w:rsidR="00D64AC7" w:rsidRPr="009044A9">
        <w:rPr>
          <w:szCs w:val="24"/>
        </w:rPr>
        <w:t>controlled aerobic conditions to create a product (e.g., soil amendment or soil blend).</w:t>
      </w:r>
      <w:r w:rsidR="00D64AC7">
        <w:rPr>
          <w:szCs w:val="24"/>
        </w:rPr>
        <w:t xml:space="preserve"> </w:t>
      </w:r>
      <w:r w:rsidR="00D64AC7" w:rsidRPr="00D12E40">
        <w:t>If greater than 500 cubic yards of winery processing solids are stored onsite</w:t>
      </w:r>
      <w:r w:rsidR="007B0474">
        <w:t xml:space="preserve"> at one time</w:t>
      </w:r>
      <w:r w:rsidR="00D64AC7" w:rsidRPr="00D12E40">
        <w:t xml:space="preserve">, additional coverage may be required under State </w:t>
      </w:r>
      <w:r w:rsidR="00D64AC7">
        <w:t>Water Board</w:t>
      </w:r>
      <w:r w:rsidR="00D64AC7" w:rsidRPr="00D12E40">
        <w:t xml:space="preserve"> Order No. WQ 2015</w:t>
      </w:r>
      <w:r w:rsidR="00D64AC7" w:rsidRPr="00D12E40">
        <w:noBreakHyphen/>
        <w:t>0121</w:t>
      </w:r>
      <w:r w:rsidR="00D64AC7" w:rsidRPr="00D12E40">
        <w:noBreakHyphen/>
        <w:t>DWQ, General Waste Discharge Requirements for Composting Operations (Composting General Order).</w:t>
      </w:r>
      <w:r w:rsidR="00D64AC7">
        <w:rPr>
          <w:rStyle w:val="FootnoteReference"/>
        </w:rPr>
        <w:footnoteReference w:id="2"/>
      </w:r>
      <w:r w:rsidR="00D64AC7" w:rsidRPr="00D12E40">
        <w:t xml:space="preserve"> </w:t>
      </w:r>
      <w:r w:rsidR="00D64AC7">
        <w:rPr>
          <w:szCs w:val="24"/>
        </w:rPr>
        <w:t xml:space="preserve"> </w:t>
      </w:r>
    </w:p>
    <w:p w14:paraId="53EA6954" w14:textId="77777777" w:rsidR="00950838" w:rsidRPr="007B0474" w:rsidRDefault="00950838" w:rsidP="00950838">
      <w:pPr>
        <w:pStyle w:val="OrderItem"/>
        <w:spacing w:after="0"/>
        <w:ind w:left="360" w:firstLine="0"/>
        <w:rPr>
          <w:i/>
          <w:szCs w:val="24"/>
        </w:rPr>
      </w:pPr>
    </w:p>
    <w:p w14:paraId="05A50FE5" w14:textId="5F84D760" w:rsidR="00D64AC7" w:rsidRPr="000C07B0" w:rsidRDefault="0051017A" w:rsidP="0070544E">
      <w:pPr>
        <w:pStyle w:val="Heading2"/>
      </w:pPr>
      <w:bookmarkStart w:id="24" w:name="_Toc487002339"/>
      <w:bookmarkStart w:id="25" w:name="_Toc470706557"/>
      <w:r>
        <w:t>PROVISIONS</w:t>
      </w:r>
      <w:bookmarkEnd w:id="24"/>
      <w:r>
        <w:t xml:space="preserve"> </w:t>
      </w:r>
      <w:bookmarkEnd w:id="25"/>
    </w:p>
    <w:p w14:paraId="3DE57C68" w14:textId="77777777" w:rsidR="00774B49" w:rsidRPr="00774B49" w:rsidRDefault="00774B49" w:rsidP="00774B49">
      <w:pPr>
        <w:pStyle w:val="ListParagraph"/>
        <w:ind w:left="360"/>
        <w:contextualSpacing w:val="0"/>
        <w:rPr>
          <w:szCs w:val="24"/>
        </w:rPr>
      </w:pPr>
      <w:bookmarkStart w:id="26" w:name="_Toc459823613"/>
    </w:p>
    <w:p w14:paraId="24F3FEC6" w14:textId="6B0F1D57" w:rsidR="00900844" w:rsidRPr="00CB58F6" w:rsidRDefault="00900844" w:rsidP="003F524C">
      <w:pPr>
        <w:pStyle w:val="ListParagraph"/>
        <w:numPr>
          <w:ilvl w:val="0"/>
          <w:numId w:val="12"/>
        </w:numPr>
        <w:spacing w:after="120"/>
        <w:contextualSpacing w:val="0"/>
        <w:rPr>
          <w:szCs w:val="24"/>
        </w:rPr>
      </w:pPr>
      <w:r>
        <w:rPr>
          <w:b/>
          <w:szCs w:val="24"/>
        </w:rPr>
        <w:t xml:space="preserve">Installation notification requirement. </w:t>
      </w:r>
      <w:r w:rsidR="006323AF" w:rsidRPr="006323AF">
        <w:rPr>
          <w:szCs w:val="24"/>
        </w:rPr>
        <w:t>For new or expanding wineries,</w:t>
      </w:r>
      <w:r w:rsidR="006323AF">
        <w:rPr>
          <w:b/>
          <w:szCs w:val="24"/>
        </w:rPr>
        <w:t xml:space="preserve"> </w:t>
      </w:r>
      <w:r w:rsidR="006323AF">
        <w:rPr>
          <w:szCs w:val="24"/>
        </w:rPr>
        <w:t>f</w:t>
      </w:r>
      <w:r>
        <w:rPr>
          <w:szCs w:val="24"/>
        </w:rPr>
        <w:t>ollowing receipt of the Discharge Authorization Letter, the Discharger is required to notify Regional Water Board staff before the wastewater treatment system is installed. This allows Regional Board staff the opportunity to inspect the installation of the system</w:t>
      </w:r>
      <w:r w:rsidR="00740E53">
        <w:rPr>
          <w:szCs w:val="24"/>
        </w:rPr>
        <w:t xml:space="preserve"> to verify that the system is being installed per the accepted design.</w:t>
      </w:r>
      <w:r>
        <w:rPr>
          <w:szCs w:val="24"/>
        </w:rPr>
        <w:t xml:space="preserve">  </w:t>
      </w:r>
      <w:bookmarkEnd w:id="26"/>
    </w:p>
    <w:p w14:paraId="67EF424B" w14:textId="5AE217A8" w:rsidR="002B5582" w:rsidRPr="00E15C65" w:rsidRDefault="002B5582" w:rsidP="005A3CE8">
      <w:pPr>
        <w:pStyle w:val="Agendanumber"/>
        <w:numPr>
          <w:ilvl w:val="0"/>
          <w:numId w:val="12"/>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napToGrid w:val="0"/>
          <w:sz w:val="24"/>
          <w:szCs w:val="24"/>
        </w:rPr>
      </w:pPr>
      <w:r w:rsidRPr="00CB58F6">
        <w:rPr>
          <w:b/>
          <w:snapToGrid w:val="0"/>
          <w:sz w:val="24"/>
          <w:szCs w:val="24"/>
        </w:rPr>
        <w:t>Monitoring and Reporting Program</w:t>
      </w:r>
      <w:r>
        <w:rPr>
          <w:b/>
          <w:snapToGrid w:val="0"/>
          <w:sz w:val="24"/>
          <w:szCs w:val="24"/>
        </w:rPr>
        <w:t xml:space="preserve">. </w:t>
      </w:r>
      <w:r w:rsidRPr="00CB58F6">
        <w:rPr>
          <w:b/>
          <w:snapToGrid w:val="0"/>
          <w:sz w:val="24"/>
          <w:szCs w:val="24"/>
        </w:rPr>
        <w:t xml:space="preserve"> </w:t>
      </w:r>
      <w:r>
        <w:rPr>
          <w:snapToGrid w:val="0"/>
          <w:sz w:val="24"/>
          <w:szCs w:val="24"/>
        </w:rPr>
        <w:t>The monitoring and reporting program is needed to ensure that the Discharger complies with this Order. The following are elements of the monitoring and reporting program:</w:t>
      </w:r>
    </w:p>
    <w:p w14:paraId="74AC9BE0" w14:textId="02C54F1A" w:rsidR="00F26E19" w:rsidRDefault="00D64AC7" w:rsidP="00362D97">
      <w:pPr>
        <w:pStyle w:val="ListParagraph"/>
        <w:numPr>
          <w:ilvl w:val="0"/>
          <w:numId w:val="70"/>
        </w:numPr>
        <w:spacing w:after="120"/>
        <w:ind w:left="734" w:hanging="187"/>
        <w:contextualSpacing w:val="0"/>
      </w:pPr>
      <w:r w:rsidRPr="00F26E19">
        <w:rPr>
          <w:b/>
        </w:rPr>
        <w:t xml:space="preserve">Effluent </w:t>
      </w:r>
      <w:r w:rsidR="006B0AB1" w:rsidRPr="00F26E19">
        <w:rPr>
          <w:b/>
        </w:rPr>
        <w:t>m</w:t>
      </w:r>
      <w:r w:rsidRPr="00F26E19">
        <w:rPr>
          <w:b/>
        </w:rPr>
        <w:t>onitoring</w:t>
      </w:r>
      <w:r w:rsidR="00900844" w:rsidRPr="00F26E19">
        <w:rPr>
          <w:b/>
        </w:rPr>
        <w:t>.</w:t>
      </w:r>
      <w:r w:rsidRPr="00F26E19">
        <w:rPr>
          <w:b/>
        </w:rPr>
        <w:t xml:space="preserve"> </w:t>
      </w:r>
      <w:r w:rsidRPr="002B5582">
        <w:t xml:space="preserve">The Regional Water Board needs accurate water use data from Dischargers to fulfill its statutory responsibilities and to protect the State's water resource. Wastewater system monitoring will include flow monitoring and effluent water quality monitoring. The monitoring and reporting requirements in this Order and the associated Monitoring and </w:t>
      </w:r>
      <w:r w:rsidR="006323AF">
        <w:t>Reporting Program</w:t>
      </w:r>
      <w:r w:rsidRPr="002B5582">
        <w:t xml:space="preserve"> (</w:t>
      </w:r>
      <w:r w:rsidRPr="00F26E19">
        <w:rPr>
          <w:b/>
        </w:rPr>
        <w:t>Attachment A</w:t>
      </w:r>
      <w:r w:rsidRPr="002B5582">
        <w:t>), and any future revisions, are necessary to determine compliance with the conditions of this Order and to determine the discharge impacts, if any, on groundwater.</w:t>
      </w:r>
    </w:p>
    <w:p w14:paraId="0EE9F3D2" w14:textId="44AED212" w:rsidR="00C37039" w:rsidRDefault="00C37039" w:rsidP="00362D97">
      <w:pPr>
        <w:pStyle w:val="ListParagraph"/>
        <w:numPr>
          <w:ilvl w:val="0"/>
          <w:numId w:val="70"/>
        </w:numPr>
        <w:spacing w:after="120"/>
        <w:ind w:left="720" w:hanging="180"/>
        <w:contextualSpacing w:val="0"/>
      </w:pPr>
      <w:r w:rsidRPr="00C37039">
        <w:rPr>
          <w:b/>
        </w:rPr>
        <w:t>Groundwater Monitoring</w:t>
      </w:r>
      <w:r>
        <w:t xml:space="preserve">. </w:t>
      </w:r>
      <w:r w:rsidR="00F26E19" w:rsidRPr="00F26E19">
        <w:t>Since impacts to groundwater depend on site-specific considerations, facility-specific data for facilities are necessary to as</w:t>
      </w:r>
      <w:r w:rsidR="006323AF">
        <w:t>sess compliance with ground</w:t>
      </w:r>
      <w:r w:rsidR="00F26E19" w:rsidRPr="00F26E19">
        <w:t xml:space="preserve"> water quality objectives.</w:t>
      </w:r>
      <w:r w:rsidR="00F26E19">
        <w:t xml:space="preserve"> </w:t>
      </w:r>
      <w:r>
        <w:t xml:space="preserve">The Monitoring and Reporting Program allows determination of compliance with effluent limits, receiving water limitations, and discharge prohibitions. </w:t>
      </w:r>
      <w:r w:rsidR="00F26E19">
        <w:t>This Order requires sampling of existing groundwater wells, including existing monitoring wells</w:t>
      </w:r>
      <w:r>
        <w:t xml:space="preserve"> or agricultural production wells</w:t>
      </w:r>
      <w:r w:rsidR="00F26E19">
        <w:t xml:space="preserve">, </w:t>
      </w:r>
      <w:r w:rsidR="0037255E">
        <w:t xml:space="preserve">located </w:t>
      </w:r>
      <w:r w:rsidR="00F26E19">
        <w:t>at facilities in Tier 2 and Tier 3 that discharge</w:t>
      </w:r>
      <w:r w:rsidR="00F26E19" w:rsidRPr="00F26E19">
        <w:t xml:space="preserve"> greater than 1,500 gpd</w:t>
      </w:r>
      <w:r w:rsidR="00F26E19">
        <w:t xml:space="preserve"> (monthly average).</w:t>
      </w:r>
      <w:r>
        <w:t xml:space="preserve"> </w:t>
      </w:r>
    </w:p>
    <w:p w14:paraId="0A7BFC30" w14:textId="4BF4A159" w:rsidR="00F26E19" w:rsidRPr="00F26E19" w:rsidRDefault="00C37039" w:rsidP="00C37039">
      <w:pPr>
        <w:pStyle w:val="ListParagraph"/>
        <w:spacing w:after="120"/>
        <w:contextualSpacing w:val="0"/>
      </w:pPr>
      <w:r>
        <w:t>Additionally, groundwater monitoring is required for wineries discharging greater than 10,000 gpd in nitrate-impacted groundwater areas.</w:t>
      </w:r>
    </w:p>
    <w:p w14:paraId="783708F1" w14:textId="77777777" w:rsidR="00F26E19" w:rsidRDefault="00D64AC7" w:rsidP="00362D97">
      <w:pPr>
        <w:pStyle w:val="ListParagraph"/>
        <w:numPr>
          <w:ilvl w:val="0"/>
          <w:numId w:val="70"/>
        </w:numPr>
        <w:spacing w:after="120"/>
        <w:ind w:left="734" w:hanging="187"/>
        <w:contextualSpacing w:val="0"/>
      </w:pPr>
      <w:r w:rsidRPr="00F26E19">
        <w:rPr>
          <w:b/>
        </w:rPr>
        <w:t>Nitrogen Hazard Index</w:t>
      </w:r>
      <w:r w:rsidR="00900844" w:rsidRPr="00F26E19">
        <w:rPr>
          <w:b/>
        </w:rPr>
        <w:t>.</w:t>
      </w:r>
      <w:r w:rsidRPr="00F26E19">
        <w:rPr>
          <w:b/>
        </w:rPr>
        <w:t xml:space="preserve"> </w:t>
      </w:r>
      <w:r w:rsidR="002B5582">
        <w:t xml:space="preserve">The Nitrogen Hazard Index, which all surface irrigation Dischargers must submit with their first annual report, allows the Discharger to assess the potential level of </w:t>
      </w:r>
      <w:r w:rsidR="00CA3F98">
        <w:t>impact of the nitrogen in the effluent on</w:t>
      </w:r>
      <w:bookmarkStart w:id="27" w:name="_Toc448403902"/>
      <w:r w:rsidR="00F26E19">
        <w:t xml:space="preserve"> the receiving groundwater.</w:t>
      </w:r>
    </w:p>
    <w:p w14:paraId="09A45D10" w14:textId="0B0298D3" w:rsidR="00F26E19" w:rsidRDefault="006B0AB1" w:rsidP="00362D97">
      <w:pPr>
        <w:pStyle w:val="ListParagraph"/>
        <w:numPr>
          <w:ilvl w:val="0"/>
          <w:numId w:val="70"/>
        </w:numPr>
        <w:spacing w:after="120"/>
        <w:ind w:left="734" w:hanging="187"/>
        <w:contextualSpacing w:val="0"/>
      </w:pPr>
      <w:r w:rsidRPr="00F26E19">
        <w:rPr>
          <w:b/>
        </w:rPr>
        <w:t xml:space="preserve">Fixed </w:t>
      </w:r>
      <w:r w:rsidR="00204ADA">
        <w:rPr>
          <w:b/>
        </w:rPr>
        <w:t xml:space="preserve">dissolved </w:t>
      </w:r>
      <w:r w:rsidRPr="00F26E19">
        <w:rPr>
          <w:b/>
        </w:rPr>
        <w:t>s</w:t>
      </w:r>
      <w:r w:rsidR="00D64AC7" w:rsidRPr="00F26E19">
        <w:rPr>
          <w:b/>
        </w:rPr>
        <w:t>olids</w:t>
      </w:r>
      <w:r w:rsidRPr="00F26E19">
        <w:rPr>
          <w:b/>
        </w:rPr>
        <w:t xml:space="preserve"> and s</w:t>
      </w:r>
      <w:r w:rsidR="00D64AC7" w:rsidRPr="00F26E19">
        <w:rPr>
          <w:b/>
        </w:rPr>
        <w:t>odium</w:t>
      </w:r>
      <w:r w:rsidR="002B5582" w:rsidRPr="00F26E19">
        <w:rPr>
          <w:b/>
        </w:rPr>
        <w:t xml:space="preserve">. </w:t>
      </w:r>
      <w:r w:rsidR="002B5582">
        <w:t xml:space="preserve"> </w:t>
      </w:r>
      <w:r w:rsidR="00596A40">
        <w:t>F</w:t>
      </w:r>
      <w:r w:rsidR="002B5582">
        <w:t xml:space="preserve">ixed </w:t>
      </w:r>
      <w:r w:rsidR="00204ADA">
        <w:t xml:space="preserve">dissolved </w:t>
      </w:r>
      <w:r w:rsidR="002B5582">
        <w:t xml:space="preserve">solids and sodium </w:t>
      </w:r>
      <w:r w:rsidR="00596A40">
        <w:t xml:space="preserve">monitoring will provide additional </w:t>
      </w:r>
      <w:r w:rsidR="002B5582">
        <w:t xml:space="preserve">information </w:t>
      </w:r>
      <w:r w:rsidR="00596A40">
        <w:t>that can be used by the Regional Water Board to</w:t>
      </w:r>
      <w:r w:rsidR="00CB4C37">
        <w:t xml:space="preserve"> </w:t>
      </w:r>
      <w:r w:rsidR="00362D97">
        <w:t>provide effective</w:t>
      </w:r>
      <w:r w:rsidR="00EE38F6">
        <w:t xml:space="preserve"> management and regulation of salinity.</w:t>
      </w:r>
      <w:bookmarkEnd w:id="27"/>
    </w:p>
    <w:p w14:paraId="3928B672" w14:textId="6359E21A" w:rsidR="00D64AC7" w:rsidRPr="00904B67" w:rsidRDefault="006B0AB1" w:rsidP="00362D97">
      <w:pPr>
        <w:pStyle w:val="ListParagraph"/>
        <w:numPr>
          <w:ilvl w:val="0"/>
          <w:numId w:val="70"/>
        </w:numPr>
        <w:ind w:left="720" w:hanging="180"/>
      </w:pPr>
      <w:r w:rsidRPr="00F26E19">
        <w:rPr>
          <w:b/>
        </w:rPr>
        <w:t>Sodium adsorption r</w:t>
      </w:r>
      <w:r w:rsidR="00D64AC7" w:rsidRPr="00F26E19">
        <w:rPr>
          <w:b/>
        </w:rPr>
        <w:t>atio (SAR)</w:t>
      </w:r>
      <w:r w:rsidR="002B5582">
        <w:t xml:space="preserve">. The SAR, along with electrical conductivity, </w:t>
      </w:r>
      <w:r w:rsidR="00596A40">
        <w:t xml:space="preserve">can </w:t>
      </w:r>
      <w:r w:rsidR="00EE38F6">
        <w:t>be used as an indicator of negative impacts caused by effluent salinity on the soils in the discharge area</w:t>
      </w:r>
      <w:r w:rsidR="002B5582">
        <w:t xml:space="preserve">, specifically, on the soil infiltration capacity. Thus, this Order has a numeric action level for </w:t>
      </w:r>
      <w:r w:rsidR="00CB4C37">
        <w:t xml:space="preserve">various </w:t>
      </w:r>
      <w:r w:rsidR="00EE38F6">
        <w:t>combinations of SAR and electrical conductivity</w:t>
      </w:r>
      <w:r w:rsidR="002B5582">
        <w:t xml:space="preserve">. </w:t>
      </w:r>
    </w:p>
    <w:p w14:paraId="78619471" w14:textId="77777777" w:rsidR="00D64AC7" w:rsidRDefault="00D64AC7" w:rsidP="0070544E">
      <w:pPr>
        <w:ind w:left="0"/>
      </w:pPr>
    </w:p>
    <w:p w14:paraId="74C01C2D" w14:textId="1BB2A0CB" w:rsidR="00D64AC7" w:rsidRDefault="00F00E1F" w:rsidP="0070544E">
      <w:pPr>
        <w:pStyle w:val="Heading2"/>
      </w:pPr>
      <w:bookmarkStart w:id="28" w:name="_Toc470706539"/>
      <w:bookmarkStart w:id="29" w:name="_Toc487002340"/>
      <w:r w:rsidRPr="00CB58F6">
        <w:t>CALIFORNIA ENVIRONMENTAL QUALITY ACT</w:t>
      </w:r>
      <w:bookmarkEnd w:id="28"/>
      <w:bookmarkEnd w:id="29"/>
    </w:p>
    <w:p w14:paraId="2ECF5999" w14:textId="77777777" w:rsidR="00D23F6C" w:rsidRPr="00D23F6C" w:rsidRDefault="00D23F6C" w:rsidP="00D23F6C">
      <w:pPr>
        <w:ind w:left="0"/>
      </w:pPr>
    </w:p>
    <w:p w14:paraId="0905EF59" w14:textId="5B631105" w:rsidR="00D64AC7" w:rsidRPr="00984D22" w:rsidRDefault="0052583C" w:rsidP="00063478">
      <w:pPr>
        <w:pStyle w:val="ListParagraph"/>
        <w:numPr>
          <w:ilvl w:val="0"/>
          <w:numId w:val="7"/>
        </w:numPr>
        <w:rPr>
          <w:szCs w:val="24"/>
        </w:rPr>
      </w:pPr>
      <w:r w:rsidRPr="0052583C">
        <w:rPr>
          <w:b/>
          <w:szCs w:val="24"/>
        </w:rPr>
        <w:t>Regional Water Board is the CEQA Lead Agency.</w:t>
      </w:r>
      <w:r>
        <w:rPr>
          <w:szCs w:val="24"/>
        </w:rPr>
        <w:t xml:space="preserve"> </w:t>
      </w:r>
      <w:r w:rsidR="00D64AC7" w:rsidRPr="00984D22">
        <w:rPr>
          <w:szCs w:val="24"/>
        </w:rPr>
        <w:t>The Regional Water Board is the lead agency for purposes of complying with the California Environmental Quality Act (CEQA), Public Resources Code sections 21100-21177. As lead agency under the CEQA, the Regional Water Board provided notice of intent to adopt a mitigated negative declaration (</w:t>
      </w:r>
      <w:r w:rsidR="00D64AC7" w:rsidRPr="00984D22">
        <w:rPr>
          <w:szCs w:val="24"/>
          <w:highlight w:val="lightGray"/>
        </w:rPr>
        <w:t>SCH No. #)</w:t>
      </w:r>
      <w:r w:rsidR="00D64AC7" w:rsidRPr="00984D22">
        <w:rPr>
          <w:szCs w:val="24"/>
        </w:rPr>
        <w:t xml:space="preserve"> for this Order on </w:t>
      </w:r>
      <w:r w:rsidR="003F28D0">
        <w:rPr>
          <w:szCs w:val="24"/>
          <w:highlight w:val="lightGray"/>
        </w:rPr>
        <w:t xml:space="preserve">December </w:t>
      </w:r>
      <w:r w:rsidR="00774B49">
        <w:rPr>
          <w:szCs w:val="24"/>
          <w:highlight w:val="lightGray"/>
        </w:rPr>
        <w:t>13,</w:t>
      </w:r>
      <w:r w:rsidR="00D64AC7" w:rsidRPr="00984D22">
        <w:rPr>
          <w:szCs w:val="24"/>
          <w:highlight w:val="lightGray"/>
        </w:rPr>
        <w:t xml:space="preserve"> </w:t>
      </w:r>
      <w:r w:rsidR="00D64AC7">
        <w:rPr>
          <w:szCs w:val="24"/>
          <w:highlight w:val="lightGray"/>
        </w:rPr>
        <w:t>2017</w:t>
      </w:r>
      <w:r w:rsidR="00D64AC7" w:rsidRPr="00984D22">
        <w:rPr>
          <w:szCs w:val="24"/>
        </w:rPr>
        <w:t xml:space="preserve"> (CCR, Title 14, § 15072). Following the consideration of the mitigated negative declaration and comments received during the public review process, the Regional Water Board hereby determines that any potential effects of the proposed project are mitigated by the strict eligibility criteria, discharge prohibitions, waste discharge specifications, monitoring and reporting requirements, and other provisions of the Order, such that no significant effects will occur.</w:t>
      </w:r>
    </w:p>
    <w:p w14:paraId="43BBECB1" w14:textId="77777777" w:rsidR="00D64AC7" w:rsidRDefault="00D64AC7" w:rsidP="00D64AC7"/>
    <w:p w14:paraId="1B742775" w14:textId="77777777" w:rsidR="00D64AC7" w:rsidRPr="00CB58F6" w:rsidRDefault="00D64AC7" w:rsidP="00D64AC7">
      <w:pPr>
        <w:ind w:left="360"/>
      </w:pPr>
      <w:r w:rsidRPr="00CB58F6">
        <w:t xml:space="preserve">The documents and other materials, which constitute the record, are located at 1515 Clay Street, Suite 1400, Oakland, CA 94612, and online at </w:t>
      </w:r>
      <w:hyperlink r:id="rId13" w:history="1">
        <w:r w:rsidRPr="00CB58F6">
          <w:rPr>
            <w:rStyle w:val="Hyperlink"/>
          </w:rPr>
          <w:t>http://www.waterboards.ca.gov/sanfranciscobay/water_issues/programs/on_site_wastewater_treatment_systems.shtml</w:t>
        </w:r>
      </w:hyperlink>
      <w:r w:rsidRPr="00CB58F6">
        <w:t xml:space="preserve">. </w:t>
      </w:r>
    </w:p>
    <w:p w14:paraId="521A6F39" w14:textId="77777777" w:rsidR="00D64AC7" w:rsidRPr="00CB58F6" w:rsidRDefault="00D64AC7" w:rsidP="00D64AC7">
      <w:pPr>
        <w:ind w:left="446"/>
      </w:pPr>
    </w:p>
    <w:p w14:paraId="691D36EB" w14:textId="2A9BCACD" w:rsidR="00D64AC7" w:rsidRPr="0052583C" w:rsidRDefault="006B0AB1" w:rsidP="00710BEF">
      <w:pPr>
        <w:pStyle w:val="Agendanumber"/>
        <w:numPr>
          <w:ilvl w:val="0"/>
          <w:numId w:val="7"/>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r>
        <w:rPr>
          <w:b/>
          <w:sz w:val="24"/>
          <w:szCs w:val="24"/>
        </w:rPr>
        <w:t>Existing d</w:t>
      </w:r>
      <w:r w:rsidR="00D64AC7" w:rsidRPr="00CB58F6">
        <w:rPr>
          <w:b/>
          <w:sz w:val="24"/>
          <w:szCs w:val="24"/>
        </w:rPr>
        <w:t>ischarges</w:t>
      </w:r>
      <w:r w:rsidR="0052583C">
        <w:rPr>
          <w:b/>
          <w:sz w:val="24"/>
          <w:szCs w:val="24"/>
        </w:rPr>
        <w:t>.</w:t>
      </w:r>
      <w:r w:rsidR="00D64AC7" w:rsidRPr="00CB58F6">
        <w:rPr>
          <w:b/>
          <w:sz w:val="24"/>
          <w:szCs w:val="24"/>
        </w:rPr>
        <w:t xml:space="preserve"> </w:t>
      </w:r>
      <w:r w:rsidR="00D64AC7" w:rsidRPr="00CB58F6">
        <w:rPr>
          <w:sz w:val="24"/>
          <w:szCs w:val="24"/>
        </w:rPr>
        <w:t xml:space="preserve">This </w:t>
      </w:r>
      <w:r w:rsidR="00D64AC7">
        <w:rPr>
          <w:sz w:val="24"/>
          <w:szCs w:val="24"/>
        </w:rPr>
        <w:t>O</w:t>
      </w:r>
      <w:r w:rsidR="00D64AC7" w:rsidRPr="00CB58F6">
        <w:rPr>
          <w:sz w:val="24"/>
          <w:szCs w:val="24"/>
        </w:rPr>
        <w:t xml:space="preserve">rder </w:t>
      </w:r>
      <w:r w:rsidR="00E34260">
        <w:rPr>
          <w:sz w:val="24"/>
          <w:szCs w:val="24"/>
        </w:rPr>
        <w:t>authorizes the discharge to land of specified waste from</w:t>
      </w:r>
      <w:r w:rsidR="00EE38F6">
        <w:rPr>
          <w:sz w:val="24"/>
          <w:szCs w:val="24"/>
        </w:rPr>
        <w:t xml:space="preserve"> wineries </w:t>
      </w:r>
      <w:r w:rsidR="00D64AC7" w:rsidRPr="00CB58F6">
        <w:rPr>
          <w:sz w:val="24"/>
          <w:szCs w:val="24"/>
        </w:rPr>
        <w:t>that are fully constructed and operating as of the effective date of this Order, and which have subsequently undergone no expansion in size of their physical facilities</w:t>
      </w:r>
      <w:r w:rsidR="00E34260">
        <w:rPr>
          <w:sz w:val="24"/>
          <w:szCs w:val="24"/>
        </w:rPr>
        <w:t xml:space="preserve"> beyond that anticipated in the facilities’ CEQA documents</w:t>
      </w:r>
      <w:r w:rsidR="00D64AC7" w:rsidRPr="00CB58F6">
        <w:rPr>
          <w:sz w:val="24"/>
          <w:szCs w:val="24"/>
        </w:rPr>
        <w:t>. This Order is designed to enhance the protection of surface and groundwater resources, and its application to existing facilities is exempt from the provisions of CEQA in accordance with the following categorical exemptions:</w:t>
      </w:r>
    </w:p>
    <w:p w14:paraId="20D0CCCF" w14:textId="77777777" w:rsidR="00D64AC7" w:rsidRPr="00CB58F6" w:rsidRDefault="00D64AC7" w:rsidP="00D23F6C">
      <w:pPr>
        <w:pStyle w:val="ListParagraph"/>
        <w:numPr>
          <w:ilvl w:val="0"/>
          <w:numId w:val="4"/>
        </w:numPr>
        <w:spacing w:after="120"/>
        <w:rPr>
          <w:szCs w:val="24"/>
        </w:rPr>
      </w:pPr>
      <w:r w:rsidRPr="00CB58F6">
        <w:rPr>
          <w:szCs w:val="24"/>
        </w:rPr>
        <w:t xml:space="preserve">CEQA Guidelines Exemption 1 for Existing Facilities (Cal. Code </w:t>
      </w:r>
      <w:proofErr w:type="spellStart"/>
      <w:r w:rsidRPr="00CB58F6">
        <w:rPr>
          <w:szCs w:val="24"/>
        </w:rPr>
        <w:t>Regs</w:t>
      </w:r>
      <w:proofErr w:type="spellEnd"/>
      <w:r w:rsidRPr="00CB58F6">
        <w:rPr>
          <w:szCs w:val="24"/>
        </w:rPr>
        <w:t>., tit.14, Section 15301), which exempts the “operation, repair, maintenance, [and] permitting…of existing public or private structures, facilities, mechanical equipment, or topographical features” from environmental review. The restoration of, or improvements to, winery waste management systems to ensure proper function in compliance with this Order will involve minor alterations of existing private facilities.</w:t>
      </w:r>
    </w:p>
    <w:p w14:paraId="054DE936" w14:textId="77777777" w:rsidR="00D64AC7" w:rsidRPr="00CB58F6" w:rsidRDefault="00D64AC7" w:rsidP="00D23F6C">
      <w:pPr>
        <w:pStyle w:val="ListParagraph"/>
        <w:spacing w:after="120"/>
      </w:pPr>
    </w:p>
    <w:p w14:paraId="18F85F16" w14:textId="77777777" w:rsidR="00D64AC7" w:rsidRPr="006B53DE" w:rsidRDefault="00D64AC7" w:rsidP="00063478">
      <w:pPr>
        <w:pStyle w:val="ListParagraph"/>
        <w:numPr>
          <w:ilvl w:val="0"/>
          <w:numId w:val="4"/>
        </w:numPr>
        <w:rPr>
          <w:szCs w:val="24"/>
        </w:rPr>
      </w:pPr>
      <w:r w:rsidRPr="006B53DE">
        <w:rPr>
          <w:szCs w:val="24"/>
        </w:rPr>
        <w:t xml:space="preserve">CEQA Guidelines Exemption 2 for Replacement of Existing Structures (Cal. Code </w:t>
      </w:r>
      <w:proofErr w:type="spellStart"/>
      <w:r w:rsidRPr="006B53DE">
        <w:rPr>
          <w:szCs w:val="24"/>
        </w:rPr>
        <w:t>Regs</w:t>
      </w:r>
      <w:proofErr w:type="spellEnd"/>
      <w:r w:rsidRPr="006B53DE">
        <w:rPr>
          <w:szCs w:val="24"/>
        </w:rPr>
        <w:t>., tit. 14, Section 15302) exempts “replacement or reconstruction of existing structures and facilities where the new structure will be located on the same site as the structure replaced and will have substantially the same purpose and capacity as the structure replaced.” Consistent with the categorical exemption for Replacement of Existing Structures, this Order may require wineries to replace or reconstruct treatment units, such as ponds or septic systems, on the facility to ensure proper function in compliance with this Order.</w:t>
      </w:r>
    </w:p>
    <w:p w14:paraId="0B6497C0" w14:textId="77777777" w:rsidR="00D64AC7" w:rsidRPr="00CB58F6" w:rsidRDefault="00D64AC7" w:rsidP="00D64AC7">
      <w:pPr>
        <w:ind w:left="360"/>
      </w:pPr>
    </w:p>
    <w:p w14:paraId="66A28187" w14:textId="20290FC8" w:rsidR="00D64AC7" w:rsidRPr="00033803" w:rsidRDefault="00D64AC7" w:rsidP="005A3CE8">
      <w:pPr>
        <w:pStyle w:val="Agendanumber"/>
        <w:numPr>
          <w:ilvl w:val="0"/>
          <w:numId w:val="7"/>
        </w:numPr>
        <w:tabs>
          <w:tab w:val="clear" w:pos="582"/>
          <w:tab w:val="clear" w:pos="1170"/>
          <w:tab w:val="clear" w:pos="2328"/>
          <w:tab w:val="clear" w:pos="2910"/>
          <w:tab w:val="clear" w:pos="3492"/>
          <w:tab w:val="clear" w:pos="4074"/>
          <w:tab w:val="clear" w:pos="4656"/>
          <w:tab w:val="clear" w:pos="5238"/>
          <w:tab w:val="clear" w:pos="5820"/>
          <w:tab w:val="clear" w:pos="6402"/>
          <w:tab w:val="clear" w:pos="6984"/>
          <w:tab w:val="clear" w:pos="7566"/>
          <w:tab w:val="clear" w:pos="8148"/>
          <w:tab w:val="clear" w:pos="8730"/>
          <w:tab w:val="clear" w:pos="9312"/>
          <w:tab w:val="clear" w:pos="9894"/>
          <w:tab w:val="clear" w:pos="10476"/>
          <w:tab w:val="clear" w:pos="11058"/>
          <w:tab w:val="clear" w:pos="11640"/>
          <w:tab w:val="clear" w:pos="12222"/>
        </w:tabs>
        <w:spacing w:after="120"/>
        <w:rPr>
          <w:sz w:val="24"/>
          <w:szCs w:val="24"/>
        </w:rPr>
      </w:pPr>
      <w:r w:rsidRPr="00033803">
        <w:rPr>
          <w:b/>
          <w:sz w:val="24"/>
          <w:szCs w:val="24"/>
        </w:rPr>
        <w:t>New</w:t>
      </w:r>
      <w:r w:rsidR="006B0AB1" w:rsidRPr="00033803">
        <w:rPr>
          <w:b/>
          <w:sz w:val="24"/>
          <w:szCs w:val="24"/>
        </w:rPr>
        <w:t xml:space="preserve"> and expanded d</w:t>
      </w:r>
      <w:r w:rsidRPr="00033803">
        <w:rPr>
          <w:b/>
          <w:sz w:val="24"/>
          <w:szCs w:val="24"/>
        </w:rPr>
        <w:t>ischarges:</w:t>
      </w:r>
      <w:r w:rsidRPr="00033803">
        <w:rPr>
          <w:sz w:val="24"/>
          <w:szCs w:val="24"/>
        </w:rPr>
        <w:t xml:space="preserve"> Facilities</w:t>
      </w:r>
      <w:r w:rsidR="00033803" w:rsidRPr="00033803">
        <w:rPr>
          <w:sz w:val="24"/>
          <w:szCs w:val="24"/>
        </w:rPr>
        <w:t xml:space="preserve"> in Tiers 2 and 3</w:t>
      </w:r>
      <w:r w:rsidRPr="00033803">
        <w:rPr>
          <w:sz w:val="24"/>
          <w:szCs w:val="24"/>
        </w:rPr>
        <w:t xml:space="preserve"> defined as “new” or “expanding” pursuant to this Order must submit proof of compliance with the provisions of CEQA in the form of a certified Environmental Impact Report (EIR), Mitigated Negative Declaration, or Negative Declaration, together with the </w:t>
      </w:r>
      <w:r w:rsidR="004151FA" w:rsidRPr="00033803">
        <w:rPr>
          <w:sz w:val="24"/>
          <w:szCs w:val="24"/>
        </w:rPr>
        <w:t>Notice of Intent Package</w:t>
      </w:r>
      <w:r w:rsidRPr="00033803">
        <w:rPr>
          <w:sz w:val="24"/>
          <w:szCs w:val="24"/>
        </w:rPr>
        <w:t>.</w:t>
      </w:r>
      <w:r w:rsidR="0052583C" w:rsidRPr="00033803">
        <w:rPr>
          <w:sz w:val="24"/>
          <w:szCs w:val="24"/>
        </w:rPr>
        <w:t xml:space="preserve"> </w:t>
      </w:r>
      <w:r w:rsidRPr="00033803">
        <w:rPr>
          <w:sz w:val="24"/>
          <w:szCs w:val="24"/>
        </w:rPr>
        <w:t>New or expanding wineries in Tier</w:t>
      </w:r>
      <w:r w:rsidR="00033803" w:rsidRPr="00033803">
        <w:rPr>
          <w:sz w:val="24"/>
          <w:szCs w:val="24"/>
        </w:rPr>
        <w:t xml:space="preserve"> 1</w:t>
      </w:r>
      <w:r w:rsidRPr="00033803">
        <w:rPr>
          <w:sz w:val="24"/>
          <w:szCs w:val="24"/>
        </w:rPr>
        <w:t xml:space="preserve">can receive regulatory coverage under this Order upon demonstrating compliance with CEQA by completing the Notice of Intent included with this Order as </w:t>
      </w:r>
      <w:r w:rsidRPr="00033803">
        <w:rPr>
          <w:b/>
          <w:sz w:val="24"/>
          <w:szCs w:val="24"/>
        </w:rPr>
        <w:t>Attachment B</w:t>
      </w:r>
      <w:r w:rsidRPr="00033803">
        <w:rPr>
          <w:sz w:val="24"/>
          <w:szCs w:val="24"/>
        </w:rPr>
        <w:t xml:space="preserve">. Completing the NOI includes </w:t>
      </w:r>
      <w:r w:rsidR="0052583C" w:rsidRPr="00033803">
        <w:rPr>
          <w:sz w:val="24"/>
          <w:szCs w:val="24"/>
        </w:rPr>
        <w:t>demonstrating the following</w:t>
      </w:r>
      <w:r w:rsidRPr="00033803">
        <w:rPr>
          <w:sz w:val="24"/>
          <w:szCs w:val="24"/>
        </w:rPr>
        <w:t>:</w:t>
      </w:r>
    </w:p>
    <w:p w14:paraId="03500778" w14:textId="279AC5AD" w:rsidR="00D64AC7" w:rsidRPr="00F04A0A" w:rsidRDefault="00D64AC7" w:rsidP="00063478">
      <w:pPr>
        <w:pStyle w:val="ListParagraph"/>
        <w:numPr>
          <w:ilvl w:val="0"/>
          <w:numId w:val="5"/>
        </w:numPr>
        <w:spacing w:after="120"/>
        <w:contextualSpacing w:val="0"/>
        <w:rPr>
          <w:szCs w:val="24"/>
        </w:rPr>
      </w:pPr>
      <w:r w:rsidRPr="00F04A0A">
        <w:rPr>
          <w:szCs w:val="24"/>
        </w:rPr>
        <w:t>Any potential impacts to wetlands</w:t>
      </w:r>
      <w:r w:rsidR="00740E53">
        <w:rPr>
          <w:szCs w:val="24"/>
        </w:rPr>
        <w:t>, including creeks</w:t>
      </w:r>
      <w:r w:rsidRPr="00F04A0A">
        <w:rPr>
          <w:szCs w:val="24"/>
        </w:rPr>
        <w:t xml:space="preserve"> and vernal pools</w:t>
      </w:r>
      <w:r w:rsidR="00740E53">
        <w:rPr>
          <w:szCs w:val="24"/>
        </w:rPr>
        <w:t>,</w:t>
      </w:r>
      <w:r w:rsidRPr="00F04A0A">
        <w:rPr>
          <w:szCs w:val="24"/>
        </w:rPr>
        <w:t xml:space="preserve"> have been permitted pursuant to section 401/404 of the federal Clean Water Act</w:t>
      </w:r>
      <w:r w:rsidR="00740E53" w:rsidRPr="00740E53">
        <w:rPr>
          <w:szCs w:val="24"/>
        </w:rPr>
        <w:t xml:space="preserve"> </w:t>
      </w:r>
      <w:r w:rsidR="00740E53">
        <w:rPr>
          <w:szCs w:val="24"/>
        </w:rPr>
        <w:t>or issuance of Waste Discharge Requirements under the California Water Code</w:t>
      </w:r>
      <w:r w:rsidR="00740E53" w:rsidRPr="00CB58F6">
        <w:rPr>
          <w:szCs w:val="24"/>
        </w:rPr>
        <w:t>;</w:t>
      </w:r>
    </w:p>
    <w:p w14:paraId="303B2E88" w14:textId="77777777" w:rsidR="00D64AC7" w:rsidRPr="00F04A0A" w:rsidRDefault="00D64AC7" w:rsidP="00063478">
      <w:pPr>
        <w:pStyle w:val="ListParagraph"/>
        <w:numPr>
          <w:ilvl w:val="0"/>
          <w:numId w:val="5"/>
        </w:numPr>
        <w:spacing w:after="120"/>
        <w:contextualSpacing w:val="0"/>
        <w:rPr>
          <w:szCs w:val="24"/>
        </w:rPr>
      </w:pPr>
      <w:r w:rsidRPr="00F04A0A">
        <w:rPr>
          <w:szCs w:val="24"/>
        </w:rPr>
        <w:t>A Section 1602 Streambed Alteration has been procured, if necessary;</w:t>
      </w:r>
    </w:p>
    <w:p w14:paraId="6974EA21" w14:textId="74E85E01" w:rsidR="00D64AC7" w:rsidRPr="00F04A0A" w:rsidRDefault="00D64AC7" w:rsidP="00063478">
      <w:pPr>
        <w:pStyle w:val="ListParagraph"/>
        <w:numPr>
          <w:ilvl w:val="0"/>
          <w:numId w:val="5"/>
        </w:numPr>
        <w:spacing w:after="120"/>
        <w:contextualSpacing w:val="0"/>
        <w:rPr>
          <w:szCs w:val="24"/>
        </w:rPr>
      </w:pPr>
      <w:r w:rsidRPr="00F04A0A">
        <w:rPr>
          <w:szCs w:val="24"/>
        </w:rPr>
        <w:t xml:space="preserve">The Discharger has obtained coverage under the State Water Board’s Construction </w:t>
      </w:r>
      <w:proofErr w:type="spellStart"/>
      <w:r w:rsidRPr="00F04A0A">
        <w:rPr>
          <w:szCs w:val="24"/>
        </w:rPr>
        <w:t>Stormwater</w:t>
      </w:r>
      <w:proofErr w:type="spellEnd"/>
      <w:r w:rsidRPr="00CB58F6">
        <w:rPr>
          <w:szCs w:val="24"/>
        </w:rPr>
        <w:t xml:space="preserve"> </w:t>
      </w:r>
      <w:r w:rsidR="00E34260">
        <w:rPr>
          <w:szCs w:val="24"/>
        </w:rPr>
        <w:t>General</w:t>
      </w:r>
      <w:r w:rsidRPr="00F04A0A">
        <w:rPr>
          <w:szCs w:val="24"/>
        </w:rPr>
        <w:t xml:space="preserve"> Permit, if necessary;</w:t>
      </w:r>
    </w:p>
    <w:p w14:paraId="4546D2D9" w14:textId="77777777" w:rsidR="00D64AC7" w:rsidRPr="00F04A0A" w:rsidRDefault="00D64AC7" w:rsidP="00063478">
      <w:pPr>
        <w:pStyle w:val="ListParagraph"/>
        <w:numPr>
          <w:ilvl w:val="0"/>
          <w:numId w:val="5"/>
        </w:numPr>
        <w:spacing w:after="120"/>
        <w:contextualSpacing w:val="0"/>
        <w:rPr>
          <w:szCs w:val="24"/>
        </w:rPr>
      </w:pPr>
      <w:r w:rsidRPr="00F04A0A">
        <w:rPr>
          <w:szCs w:val="24"/>
        </w:rPr>
        <w:t>The construction of the winery is in compliance with any applicable County regulations and ordinances, including grading, construction, and building ordinances;</w:t>
      </w:r>
    </w:p>
    <w:p w14:paraId="4913A706" w14:textId="77777777" w:rsidR="00D64AC7" w:rsidRPr="00F04A0A" w:rsidRDefault="00D64AC7" w:rsidP="00063478">
      <w:pPr>
        <w:pStyle w:val="ListParagraph"/>
        <w:numPr>
          <w:ilvl w:val="0"/>
          <w:numId w:val="5"/>
        </w:numPr>
        <w:spacing w:after="120"/>
        <w:contextualSpacing w:val="0"/>
        <w:rPr>
          <w:szCs w:val="24"/>
        </w:rPr>
      </w:pPr>
      <w:r w:rsidRPr="00F04A0A">
        <w:rPr>
          <w:szCs w:val="24"/>
        </w:rPr>
        <w:t>That any and all impacts to special-status species have been fully mitigated; and</w:t>
      </w:r>
    </w:p>
    <w:p w14:paraId="11FB6301" w14:textId="657EFC41" w:rsidR="00D64AC7" w:rsidRDefault="00D64AC7" w:rsidP="00063478">
      <w:pPr>
        <w:pStyle w:val="ListParagraph"/>
        <w:numPr>
          <w:ilvl w:val="0"/>
          <w:numId w:val="5"/>
        </w:numPr>
        <w:spacing w:after="200" w:line="276" w:lineRule="auto"/>
        <w:rPr>
          <w:szCs w:val="24"/>
        </w:rPr>
      </w:pPr>
      <w:r w:rsidRPr="00F04A0A">
        <w:rPr>
          <w:szCs w:val="24"/>
        </w:rPr>
        <w:t>That all potential impacts to cultural resources will be appropriately addressed and mitigated.</w:t>
      </w:r>
    </w:p>
    <w:p w14:paraId="53A02819" w14:textId="77777777" w:rsidR="00EE38F6" w:rsidRPr="00F04A0A" w:rsidRDefault="00EE38F6" w:rsidP="00EE38F6">
      <w:pPr>
        <w:pStyle w:val="ListParagraph"/>
        <w:spacing w:after="200" w:line="276" w:lineRule="auto"/>
        <w:rPr>
          <w:szCs w:val="24"/>
        </w:rPr>
      </w:pPr>
    </w:p>
    <w:p w14:paraId="1D93ADC4" w14:textId="08AD8892" w:rsidR="00EE38F6" w:rsidRDefault="00EE38F6" w:rsidP="0034087A">
      <w:pPr>
        <w:pStyle w:val="ListParagraph"/>
        <w:numPr>
          <w:ilvl w:val="0"/>
          <w:numId w:val="7"/>
        </w:numPr>
      </w:pPr>
      <w:r>
        <w:t>The Regional Water Board requested Tribal consultation related to Tribal cultural resources under A</w:t>
      </w:r>
      <w:r w:rsidR="009F1385">
        <w:t xml:space="preserve">ssembly </w:t>
      </w:r>
      <w:r>
        <w:t>B</w:t>
      </w:r>
      <w:r w:rsidR="009F1385">
        <w:t>ill 52 Native Americans: CEQA.</w:t>
      </w:r>
    </w:p>
    <w:p w14:paraId="045CFE51" w14:textId="77777777" w:rsidR="004D14E5" w:rsidRDefault="004D14E5" w:rsidP="00774B49">
      <w:pPr>
        <w:pStyle w:val="ListParagraph"/>
        <w:ind w:left="360"/>
        <w:contextualSpacing w:val="0"/>
      </w:pPr>
    </w:p>
    <w:p w14:paraId="116E6452" w14:textId="0D4D60EC" w:rsidR="0050322F" w:rsidRDefault="0034087A" w:rsidP="0050322F">
      <w:pPr>
        <w:pStyle w:val="ListParagraph"/>
        <w:numPr>
          <w:ilvl w:val="0"/>
          <w:numId w:val="7"/>
        </w:numPr>
      </w:pPr>
      <w:r>
        <w:t xml:space="preserve">The cumulative impacts associated with the land application of wastewater and solids resulting from many individual facilities, in combination with certain environmental conditions, such as sandy soils, has the potential to contribute to ground water quality impacts. </w:t>
      </w:r>
      <w:r w:rsidR="0050322F">
        <w:t>The impact has the greatest potential to occur in areas with nitrate-impacted areas. The implementation of the following mitigation measures through this Order would reduce the cumulative impact to a less-than-significant level</w:t>
      </w:r>
      <w:r w:rsidR="004251B1">
        <w:t>:</w:t>
      </w:r>
    </w:p>
    <w:p w14:paraId="32F6AC8E" w14:textId="77777777" w:rsidR="004251B1" w:rsidRDefault="004251B1" w:rsidP="004251B1">
      <w:pPr>
        <w:pStyle w:val="ListParagraph"/>
      </w:pPr>
    </w:p>
    <w:p w14:paraId="13B69189" w14:textId="3E98A019" w:rsidR="004251B1" w:rsidRDefault="0043068E" w:rsidP="00362D97">
      <w:pPr>
        <w:pStyle w:val="ListParagraph"/>
        <w:numPr>
          <w:ilvl w:val="0"/>
          <w:numId w:val="64"/>
        </w:numPr>
        <w:ind w:left="720"/>
      </w:pPr>
      <w:r>
        <w:t xml:space="preserve">The Order requires that </w:t>
      </w:r>
      <w:r w:rsidR="004251B1">
        <w:t>the Discharger submit a discharge area soil assessment, solids management plan, and hydraulic loading rates</w:t>
      </w:r>
      <w:r>
        <w:t xml:space="preserve"> with the NOI Package</w:t>
      </w:r>
      <w:r w:rsidR="004251B1">
        <w:t>.</w:t>
      </w:r>
      <w:r>
        <w:t xml:space="preserve"> This information will be used by Regional Water Board staff to verify that the discharge would not cause or contribute to violations of water quality objectives.</w:t>
      </w:r>
    </w:p>
    <w:p w14:paraId="1EAD726E" w14:textId="77777777" w:rsidR="004251B1" w:rsidRDefault="004251B1" w:rsidP="004251B1">
      <w:pPr>
        <w:pStyle w:val="ListParagraph"/>
      </w:pPr>
    </w:p>
    <w:p w14:paraId="3071FCFA" w14:textId="18C9951C" w:rsidR="0043068E" w:rsidRDefault="0043068E" w:rsidP="00362D97">
      <w:pPr>
        <w:pStyle w:val="ListParagraph"/>
        <w:numPr>
          <w:ilvl w:val="0"/>
          <w:numId w:val="64"/>
        </w:numPr>
        <w:ind w:left="720"/>
      </w:pPr>
      <w:r>
        <w:t xml:space="preserve">The Order requires that the Discharger determine whether the discharge </w:t>
      </w:r>
      <w:r w:rsidR="004251B1">
        <w:t>occur</w:t>
      </w:r>
      <w:r>
        <w:t>s within a nitrate-impacted groundwater area. Nitrate effluent and nitrogen loading limitations are required for discharges in the nitrate-impacted groundwater areas.</w:t>
      </w:r>
    </w:p>
    <w:p w14:paraId="1CF15327" w14:textId="77777777" w:rsidR="0043068E" w:rsidRDefault="0043068E" w:rsidP="0043068E">
      <w:pPr>
        <w:pStyle w:val="ListParagraph"/>
      </w:pPr>
    </w:p>
    <w:p w14:paraId="78F0F420" w14:textId="19E72963" w:rsidR="0043068E" w:rsidRDefault="0043068E" w:rsidP="00362D97">
      <w:pPr>
        <w:pStyle w:val="ListParagraph"/>
        <w:numPr>
          <w:ilvl w:val="0"/>
          <w:numId w:val="64"/>
        </w:numPr>
        <w:ind w:left="720"/>
      </w:pPr>
      <w:r>
        <w:t xml:space="preserve">The Order requires that the Discharger consider the site-specific and </w:t>
      </w:r>
      <w:proofErr w:type="spellStart"/>
      <w:r>
        <w:t>hydrogeologic</w:t>
      </w:r>
      <w:proofErr w:type="spellEnd"/>
      <w:r>
        <w:t xml:space="preserve"> conditions in the design of the project.</w:t>
      </w:r>
    </w:p>
    <w:p w14:paraId="3FB8C14A" w14:textId="77777777" w:rsidR="0043068E" w:rsidRDefault="0043068E" w:rsidP="0043068E">
      <w:pPr>
        <w:pStyle w:val="ListParagraph"/>
      </w:pPr>
    </w:p>
    <w:p w14:paraId="542B684C" w14:textId="6D2AF73E" w:rsidR="0043068E" w:rsidRDefault="0043068E" w:rsidP="00362D97">
      <w:pPr>
        <w:pStyle w:val="ListParagraph"/>
        <w:numPr>
          <w:ilvl w:val="0"/>
          <w:numId w:val="64"/>
        </w:numPr>
        <w:ind w:left="720"/>
      </w:pPr>
      <w:r w:rsidRPr="005446AF">
        <w:rPr>
          <w:b/>
        </w:rPr>
        <w:t xml:space="preserve">Facilities </w:t>
      </w:r>
      <w:r w:rsidR="003D7287" w:rsidRPr="005446AF">
        <w:rPr>
          <w:b/>
        </w:rPr>
        <w:t>that discharge greater than 10,000</w:t>
      </w:r>
      <w:r w:rsidRPr="005446AF">
        <w:rPr>
          <w:b/>
        </w:rPr>
        <w:t xml:space="preserve"> gpd</w:t>
      </w:r>
      <w:r w:rsidR="003D7287">
        <w:t xml:space="preserve"> on a monthly average </w:t>
      </w:r>
      <w:r w:rsidR="003D7287" w:rsidRPr="005446AF">
        <w:t xml:space="preserve">in </w:t>
      </w:r>
      <w:r w:rsidR="003D7287" w:rsidRPr="005446AF">
        <w:rPr>
          <w:b/>
        </w:rPr>
        <w:t>nitrate</w:t>
      </w:r>
      <w:r w:rsidR="005446AF">
        <w:rPr>
          <w:b/>
        </w:rPr>
        <w:noBreakHyphen/>
      </w:r>
      <w:r w:rsidR="003D7287" w:rsidRPr="005446AF">
        <w:rPr>
          <w:b/>
        </w:rPr>
        <w:t>impacted areas</w:t>
      </w:r>
      <w:r>
        <w:t>, will be required to</w:t>
      </w:r>
      <w:r w:rsidR="003D7287">
        <w:t xml:space="preserve"> conduct groundwater monitoring. </w:t>
      </w:r>
      <w:r w:rsidR="003D7287" w:rsidRPr="00690366">
        <w:rPr>
          <w:szCs w:val="24"/>
        </w:rPr>
        <w:t xml:space="preserve">Any existing </w:t>
      </w:r>
      <w:r w:rsidR="003D7287">
        <w:rPr>
          <w:szCs w:val="24"/>
        </w:rPr>
        <w:t>representative wells located at facilities in Tier 2 and Tier 3 that discharge greater than 1,500 gpd</w:t>
      </w:r>
      <w:r w:rsidR="003D7287" w:rsidRPr="00690366">
        <w:rPr>
          <w:szCs w:val="24"/>
        </w:rPr>
        <w:t xml:space="preserve">, including domestic </w:t>
      </w:r>
      <w:r w:rsidR="000F09DF">
        <w:rPr>
          <w:szCs w:val="24"/>
        </w:rPr>
        <w:t xml:space="preserve">supply and agricultural production </w:t>
      </w:r>
      <w:r w:rsidR="003D7287" w:rsidRPr="00690366">
        <w:rPr>
          <w:szCs w:val="24"/>
        </w:rPr>
        <w:t>wells, shall be sampled</w:t>
      </w:r>
      <w:r w:rsidR="003D7287">
        <w:rPr>
          <w:szCs w:val="24"/>
        </w:rPr>
        <w:t xml:space="preserve"> per the Monitoring Program (</w:t>
      </w:r>
      <w:r w:rsidR="003D7287" w:rsidRPr="003D7287">
        <w:rPr>
          <w:b/>
          <w:szCs w:val="24"/>
        </w:rPr>
        <w:t>Attachment A</w:t>
      </w:r>
      <w:r w:rsidR="003D7287">
        <w:rPr>
          <w:szCs w:val="24"/>
        </w:rPr>
        <w:t>).</w:t>
      </w:r>
    </w:p>
    <w:p w14:paraId="634D7387" w14:textId="32A0B0DF" w:rsidR="0050322F" w:rsidRDefault="0050322F" w:rsidP="0050322F">
      <w:pPr>
        <w:pStyle w:val="ListParagraph"/>
      </w:pPr>
    </w:p>
    <w:p w14:paraId="153316A8" w14:textId="0C5056C0" w:rsidR="0050322F" w:rsidRDefault="0050322F" w:rsidP="0050322F">
      <w:pPr>
        <w:pStyle w:val="ListParagraph"/>
      </w:pPr>
      <w:r>
        <w:t xml:space="preserve">The potential impact to water quality from surface water runoff is less than significant because this Order requires a number of measures to minimize the risk of runoff, such as prohibiting direct discharge of wastewater and solids to water, establishing minimum setback distances to streams, and prohibiting application under conditions that could result in surface runoff. </w:t>
      </w:r>
    </w:p>
    <w:p w14:paraId="011CCC49" w14:textId="77777777" w:rsidR="002402B5" w:rsidRDefault="002402B5" w:rsidP="0050322F">
      <w:pPr>
        <w:pStyle w:val="ListParagraph"/>
      </w:pPr>
    </w:p>
    <w:p w14:paraId="31214E6C" w14:textId="2C3978AE" w:rsidR="0034087A" w:rsidRDefault="0050322F" w:rsidP="0034087A">
      <w:pPr>
        <w:pStyle w:val="ListParagraph"/>
      </w:pPr>
      <w:r>
        <w:t xml:space="preserve">The data gathered through the implementation of this Order, such as winery location, discharge quantity, effluent quality, soil types in the discharge area, and depth to groundwater, </w:t>
      </w:r>
      <w:r w:rsidR="004251B1">
        <w:t>will provide Regional Water Board staff the information needed to conduct a</w:t>
      </w:r>
      <w:r w:rsidR="00450953">
        <w:t>n ongoing</w:t>
      </w:r>
      <w:r w:rsidR="004251B1">
        <w:t xml:space="preserve"> comprehensive assessment of the cumulative impacts</w:t>
      </w:r>
      <w:r>
        <w:t xml:space="preserve">. </w:t>
      </w:r>
    </w:p>
    <w:p w14:paraId="33D776D1" w14:textId="77777777" w:rsidR="00823C44" w:rsidRDefault="00823C44" w:rsidP="0034087A">
      <w:pPr>
        <w:pStyle w:val="ListParagraph"/>
      </w:pPr>
    </w:p>
    <w:p w14:paraId="6C8B027F" w14:textId="0D0BF65D" w:rsidR="00D64AC7" w:rsidRPr="00CB58F6" w:rsidRDefault="00DB353A" w:rsidP="0070544E">
      <w:pPr>
        <w:pStyle w:val="Heading2"/>
      </w:pPr>
      <w:bookmarkStart w:id="30" w:name="_Toc470706540"/>
      <w:bookmarkStart w:id="31" w:name="_Toc487002341"/>
      <w:r w:rsidRPr="00CB58F6">
        <w:t>ANTIDEGRADATION ANALYSIS</w:t>
      </w:r>
      <w:bookmarkEnd w:id="30"/>
      <w:bookmarkEnd w:id="31"/>
    </w:p>
    <w:p w14:paraId="5A39E41D" w14:textId="77777777" w:rsidR="0070544E" w:rsidRDefault="0070544E" w:rsidP="0070544E">
      <w:pPr>
        <w:pStyle w:val="ListParagraph"/>
        <w:ind w:left="360"/>
        <w:contextualSpacing w:val="0"/>
        <w:rPr>
          <w:szCs w:val="24"/>
        </w:rPr>
      </w:pPr>
    </w:p>
    <w:p w14:paraId="2BEBB501" w14:textId="1874F724" w:rsidR="00D64AC7" w:rsidRPr="00F03354" w:rsidRDefault="00D64AC7" w:rsidP="00063478">
      <w:pPr>
        <w:pStyle w:val="ListParagraph"/>
        <w:numPr>
          <w:ilvl w:val="0"/>
          <w:numId w:val="8"/>
        </w:numPr>
        <w:spacing w:after="120"/>
        <w:contextualSpacing w:val="0"/>
        <w:rPr>
          <w:szCs w:val="24"/>
        </w:rPr>
      </w:pPr>
      <w:r w:rsidRPr="00F03354">
        <w:rPr>
          <w:szCs w:val="24"/>
        </w:rPr>
        <w:t xml:space="preserve">The State </w:t>
      </w:r>
      <w:r>
        <w:rPr>
          <w:szCs w:val="24"/>
        </w:rPr>
        <w:t>Water Board</w:t>
      </w:r>
      <w:r w:rsidRPr="00F03354">
        <w:rPr>
          <w:szCs w:val="24"/>
        </w:rPr>
        <w:t xml:space="preserve"> adopted Resolution No. 68-16, Statement of Policy with Respect to Maintaining High Quality of Waters in California, which requires that the authorization to discharge waste maintain high quality waters of the State unless it has been demonstrated that:</w:t>
      </w:r>
    </w:p>
    <w:p w14:paraId="0C8BAC60" w14:textId="77777777" w:rsidR="00D64AC7" w:rsidRPr="00CB58F6" w:rsidRDefault="00D64AC7" w:rsidP="000562A5">
      <w:pPr>
        <w:pStyle w:val="ListParagraph"/>
        <w:numPr>
          <w:ilvl w:val="1"/>
          <w:numId w:val="3"/>
        </w:numPr>
        <w:tabs>
          <w:tab w:val="left" w:pos="1920"/>
          <w:tab w:val="left" w:pos="5040"/>
        </w:tabs>
        <w:overflowPunct w:val="0"/>
        <w:autoSpaceDE w:val="0"/>
        <w:autoSpaceDN w:val="0"/>
        <w:adjustRightInd w:val="0"/>
        <w:spacing w:after="120"/>
        <w:contextualSpacing w:val="0"/>
        <w:textAlignment w:val="baseline"/>
        <w:rPr>
          <w:szCs w:val="24"/>
        </w:rPr>
      </w:pPr>
      <w:r w:rsidRPr="00CB58F6">
        <w:rPr>
          <w:szCs w:val="24"/>
        </w:rPr>
        <w:t>The degradation will not result in water quality less than that prescribed in state and regional policies, including violation of one or more water quality objectives;</w:t>
      </w:r>
    </w:p>
    <w:p w14:paraId="65609D83" w14:textId="77777777" w:rsidR="00D64AC7" w:rsidRPr="00CB58F6" w:rsidRDefault="00D64AC7" w:rsidP="000562A5">
      <w:pPr>
        <w:pStyle w:val="ListParagraph"/>
        <w:numPr>
          <w:ilvl w:val="1"/>
          <w:numId w:val="3"/>
        </w:numPr>
        <w:tabs>
          <w:tab w:val="left" w:pos="1920"/>
          <w:tab w:val="left" w:pos="5040"/>
        </w:tabs>
        <w:overflowPunct w:val="0"/>
        <w:autoSpaceDE w:val="0"/>
        <w:autoSpaceDN w:val="0"/>
        <w:adjustRightInd w:val="0"/>
        <w:spacing w:after="120"/>
        <w:contextualSpacing w:val="0"/>
        <w:textAlignment w:val="baseline"/>
        <w:rPr>
          <w:szCs w:val="24"/>
        </w:rPr>
      </w:pPr>
      <w:r w:rsidRPr="00CB58F6">
        <w:rPr>
          <w:szCs w:val="24"/>
        </w:rPr>
        <w:t>The degradation will not unreasonably affect present and anticipated future beneficial uses;</w:t>
      </w:r>
    </w:p>
    <w:p w14:paraId="4687A519" w14:textId="77777777" w:rsidR="00D64AC7" w:rsidRPr="00CB58F6" w:rsidRDefault="00D64AC7" w:rsidP="000562A5">
      <w:pPr>
        <w:pStyle w:val="ListParagraph"/>
        <w:numPr>
          <w:ilvl w:val="1"/>
          <w:numId w:val="3"/>
        </w:numPr>
        <w:tabs>
          <w:tab w:val="left" w:pos="1920"/>
          <w:tab w:val="left" w:pos="5040"/>
        </w:tabs>
        <w:overflowPunct w:val="0"/>
        <w:autoSpaceDE w:val="0"/>
        <w:autoSpaceDN w:val="0"/>
        <w:adjustRightInd w:val="0"/>
        <w:spacing w:after="120"/>
        <w:contextualSpacing w:val="0"/>
        <w:textAlignment w:val="baseline"/>
        <w:rPr>
          <w:szCs w:val="24"/>
        </w:rPr>
      </w:pPr>
      <w:r w:rsidRPr="00CB58F6">
        <w:rPr>
          <w:szCs w:val="24"/>
        </w:rPr>
        <w:t>The discharger will employ Best Practicable Treatment or Control (BPTC) to minimize degradation; and</w:t>
      </w:r>
    </w:p>
    <w:p w14:paraId="5CD5893F" w14:textId="77777777" w:rsidR="00D64AC7" w:rsidRPr="00CB58F6" w:rsidRDefault="00D64AC7" w:rsidP="000562A5">
      <w:pPr>
        <w:pStyle w:val="ListParagraph"/>
        <w:numPr>
          <w:ilvl w:val="1"/>
          <w:numId w:val="3"/>
        </w:numPr>
        <w:tabs>
          <w:tab w:val="left" w:pos="1920"/>
          <w:tab w:val="left" w:pos="5040"/>
        </w:tabs>
        <w:overflowPunct w:val="0"/>
        <w:autoSpaceDE w:val="0"/>
        <w:autoSpaceDN w:val="0"/>
        <w:adjustRightInd w:val="0"/>
        <w:spacing w:after="240"/>
        <w:textAlignment w:val="baseline"/>
        <w:rPr>
          <w:szCs w:val="24"/>
        </w:rPr>
      </w:pPr>
      <w:r w:rsidRPr="00CB58F6">
        <w:rPr>
          <w:szCs w:val="24"/>
        </w:rPr>
        <w:t>The degradation is consistent with the maximum benefit to the people of the State.</w:t>
      </w:r>
      <w:r w:rsidRPr="00CB58F6">
        <w:rPr>
          <w:szCs w:val="24"/>
        </w:rPr>
        <w:br/>
      </w:r>
    </w:p>
    <w:p w14:paraId="06FF1593" w14:textId="4F8BD24B" w:rsidR="00D64AC7" w:rsidRPr="00586CF6" w:rsidRDefault="00D64AC7" w:rsidP="00063478">
      <w:pPr>
        <w:pStyle w:val="ListParagraph"/>
        <w:numPr>
          <w:ilvl w:val="0"/>
          <w:numId w:val="8"/>
        </w:numPr>
        <w:spacing w:after="240"/>
        <w:rPr>
          <w:szCs w:val="24"/>
        </w:rPr>
      </w:pPr>
      <w:r>
        <w:rPr>
          <w:szCs w:val="24"/>
        </w:rPr>
        <w:t xml:space="preserve">The Regional Water Board has determined, based upon an </w:t>
      </w:r>
      <w:r w:rsidRPr="00586CF6">
        <w:rPr>
          <w:szCs w:val="24"/>
        </w:rPr>
        <w:t>assessment of available pertinent information and</w:t>
      </w:r>
      <w:r>
        <w:rPr>
          <w:szCs w:val="24"/>
        </w:rPr>
        <w:t xml:space="preserve"> best professional judgment,</w:t>
      </w:r>
      <w:r w:rsidRPr="00586CF6">
        <w:rPr>
          <w:szCs w:val="24"/>
        </w:rPr>
        <w:t xml:space="preserve"> that the discharges resulting from the implementation of this Order will not be adverse to the intent and purpose of the State and federal </w:t>
      </w:r>
      <w:proofErr w:type="spellStart"/>
      <w:r w:rsidRPr="00586CF6">
        <w:rPr>
          <w:szCs w:val="24"/>
        </w:rPr>
        <w:t>antidegradation</w:t>
      </w:r>
      <w:proofErr w:type="spellEnd"/>
      <w:r w:rsidRPr="00586CF6">
        <w:rPr>
          <w:szCs w:val="24"/>
        </w:rPr>
        <w:t xml:space="preserve"> policies. The authorized discharge to land will not unreasonably affect present and anticipated beneficial uses of groundwater. The Regional </w:t>
      </w:r>
      <w:r w:rsidR="005260C0">
        <w:rPr>
          <w:szCs w:val="24"/>
        </w:rPr>
        <w:t>Water</w:t>
      </w:r>
      <w:r w:rsidRPr="00586CF6">
        <w:rPr>
          <w:szCs w:val="24"/>
        </w:rPr>
        <w:t xml:space="preserve"> Board has considered </w:t>
      </w:r>
      <w:proofErr w:type="spellStart"/>
      <w:r w:rsidRPr="00586CF6">
        <w:rPr>
          <w:szCs w:val="24"/>
        </w:rPr>
        <w:t>antidegradation</w:t>
      </w:r>
      <w:proofErr w:type="spellEnd"/>
      <w:r w:rsidRPr="00586CF6">
        <w:rPr>
          <w:szCs w:val="24"/>
        </w:rPr>
        <w:t xml:space="preserve"> pursuant to Title 40 Code of Federal Regulations section 131.12 and State Board Resolution No. 68-16 and finds that the permitted discharges are consistent with those provisions. </w:t>
      </w:r>
    </w:p>
    <w:p w14:paraId="02EB5A29" w14:textId="77777777" w:rsidR="00D64AC7" w:rsidRDefault="00D64AC7" w:rsidP="00D64AC7">
      <w:pPr>
        <w:pStyle w:val="ListParagraph"/>
        <w:spacing w:after="120"/>
        <w:ind w:left="360"/>
        <w:rPr>
          <w:szCs w:val="24"/>
        </w:rPr>
      </w:pPr>
    </w:p>
    <w:p w14:paraId="19EE7B63" w14:textId="77777777" w:rsidR="00D64AC7" w:rsidRDefault="00D64AC7" w:rsidP="00063478">
      <w:pPr>
        <w:pStyle w:val="ListParagraph"/>
        <w:numPr>
          <w:ilvl w:val="0"/>
          <w:numId w:val="8"/>
        </w:numPr>
        <w:spacing w:after="120"/>
        <w:rPr>
          <w:szCs w:val="24"/>
        </w:rPr>
      </w:pPr>
      <w:r w:rsidRPr="00EC631E">
        <w:rPr>
          <w:szCs w:val="24"/>
        </w:rPr>
        <w:t xml:space="preserve">The adoption and implementation of the Order addresses key constituents of concern in winery discharges, and provides prohibitions, effluent limitations, specifications, and provisions to minimize groundwater quality degradation and protect beneficial uses of waters of the State. </w:t>
      </w:r>
    </w:p>
    <w:p w14:paraId="6D004A0C" w14:textId="77777777" w:rsidR="00D64AC7" w:rsidRDefault="00D64AC7" w:rsidP="00D64AC7">
      <w:pPr>
        <w:pStyle w:val="ListParagraph"/>
        <w:spacing w:after="120"/>
        <w:ind w:left="360"/>
        <w:rPr>
          <w:szCs w:val="24"/>
        </w:rPr>
      </w:pPr>
    </w:p>
    <w:p w14:paraId="3F25B156" w14:textId="2EE258E3" w:rsidR="00D64AC7" w:rsidRDefault="00D64AC7" w:rsidP="00774B49">
      <w:pPr>
        <w:pStyle w:val="ListParagraph"/>
        <w:numPr>
          <w:ilvl w:val="0"/>
          <w:numId w:val="8"/>
        </w:numPr>
        <w:contextualSpacing w:val="0"/>
        <w:rPr>
          <w:szCs w:val="24"/>
        </w:rPr>
      </w:pPr>
      <w:r w:rsidRPr="0059466F">
        <w:rPr>
          <w:szCs w:val="24"/>
        </w:rPr>
        <w:t xml:space="preserve">This Order is consistent with the </w:t>
      </w:r>
      <w:proofErr w:type="spellStart"/>
      <w:r w:rsidRPr="0059466F">
        <w:rPr>
          <w:szCs w:val="24"/>
        </w:rPr>
        <w:t>Antidegradation</w:t>
      </w:r>
      <w:proofErr w:type="spellEnd"/>
      <w:r w:rsidRPr="0059466F">
        <w:rPr>
          <w:szCs w:val="24"/>
        </w:rPr>
        <w:t xml:space="preserve"> Policy because it includes specific requirements and conditions of discharge to</w:t>
      </w:r>
      <w:r>
        <w:rPr>
          <w:szCs w:val="24"/>
        </w:rPr>
        <w:t xml:space="preserve"> maintain and protect existing water quality and/or the level of water quality necessary to protect existing and potential beneficial uses.</w:t>
      </w:r>
      <w:r w:rsidRPr="0059466F">
        <w:rPr>
          <w:szCs w:val="24"/>
        </w:rPr>
        <w:t xml:space="preserve"> Information obtained as a result of the Monitoring and Reporting Program </w:t>
      </w:r>
      <w:r>
        <w:rPr>
          <w:szCs w:val="24"/>
        </w:rPr>
        <w:t xml:space="preserve">will demonstrate compliance with the Order, </w:t>
      </w:r>
      <w:proofErr w:type="spellStart"/>
      <w:r>
        <w:rPr>
          <w:szCs w:val="24"/>
        </w:rPr>
        <w:t>Antidegradation</w:t>
      </w:r>
      <w:proofErr w:type="spellEnd"/>
      <w:r>
        <w:rPr>
          <w:szCs w:val="24"/>
        </w:rPr>
        <w:t xml:space="preserve"> Policy, and that degradation is not occurring</w:t>
      </w:r>
      <w:r w:rsidRPr="0059466F">
        <w:rPr>
          <w:szCs w:val="24"/>
        </w:rPr>
        <w:t>.</w:t>
      </w:r>
    </w:p>
    <w:p w14:paraId="77C7B767" w14:textId="77777777" w:rsidR="00280F59" w:rsidRPr="00280F59" w:rsidRDefault="00280F59" w:rsidP="002402B5">
      <w:pPr>
        <w:pStyle w:val="ListParagraph"/>
        <w:contextualSpacing w:val="0"/>
        <w:rPr>
          <w:szCs w:val="24"/>
        </w:rPr>
      </w:pPr>
    </w:p>
    <w:p w14:paraId="3C78C55F" w14:textId="4BEF670C" w:rsidR="00280F59" w:rsidRPr="006B0AB1" w:rsidRDefault="006B0AB1" w:rsidP="00774B49">
      <w:pPr>
        <w:pStyle w:val="OrderItem"/>
        <w:numPr>
          <w:ilvl w:val="0"/>
          <w:numId w:val="8"/>
        </w:numPr>
        <w:spacing w:after="0"/>
      </w:pPr>
      <w:r>
        <w:rPr>
          <w:b/>
        </w:rPr>
        <w:t>Groundwater p</w:t>
      </w:r>
      <w:r w:rsidR="00280F59" w:rsidRPr="00D72702">
        <w:rPr>
          <w:b/>
        </w:rPr>
        <w:t xml:space="preserve">rotection. </w:t>
      </w:r>
      <w:r w:rsidR="00280F59" w:rsidRPr="0003370C">
        <w:t xml:space="preserve">This Order regulates winery wastewater discharges to </w:t>
      </w:r>
      <w:r w:rsidR="00280F59">
        <w:t>land that may affect</w:t>
      </w:r>
      <w:r w:rsidR="00280F59" w:rsidRPr="0003370C">
        <w:t xml:space="preserve"> groundwater, and is protecti</w:t>
      </w:r>
      <w:r w:rsidR="00280F59">
        <w:t>ve of groundwater beneficial uses, including as a source of drinking water</w:t>
      </w:r>
      <w:r w:rsidR="00280F59" w:rsidRPr="0003370C">
        <w:t xml:space="preserve">. This Order allows the Regional Water Board to effectively </w:t>
      </w:r>
      <w:r w:rsidR="00280F59">
        <w:t xml:space="preserve">address </w:t>
      </w:r>
      <w:r w:rsidR="00280F59" w:rsidRPr="0003370C">
        <w:t xml:space="preserve">the localized and potentially cumulative impacts of winery discharges on groundwater resources. </w:t>
      </w:r>
    </w:p>
    <w:p w14:paraId="2410F734" w14:textId="77777777" w:rsidR="00D64AC7" w:rsidRPr="004B1C61" w:rsidRDefault="00D64AC7" w:rsidP="00D64AC7">
      <w:pPr>
        <w:pStyle w:val="ListParagraph"/>
        <w:rPr>
          <w:szCs w:val="24"/>
        </w:rPr>
      </w:pPr>
    </w:p>
    <w:p w14:paraId="51F17DD3" w14:textId="6D22C994" w:rsidR="00D64AC7" w:rsidRDefault="00CB1863" w:rsidP="0070544E">
      <w:pPr>
        <w:pStyle w:val="Heading2"/>
        <w:rPr>
          <w:snapToGrid/>
        </w:rPr>
      </w:pPr>
      <w:bookmarkStart w:id="32" w:name="_Toc487002342"/>
      <w:r>
        <w:rPr>
          <w:snapToGrid/>
        </w:rPr>
        <w:t>FACT SHEET</w:t>
      </w:r>
      <w:bookmarkEnd w:id="32"/>
    </w:p>
    <w:p w14:paraId="022BC7AB" w14:textId="77777777" w:rsidR="0070544E" w:rsidRDefault="0070544E" w:rsidP="0070544E">
      <w:pPr>
        <w:pStyle w:val="ListParagraph"/>
        <w:ind w:left="360"/>
      </w:pPr>
    </w:p>
    <w:p w14:paraId="2F49BDEB" w14:textId="16B3936F" w:rsidR="00CB1863" w:rsidRDefault="00CB1863" w:rsidP="00063478">
      <w:pPr>
        <w:pStyle w:val="ListParagraph"/>
        <w:numPr>
          <w:ilvl w:val="0"/>
          <w:numId w:val="19"/>
        </w:numPr>
      </w:pPr>
      <w:r>
        <w:t xml:space="preserve">The Fact Sheet for this Order is </w:t>
      </w:r>
      <w:r w:rsidR="005260C0">
        <w:t xml:space="preserve">hereby </w:t>
      </w:r>
      <w:r>
        <w:t>incorporated as findings of this Order.</w:t>
      </w:r>
    </w:p>
    <w:p w14:paraId="188C2725" w14:textId="7796A396" w:rsidR="00063478" w:rsidRPr="006008DB" w:rsidRDefault="00313572" w:rsidP="00DE3651">
      <w:pPr>
        <w:ind w:left="0"/>
      </w:pPr>
      <w:r w:rsidRPr="0003370C">
        <w:t xml:space="preserve"> </w:t>
      </w:r>
    </w:p>
    <w:p w14:paraId="53C681BE" w14:textId="77777777" w:rsidR="00063478" w:rsidRDefault="00063478" w:rsidP="00063478">
      <w:pPr>
        <w:ind w:left="0"/>
      </w:pPr>
      <w:r w:rsidRPr="005A3CE8">
        <w:t>IT IS HEREBY ORDERED</w:t>
      </w:r>
      <w:r w:rsidRPr="006008DB">
        <w:t xml:space="preserve"> that in order to meet the provisions contained in Division 7 of the Water Code and regulations adopted thereunder, Dischargers shall comply with the following:</w:t>
      </w:r>
    </w:p>
    <w:p w14:paraId="016C44EC" w14:textId="77777777" w:rsidR="00063478" w:rsidRPr="006008DB" w:rsidRDefault="00063478" w:rsidP="00063478"/>
    <w:p w14:paraId="319CBE9E" w14:textId="6080AE68" w:rsidR="00063478" w:rsidRDefault="00063478" w:rsidP="00CF654D">
      <w:pPr>
        <w:pStyle w:val="Heading1"/>
      </w:pPr>
      <w:bookmarkStart w:id="33" w:name="_Toc470706596"/>
      <w:bookmarkStart w:id="34" w:name="_Toc487002343"/>
      <w:r w:rsidRPr="00227856">
        <w:t>ORDER APPLICATION REQUIREMENTS</w:t>
      </w:r>
      <w:bookmarkEnd w:id="33"/>
      <w:bookmarkEnd w:id="34"/>
    </w:p>
    <w:p w14:paraId="43AFB162" w14:textId="77777777" w:rsidR="00D23F6C" w:rsidRPr="00D23F6C" w:rsidRDefault="00D23F6C" w:rsidP="00D23F6C">
      <w:pPr>
        <w:pStyle w:val="SectionHeading"/>
        <w:numPr>
          <w:ilvl w:val="0"/>
          <w:numId w:val="0"/>
        </w:numPr>
        <w:ind w:left="360"/>
      </w:pPr>
    </w:p>
    <w:p w14:paraId="654985AB" w14:textId="0A3AB413" w:rsidR="00063478" w:rsidRPr="00227856" w:rsidRDefault="006B0AB1" w:rsidP="00362D97">
      <w:pPr>
        <w:pStyle w:val="ListParagraph"/>
        <w:numPr>
          <w:ilvl w:val="0"/>
          <w:numId w:val="32"/>
        </w:numPr>
        <w:spacing w:after="120"/>
        <w:ind w:left="360"/>
        <w:contextualSpacing w:val="0"/>
        <w:rPr>
          <w:b/>
          <w:szCs w:val="24"/>
        </w:rPr>
      </w:pPr>
      <w:bookmarkStart w:id="35" w:name="_Toc448403905"/>
      <w:bookmarkStart w:id="36" w:name="_Toc470706598"/>
      <w:r>
        <w:rPr>
          <w:b/>
          <w:szCs w:val="24"/>
        </w:rPr>
        <w:t>Obtaining c</w:t>
      </w:r>
      <w:r w:rsidR="00063478" w:rsidRPr="00227856">
        <w:rPr>
          <w:b/>
          <w:szCs w:val="24"/>
        </w:rPr>
        <w:t xml:space="preserve">overage under </w:t>
      </w:r>
      <w:r>
        <w:rPr>
          <w:b/>
          <w:szCs w:val="24"/>
        </w:rPr>
        <w:t>this</w:t>
      </w:r>
      <w:r w:rsidR="00063478" w:rsidRPr="00227856">
        <w:rPr>
          <w:b/>
          <w:szCs w:val="24"/>
        </w:rPr>
        <w:t xml:space="preserve"> Order.</w:t>
      </w:r>
      <w:r w:rsidR="00063478">
        <w:rPr>
          <w:b/>
          <w:szCs w:val="24"/>
        </w:rPr>
        <w:t xml:space="preserve"> </w:t>
      </w:r>
      <w:r w:rsidR="00063478" w:rsidRPr="00227856">
        <w:rPr>
          <w:szCs w:val="24"/>
        </w:rPr>
        <w:t>To apply for coverage under this Order, the Discharger shall submit the</w:t>
      </w:r>
      <w:r w:rsidR="004151FA">
        <w:rPr>
          <w:szCs w:val="24"/>
        </w:rPr>
        <w:t xml:space="preserve"> following documents as the Notice of Intent Package</w:t>
      </w:r>
      <w:r w:rsidR="00063478" w:rsidRPr="00227856">
        <w:rPr>
          <w:szCs w:val="24"/>
        </w:rPr>
        <w:t>:</w:t>
      </w:r>
    </w:p>
    <w:p w14:paraId="5099E765" w14:textId="77777777" w:rsidR="00063478" w:rsidRPr="00227856" w:rsidRDefault="00063478" w:rsidP="00362D97">
      <w:pPr>
        <w:pStyle w:val="ListParagraph"/>
        <w:numPr>
          <w:ilvl w:val="0"/>
          <w:numId w:val="33"/>
        </w:numPr>
        <w:spacing w:after="120"/>
        <w:contextualSpacing w:val="0"/>
        <w:rPr>
          <w:szCs w:val="24"/>
        </w:rPr>
      </w:pPr>
      <w:r w:rsidRPr="00227856">
        <w:rPr>
          <w:szCs w:val="24"/>
        </w:rPr>
        <w:t>Location Map</w:t>
      </w:r>
    </w:p>
    <w:p w14:paraId="3B4EEFFF" w14:textId="58E0A05C" w:rsidR="00063478" w:rsidRPr="00227856" w:rsidRDefault="00063478" w:rsidP="00362D97">
      <w:pPr>
        <w:pStyle w:val="ListParagraph"/>
        <w:numPr>
          <w:ilvl w:val="0"/>
          <w:numId w:val="33"/>
        </w:numPr>
        <w:spacing w:after="120"/>
        <w:contextualSpacing w:val="0"/>
        <w:rPr>
          <w:szCs w:val="24"/>
        </w:rPr>
      </w:pPr>
      <w:r w:rsidRPr="00227856">
        <w:rPr>
          <w:szCs w:val="24"/>
        </w:rPr>
        <w:t xml:space="preserve">Facility Site Plan </w:t>
      </w:r>
      <w:r w:rsidR="00FE01F0">
        <w:rPr>
          <w:szCs w:val="24"/>
        </w:rPr>
        <w:t>or Map</w:t>
      </w:r>
    </w:p>
    <w:p w14:paraId="6256EF4F" w14:textId="77777777" w:rsidR="00FE01F0" w:rsidRPr="00FE01F0" w:rsidRDefault="00FE01F0" w:rsidP="00362D97">
      <w:pPr>
        <w:pStyle w:val="ListParagraph"/>
        <w:numPr>
          <w:ilvl w:val="0"/>
          <w:numId w:val="33"/>
        </w:numPr>
        <w:spacing w:after="120"/>
        <w:contextualSpacing w:val="0"/>
        <w:rPr>
          <w:szCs w:val="24"/>
        </w:rPr>
      </w:pPr>
      <w:r w:rsidRPr="00FE01F0">
        <w:rPr>
          <w:szCs w:val="24"/>
        </w:rPr>
        <w:t>Wastewater Flow and Treatment Diagram</w:t>
      </w:r>
    </w:p>
    <w:p w14:paraId="4D61682B" w14:textId="77777777" w:rsidR="00063478" w:rsidRPr="00227856" w:rsidRDefault="00063478" w:rsidP="00362D97">
      <w:pPr>
        <w:pStyle w:val="ListParagraph"/>
        <w:numPr>
          <w:ilvl w:val="0"/>
          <w:numId w:val="33"/>
        </w:numPr>
        <w:spacing w:after="120"/>
        <w:contextualSpacing w:val="0"/>
        <w:rPr>
          <w:szCs w:val="24"/>
        </w:rPr>
      </w:pPr>
      <w:r w:rsidRPr="00227856">
        <w:rPr>
          <w:szCs w:val="24"/>
        </w:rPr>
        <w:t>Notice of Intent (NOI) form</w:t>
      </w:r>
    </w:p>
    <w:p w14:paraId="6BCA5E33" w14:textId="473CA7DE" w:rsidR="00F4630E" w:rsidRDefault="004151FA" w:rsidP="00362D97">
      <w:pPr>
        <w:pStyle w:val="ListParagraph"/>
        <w:numPr>
          <w:ilvl w:val="0"/>
          <w:numId w:val="33"/>
        </w:numPr>
        <w:spacing w:after="120"/>
        <w:contextualSpacing w:val="0"/>
        <w:rPr>
          <w:szCs w:val="24"/>
        </w:rPr>
      </w:pPr>
      <w:r>
        <w:rPr>
          <w:szCs w:val="24"/>
        </w:rPr>
        <w:t xml:space="preserve">Notice of Intent </w:t>
      </w:r>
      <w:r w:rsidR="00F4630E">
        <w:rPr>
          <w:szCs w:val="24"/>
        </w:rPr>
        <w:t>Technical</w:t>
      </w:r>
      <w:r w:rsidR="00F4630E" w:rsidRPr="00227856">
        <w:rPr>
          <w:szCs w:val="24"/>
        </w:rPr>
        <w:t xml:space="preserve"> </w:t>
      </w:r>
      <w:r w:rsidR="00063478" w:rsidRPr="00227856">
        <w:rPr>
          <w:szCs w:val="24"/>
        </w:rPr>
        <w:t>Report, which substantiates the information provided in the NOI form</w:t>
      </w:r>
      <w:r w:rsidR="00F4630E">
        <w:rPr>
          <w:szCs w:val="24"/>
        </w:rPr>
        <w:t xml:space="preserve"> and shall include the following:</w:t>
      </w:r>
    </w:p>
    <w:p w14:paraId="6EB9FC6F" w14:textId="5090A626" w:rsidR="00F4630E" w:rsidRPr="00F4630E" w:rsidRDefault="00F4630E" w:rsidP="00362D97">
      <w:pPr>
        <w:pStyle w:val="ListParagraph"/>
        <w:numPr>
          <w:ilvl w:val="0"/>
          <w:numId w:val="44"/>
        </w:numPr>
        <w:spacing w:after="120"/>
        <w:ind w:left="1080"/>
        <w:contextualSpacing w:val="0"/>
        <w:rPr>
          <w:szCs w:val="24"/>
        </w:rPr>
      </w:pPr>
      <w:r w:rsidRPr="00F4630E">
        <w:rPr>
          <w:szCs w:val="24"/>
        </w:rPr>
        <w:t xml:space="preserve">Wastewater Management Plan, the development of which is </w:t>
      </w:r>
      <w:r w:rsidR="001D4635">
        <w:rPr>
          <w:szCs w:val="24"/>
        </w:rPr>
        <w:t>supported</w:t>
      </w:r>
      <w:r w:rsidR="00FE01F0">
        <w:rPr>
          <w:szCs w:val="24"/>
        </w:rPr>
        <w:t xml:space="preserve"> by the following</w:t>
      </w:r>
      <w:r w:rsidRPr="00F4630E">
        <w:rPr>
          <w:szCs w:val="24"/>
        </w:rPr>
        <w:t xml:space="preserve"> components:</w:t>
      </w:r>
    </w:p>
    <w:p w14:paraId="027E6B57" w14:textId="77777777" w:rsidR="00F4630E" w:rsidRDefault="00F4630E" w:rsidP="00362D97">
      <w:pPr>
        <w:pStyle w:val="ListParagraph"/>
        <w:numPr>
          <w:ilvl w:val="0"/>
          <w:numId w:val="45"/>
        </w:numPr>
        <w:spacing w:after="120"/>
        <w:ind w:hanging="180"/>
        <w:contextualSpacing w:val="0"/>
        <w:rPr>
          <w:szCs w:val="24"/>
        </w:rPr>
      </w:pPr>
      <w:r w:rsidRPr="00F4630E">
        <w:rPr>
          <w:szCs w:val="24"/>
        </w:rPr>
        <w:t xml:space="preserve">Hydraulic Loading Rate Calculations </w:t>
      </w:r>
    </w:p>
    <w:p w14:paraId="193859F1" w14:textId="42383CB9" w:rsidR="00F4630E" w:rsidRPr="00AC563F" w:rsidRDefault="00F4630E" w:rsidP="00362D97">
      <w:pPr>
        <w:pStyle w:val="ListParagraph"/>
        <w:numPr>
          <w:ilvl w:val="0"/>
          <w:numId w:val="45"/>
        </w:numPr>
        <w:spacing w:after="120"/>
        <w:ind w:hanging="180"/>
        <w:contextualSpacing w:val="0"/>
        <w:rPr>
          <w:szCs w:val="24"/>
        </w:rPr>
      </w:pPr>
      <w:r w:rsidRPr="005C1636">
        <w:rPr>
          <w:szCs w:val="24"/>
        </w:rPr>
        <w:t xml:space="preserve">Discharge Area Soil Assessment </w:t>
      </w:r>
    </w:p>
    <w:p w14:paraId="60C14C30" w14:textId="77777777" w:rsidR="00F4630E" w:rsidRDefault="00F4630E" w:rsidP="00362D97">
      <w:pPr>
        <w:pStyle w:val="ListParagraph"/>
        <w:numPr>
          <w:ilvl w:val="0"/>
          <w:numId w:val="44"/>
        </w:numPr>
        <w:spacing w:after="120"/>
        <w:ind w:left="1080"/>
        <w:contextualSpacing w:val="0"/>
      </w:pPr>
      <w:r w:rsidRPr="00AC563F">
        <w:t xml:space="preserve">Solids Management Plan </w:t>
      </w:r>
    </w:p>
    <w:p w14:paraId="33BDC0AB" w14:textId="77777777" w:rsidR="00F4630E" w:rsidRPr="005C1636" w:rsidRDefault="00F4630E" w:rsidP="00362D97">
      <w:pPr>
        <w:pStyle w:val="ListParagraph"/>
        <w:numPr>
          <w:ilvl w:val="0"/>
          <w:numId w:val="44"/>
        </w:numPr>
        <w:spacing w:after="120"/>
        <w:ind w:left="1080"/>
        <w:contextualSpacing w:val="0"/>
      </w:pPr>
      <w:r w:rsidRPr="005C1636">
        <w:rPr>
          <w:szCs w:val="24"/>
        </w:rPr>
        <w:t xml:space="preserve">Operation and Management Plan </w:t>
      </w:r>
    </w:p>
    <w:p w14:paraId="2CE61D6D" w14:textId="1526765E" w:rsidR="00063478" w:rsidRPr="00AC563F" w:rsidRDefault="00F4630E" w:rsidP="00362D97">
      <w:pPr>
        <w:pStyle w:val="ListParagraph"/>
        <w:numPr>
          <w:ilvl w:val="0"/>
          <w:numId w:val="44"/>
        </w:numPr>
        <w:spacing w:after="120"/>
        <w:ind w:left="1080"/>
        <w:contextualSpacing w:val="0"/>
      </w:pPr>
      <w:r w:rsidRPr="00AC563F">
        <w:rPr>
          <w:szCs w:val="24"/>
        </w:rPr>
        <w:t xml:space="preserve">Nitrogen Assessment, </w:t>
      </w:r>
      <w:r w:rsidR="0094383D" w:rsidRPr="0094383D">
        <w:rPr>
          <w:szCs w:val="24"/>
        </w:rPr>
        <w:t>only submitted with the NOI Technical Report for dischargers within a discharge area overlaying nitrate impacted groundwater area plume</w:t>
      </w:r>
    </w:p>
    <w:p w14:paraId="1303B657" w14:textId="13B3A8AB" w:rsidR="00063478" w:rsidRDefault="00063478" w:rsidP="00362D97">
      <w:pPr>
        <w:pStyle w:val="ListParagraph"/>
        <w:numPr>
          <w:ilvl w:val="0"/>
          <w:numId w:val="33"/>
        </w:numPr>
        <w:spacing w:after="120"/>
        <w:contextualSpacing w:val="0"/>
        <w:rPr>
          <w:szCs w:val="24"/>
        </w:rPr>
      </w:pPr>
      <w:r w:rsidRPr="00227856">
        <w:rPr>
          <w:szCs w:val="24"/>
        </w:rPr>
        <w:t>Application Fee, which serves as the first annual fee</w:t>
      </w:r>
    </w:p>
    <w:p w14:paraId="6E5A6BAB" w14:textId="1CC8D35D" w:rsidR="00FE01F0" w:rsidRPr="00FE01F0" w:rsidRDefault="00FE01F0" w:rsidP="00362D97">
      <w:pPr>
        <w:pStyle w:val="ListParagraph"/>
        <w:numPr>
          <w:ilvl w:val="0"/>
          <w:numId w:val="33"/>
        </w:numPr>
        <w:spacing w:after="120"/>
        <w:contextualSpacing w:val="0"/>
        <w:rPr>
          <w:szCs w:val="24"/>
        </w:rPr>
      </w:pPr>
      <w:r w:rsidRPr="00227856">
        <w:rPr>
          <w:szCs w:val="24"/>
        </w:rPr>
        <w:t>CEQA</w:t>
      </w:r>
      <w:r>
        <w:rPr>
          <w:szCs w:val="24"/>
        </w:rPr>
        <w:t xml:space="preserve"> Compliance for Tiers 2 and 3</w:t>
      </w:r>
    </w:p>
    <w:p w14:paraId="1C2F74D0" w14:textId="5B28BF51" w:rsidR="00F4630E" w:rsidRDefault="005C1636" w:rsidP="00FE01F0">
      <w:pPr>
        <w:ind w:left="360"/>
        <w:contextualSpacing/>
        <w:rPr>
          <w:rFonts w:eastAsia="Times New Roman"/>
        </w:rPr>
      </w:pPr>
      <w:r w:rsidRPr="005C1636">
        <w:rPr>
          <w:rFonts w:eastAsia="Times New Roman"/>
          <w:b/>
        </w:rPr>
        <w:t xml:space="preserve">Attachment C </w:t>
      </w:r>
      <w:r w:rsidR="00F4630E">
        <w:rPr>
          <w:rFonts w:eastAsia="Times New Roman"/>
        </w:rPr>
        <w:t>contains information on the assessments and pla</w:t>
      </w:r>
      <w:r w:rsidR="00FE01F0">
        <w:rPr>
          <w:rFonts w:eastAsia="Times New Roman"/>
        </w:rPr>
        <w:t>ns that constitute the</w:t>
      </w:r>
      <w:r w:rsidR="004151FA">
        <w:rPr>
          <w:rFonts w:eastAsia="Times New Roman"/>
        </w:rPr>
        <w:t xml:space="preserve"> </w:t>
      </w:r>
      <w:r w:rsidR="004151FA" w:rsidRPr="004151FA">
        <w:t>Notice of Intent Package</w:t>
      </w:r>
      <w:r w:rsidR="00FE01F0">
        <w:rPr>
          <w:rFonts w:eastAsia="Times New Roman"/>
        </w:rPr>
        <w:t>.</w:t>
      </w:r>
    </w:p>
    <w:p w14:paraId="7C612AB4" w14:textId="77777777" w:rsidR="00F4630E" w:rsidRPr="00227856" w:rsidRDefault="00F4630E" w:rsidP="00063478">
      <w:pPr>
        <w:contextualSpacing/>
        <w:rPr>
          <w:rFonts w:eastAsia="Times New Roman"/>
        </w:rPr>
      </w:pPr>
    </w:p>
    <w:p w14:paraId="3EC777E0" w14:textId="75FB93EE" w:rsidR="00063478" w:rsidRPr="00227856" w:rsidRDefault="006B0AB1" w:rsidP="00362D97">
      <w:pPr>
        <w:pStyle w:val="ListParagraph"/>
        <w:numPr>
          <w:ilvl w:val="0"/>
          <w:numId w:val="32"/>
        </w:numPr>
        <w:spacing w:after="120"/>
        <w:ind w:left="360"/>
        <w:contextualSpacing w:val="0"/>
        <w:rPr>
          <w:b/>
          <w:szCs w:val="24"/>
        </w:rPr>
      </w:pPr>
      <w:r>
        <w:rPr>
          <w:b/>
          <w:szCs w:val="24"/>
        </w:rPr>
        <w:t xml:space="preserve">Who Must </w:t>
      </w:r>
      <w:proofErr w:type="gramStart"/>
      <w:r>
        <w:rPr>
          <w:b/>
          <w:szCs w:val="24"/>
        </w:rPr>
        <w:t>A</w:t>
      </w:r>
      <w:r w:rsidR="00063478" w:rsidRPr="00227856">
        <w:rPr>
          <w:b/>
          <w:szCs w:val="24"/>
        </w:rPr>
        <w:t>pply</w:t>
      </w:r>
      <w:bookmarkEnd w:id="35"/>
      <w:bookmarkEnd w:id="36"/>
      <w:r w:rsidR="00063478" w:rsidRPr="00227856">
        <w:rPr>
          <w:b/>
          <w:szCs w:val="24"/>
        </w:rPr>
        <w:t>.</w:t>
      </w:r>
      <w:proofErr w:type="gramEnd"/>
      <w:r w:rsidR="00063478">
        <w:rPr>
          <w:b/>
          <w:szCs w:val="24"/>
        </w:rPr>
        <w:t xml:space="preserve"> </w:t>
      </w:r>
      <w:r w:rsidR="00063478" w:rsidRPr="00227856">
        <w:rPr>
          <w:bCs/>
          <w:szCs w:val="24"/>
        </w:rPr>
        <w:t xml:space="preserve">All existing Dischargers of winery process wastewater to land, including those wineries that have previously submitted ROWDs to the Regional Water Board, located within the Regional Water Board’s boundary must obtain coverage for their discharges under this Order. The jurisdictional boundary of the San Francisco Bay Regional Water Board is depicted on the State Regional Water Board </w:t>
      </w:r>
      <w:r w:rsidR="00827F21">
        <w:rPr>
          <w:bCs/>
          <w:szCs w:val="24"/>
        </w:rPr>
        <w:t xml:space="preserve">map accessible online </w:t>
      </w:r>
      <w:r w:rsidR="00063478" w:rsidRPr="00227856">
        <w:rPr>
          <w:bCs/>
          <w:szCs w:val="24"/>
        </w:rPr>
        <w:t xml:space="preserve">at </w:t>
      </w:r>
      <w:hyperlink r:id="rId14" w:history="1">
        <w:r w:rsidR="00063478" w:rsidRPr="00227856">
          <w:rPr>
            <w:rStyle w:val="Hyperlink"/>
            <w:rFonts w:eastAsiaTheme="majorEastAsia"/>
            <w:bCs/>
            <w:szCs w:val="24"/>
          </w:rPr>
          <w:t>http://www.waterboards.ca.gov/waterboards_map.shtml</w:t>
        </w:r>
      </w:hyperlink>
      <w:r w:rsidR="00063478" w:rsidRPr="00227856">
        <w:rPr>
          <w:bCs/>
          <w:szCs w:val="24"/>
        </w:rPr>
        <w:t xml:space="preserve"> and is displayed in </w:t>
      </w:r>
      <w:r w:rsidR="00063478" w:rsidRPr="0070544E">
        <w:rPr>
          <w:b/>
          <w:bCs/>
          <w:szCs w:val="24"/>
        </w:rPr>
        <w:t>Figure 1</w:t>
      </w:r>
      <w:r w:rsidR="0070544E">
        <w:rPr>
          <w:b/>
          <w:bCs/>
          <w:szCs w:val="24"/>
        </w:rPr>
        <w:t xml:space="preserve"> </w:t>
      </w:r>
      <w:r w:rsidR="0070544E" w:rsidRPr="0070544E">
        <w:rPr>
          <w:bCs/>
          <w:szCs w:val="24"/>
        </w:rPr>
        <w:t>(</w:t>
      </w:r>
      <w:r w:rsidR="0070544E">
        <w:rPr>
          <w:b/>
          <w:bCs/>
          <w:szCs w:val="24"/>
        </w:rPr>
        <w:t>Attachment J</w:t>
      </w:r>
      <w:r w:rsidR="0070544E" w:rsidRPr="0070544E">
        <w:rPr>
          <w:bCs/>
          <w:szCs w:val="24"/>
        </w:rPr>
        <w:t>)</w:t>
      </w:r>
      <w:r w:rsidR="00063478" w:rsidRPr="00227856">
        <w:rPr>
          <w:bCs/>
          <w:szCs w:val="24"/>
        </w:rPr>
        <w:t xml:space="preserve">. The following exception applies: </w:t>
      </w:r>
    </w:p>
    <w:p w14:paraId="054E901D" w14:textId="7EC28630" w:rsidR="00063478" w:rsidRPr="00227856" w:rsidRDefault="00063478" w:rsidP="00362D97">
      <w:pPr>
        <w:pStyle w:val="ListParagraph"/>
        <w:numPr>
          <w:ilvl w:val="0"/>
          <w:numId w:val="34"/>
        </w:numPr>
        <w:ind w:left="720"/>
        <w:rPr>
          <w:szCs w:val="24"/>
        </w:rPr>
      </w:pPr>
      <w:r w:rsidRPr="00227856">
        <w:rPr>
          <w:b/>
          <w:bCs/>
          <w:szCs w:val="24"/>
        </w:rPr>
        <w:t>Winery with Individual WDRs.</w:t>
      </w:r>
      <w:r w:rsidRPr="00227856">
        <w:rPr>
          <w:szCs w:val="24"/>
        </w:rPr>
        <w:t xml:space="preserve"> A Discharger covered by individual WDRs will be considered for coverage under this Order no later than when the individual WDRs are scheduled for review or renewal. At that time, Regional Water Board staff will notify the Discharger of the existence of this Winery General Order, eligibility for cov</w:t>
      </w:r>
      <w:r w:rsidR="00FE01F0">
        <w:rPr>
          <w:szCs w:val="24"/>
        </w:rPr>
        <w:t>e</w:t>
      </w:r>
      <w:r w:rsidR="004151FA">
        <w:rPr>
          <w:szCs w:val="24"/>
        </w:rPr>
        <w:t>rage, and the need to submit a Notice of Intent Package</w:t>
      </w:r>
      <w:r w:rsidR="00FE01F0">
        <w:rPr>
          <w:szCs w:val="24"/>
        </w:rPr>
        <w:t>, if applicable</w:t>
      </w:r>
      <w:r w:rsidRPr="00227856">
        <w:rPr>
          <w:szCs w:val="24"/>
        </w:rPr>
        <w:t xml:space="preserve">.  </w:t>
      </w:r>
    </w:p>
    <w:p w14:paraId="31FB63CE" w14:textId="77777777" w:rsidR="00063478" w:rsidRPr="00227856" w:rsidRDefault="00063478" w:rsidP="00063478">
      <w:pPr>
        <w:ind w:left="0"/>
      </w:pPr>
    </w:p>
    <w:p w14:paraId="1430A351" w14:textId="1259ECD3" w:rsidR="00063478" w:rsidRDefault="00213792" w:rsidP="00362D97">
      <w:pPr>
        <w:pStyle w:val="ListParagraph"/>
        <w:numPr>
          <w:ilvl w:val="0"/>
          <w:numId w:val="32"/>
        </w:numPr>
        <w:ind w:left="360"/>
        <w:rPr>
          <w:b/>
          <w:szCs w:val="24"/>
        </w:rPr>
      </w:pPr>
      <w:bookmarkStart w:id="37" w:name="_Toc470706592"/>
      <w:r>
        <w:rPr>
          <w:b/>
          <w:szCs w:val="24"/>
        </w:rPr>
        <w:t>County</w:t>
      </w:r>
      <w:r w:rsidR="00063478" w:rsidRPr="00227856">
        <w:rPr>
          <w:b/>
          <w:szCs w:val="24"/>
        </w:rPr>
        <w:t xml:space="preserve"> Oversight – Reduced Fee. </w:t>
      </w:r>
      <w:r w:rsidR="00063478" w:rsidRPr="00227856">
        <w:rPr>
          <w:szCs w:val="24"/>
        </w:rPr>
        <w:t xml:space="preserve">Dischargers located within a </w:t>
      </w:r>
      <w:r>
        <w:rPr>
          <w:szCs w:val="24"/>
        </w:rPr>
        <w:t>County</w:t>
      </w:r>
      <w:r w:rsidR="00063478" w:rsidRPr="00227856">
        <w:rPr>
          <w:szCs w:val="24"/>
        </w:rPr>
        <w:t xml:space="preserve"> Oversight area </w:t>
      </w:r>
      <w:r w:rsidR="001D4635">
        <w:rPr>
          <w:szCs w:val="24"/>
        </w:rPr>
        <w:t xml:space="preserve">administered under Tier 3 </w:t>
      </w:r>
      <w:r w:rsidR="00063478" w:rsidRPr="00227856">
        <w:rPr>
          <w:szCs w:val="24"/>
        </w:rPr>
        <w:t>pay a reduced fee.</w:t>
      </w:r>
    </w:p>
    <w:p w14:paraId="28F606DC" w14:textId="77777777" w:rsidR="00063478" w:rsidRPr="0011785E" w:rsidRDefault="00063478" w:rsidP="00063478">
      <w:pPr>
        <w:ind w:left="0"/>
        <w:rPr>
          <w:b/>
        </w:rPr>
      </w:pPr>
    </w:p>
    <w:p w14:paraId="0171F4C0" w14:textId="58ED947A" w:rsidR="00063478" w:rsidRPr="000C3B35" w:rsidRDefault="00063478" w:rsidP="00362D97">
      <w:pPr>
        <w:pStyle w:val="ListParagraph"/>
        <w:numPr>
          <w:ilvl w:val="0"/>
          <w:numId w:val="32"/>
        </w:numPr>
        <w:spacing w:after="120"/>
        <w:ind w:left="360"/>
        <w:contextualSpacing w:val="0"/>
        <w:rPr>
          <w:b/>
          <w:szCs w:val="24"/>
        </w:rPr>
      </w:pPr>
      <w:r w:rsidRPr="0011785E">
        <w:rPr>
          <w:b/>
          <w:szCs w:val="24"/>
        </w:rPr>
        <w:t>Environmental Stewardship Recognition – Reduced Fee</w:t>
      </w:r>
      <w:bookmarkEnd w:id="37"/>
      <w:r>
        <w:rPr>
          <w:b/>
          <w:szCs w:val="24"/>
        </w:rPr>
        <w:t xml:space="preserve">. </w:t>
      </w:r>
      <w:r w:rsidR="00774B49" w:rsidRPr="00774B49">
        <w:rPr>
          <w:szCs w:val="24"/>
        </w:rPr>
        <w:t>Tier 2 and 3</w:t>
      </w:r>
      <w:r w:rsidR="00774B49">
        <w:rPr>
          <w:b/>
          <w:szCs w:val="24"/>
        </w:rPr>
        <w:t xml:space="preserve"> </w:t>
      </w:r>
      <w:r w:rsidR="00774B49">
        <w:rPr>
          <w:szCs w:val="24"/>
        </w:rPr>
        <w:t>f</w:t>
      </w:r>
      <w:r w:rsidRPr="0011785E">
        <w:rPr>
          <w:szCs w:val="24"/>
        </w:rPr>
        <w:t xml:space="preserve">acilities who meet the Environmental Stewardship Recognition Criteria, described below </w:t>
      </w:r>
      <w:r w:rsidRPr="000C3B35">
        <w:rPr>
          <w:szCs w:val="24"/>
        </w:rPr>
        <w:t>in</w:t>
      </w:r>
      <w:r w:rsidR="0070544E">
        <w:rPr>
          <w:szCs w:val="24"/>
        </w:rPr>
        <w:t xml:space="preserve"> Order </w:t>
      </w:r>
      <w:r w:rsidR="0070544E" w:rsidRPr="00774B49">
        <w:rPr>
          <w:b/>
          <w:szCs w:val="24"/>
        </w:rPr>
        <w:t>section II.D</w:t>
      </w:r>
      <w:r w:rsidR="004151FA">
        <w:rPr>
          <w:szCs w:val="24"/>
        </w:rPr>
        <w:t xml:space="preserve">, pay a reduced fee. </w:t>
      </w:r>
      <w:r w:rsidRPr="000C3B35">
        <w:rPr>
          <w:szCs w:val="24"/>
        </w:rPr>
        <w:t>To be eligible for a reduced fee in recognition of Environmental Stewardship under this Order, a facility must meet the following criteria:</w:t>
      </w:r>
    </w:p>
    <w:p w14:paraId="0BC72087" w14:textId="7F02DF4F" w:rsidR="00063478" w:rsidRPr="000C3B35" w:rsidRDefault="00063478" w:rsidP="00362D97">
      <w:pPr>
        <w:pStyle w:val="ListParagraph"/>
        <w:numPr>
          <w:ilvl w:val="0"/>
          <w:numId w:val="37"/>
        </w:numPr>
        <w:spacing w:after="120"/>
        <w:ind w:left="720"/>
        <w:contextualSpacing w:val="0"/>
        <w:rPr>
          <w:bCs/>
          <w:szCs w:val="24"/>
        </w:rPr>
      </w:pPr>
      <w:r w:rsidRPr="000C3B35">
        <w:rPr>
          <w:bCs/>
          <w:szCs w:val="24"/>
        </w:rPr>
        <w:t>Treat wastewater to meet or exceed the standards for advanced wastewater treatment set forth in Title 22 California Code of Regulations, Division 4</w:t>
      </w:r>
      <w:r w:rsidR="00450953">
        <w:rPr>
          <w:bCs/>
          <w:szCs w:val="24"/>
        </w:rPr>
        <w:t xml:space="preserve">, when domestic wastewater is combined with the winery wastewater, and per the advanced wastewater definition in </w:t>
      </w:r>
      <w:r w:rsidR="000F09DF">
        <w:rPr>
          <w:b/>
          <w:bCs/>
          <w:szCs w:val="24"/>
        </w:rPr>
        <w:t>Attachment I</w:t>
      </w:r>
      <w:r w:rsidR="000F09DF">
        <w:rPr>
          <w:bCs/>
          <w:szCs w:val="24"/>
        </w:rPr>
        <w:t>.</w:t>
      </w:r>
    </w:p>
    <w:p w14:paraId="7248567E" w14:textId="77777777" w:rsidR="000E0CF6" w:rsidRDefault="00063478" w:rsidP="00362D97">
      <w:pPr>
        <w:pStyle w:val="ListParagraph"/>
        <w:numPr>
          <w:ilvl w:val="0"/>
          <w:numId w:val="37"/>
        </w:numPr>
        <w:spacing w:after="120"/>
        <w:ind w:left="720"/>
        <w:contextualSpacing w:val="0"/>
        <w:rPr>
          <w:bCs/>
          <w:szCs w:val="24"/>
        </w:rPr>
      </w:pPr>
      <w:r w:rsidRPr="000C3B35">
        <w:rPr>
          <w:bCs/>
          <w:szCs w:val="24"/>
        </w:rPr>
        <w:t>Be certified through the Certified California Sustainable Winegrowing program</w:t>
      </w:r>
      <w:r w:rsidRPr="001D4635">
        <w:rPr>
          <w:vertAlign w:val="superscript"/>
        </w:rPr>
        <w:footnoteReference w:id="3"/>
      </w:r>
      <w:r w:rsidRPr="000C3B35">
        <w:rPr>
          <w:bCs/>
          <w:szCs w:val="24"/>
        </w:rPr>
        <w:t xml:space="preserve"> or the Sustainability in Practice Certified Sustainable Winery Certification</w:t>
      </w:r>
      <w:r w:rsidRPr="001D4635">
        <w:rPr>
          <w:vertAlign w:val="superscript"/>
        </w:rPr>
        <w:footnoteReference w:id="4"/>
      </w:r>
      <w:r w:rsidRPr="005A3CE8">
        <w:t xml:space="preserve"> </w:t>
      </w:r>
      <w:r w:rsidRPr="000C3B35">
        <w:rPr>
          <w:bCs/>
          <w:szCs w:val="24"/>
        </w:rPr>
        <w:t>program.</w:t>
      </w:r>
    </w:p>
    <w:p w14:paraId="018B22C5" w14:textId="1569BCF3" w:rsidR="00063478" w:rsidRPr="000E0CF6" w:rsidRDefault="00063478" w:rsidP="00362D97">
      <w:pPr>
        <w:pStyle w:val="ListParagraph"/>
        <w:numPr>
          <w:ilvl w:val="0"/>
          <w:numId w:val="37"/>
        </w:numPr>
        <w:spacing w:after="120"/>
        <w:ind w:left="720"/>
        <w:contextualSpacing w:val="0"/>
        <w:rPr>
          <w:rStyle w:val="Hyperlink"/>
          <w:bCs/>
          <w:color w:val="auto"/>
          <w:szCs w:val="24"/>
          <w:u w:val="none"/>
        </w:rPr>
      </w:pPr>
      <w:r w:rsidRPr="000E0CF6">
        <w:rPr>
          <w:rStyle w:val="Hyperlink"/>
          <w:rFonts w:eastAsiaTheme="majorEastAsia"/>
          <w:color w:val="000000" w:themeColor="text1"/>
          <w:szCs w:val="24"/>
          <w:u w:val="none"/>
        </w:rPr>
        <w:t>Reuse winery wastewater wherever feasible, such as for vineyard irrigations, frost protection, and dust abatement.</w:t>
      </w:r>
    </w:p>
    <w:p w14:paraId="0A49DDA3" w14:textId="77777777" w:rsidR="00063478" w:rsidRPr="001D4635" w:rsidRDefault="00063478" w:rsidP="00362D97">
      <w:pPr>
        <w:pStyle w:val="ListParagraph"/>
        <w:numPr>
          <w:ilvl w:val="0"/>
          <w:numId w:val="37"/>
        </w:numPr>
        <w:spacing w:after="120"/>
        <w:ind w:left="720"/>
        <w:contextualSpacing w:val="0"/>
        <w:rPr>
          <w:rFonts w:eastAsiaTheme="majorEastAsia"/>
          <w:bCs/>
          <w:color w:val="000000" w:themeColor="text1"/>
          <w:szCs w:val="24"/>
        </w:rPr>
      </w:pPr>
      <w:r w:rsidRPr="001D4635">
        <w:rPr>
          <w:rFonts w:eastAsiaTheme="majorEastAsia"/>
          <w:bCs/>
          <w:color w:val="000000" w:themeColor="text1"/>
          <w:szCs w:val="24"/>
        </w:rPr>
        <w:t>Implement water conservation efforts, including, but not limited to, the following:</w:t>
      </w:r>
    </w:p>
    <w:p w14:paraId="4EC87A19" w14:textId="77777777" w:rsidR="00063478" w:rsidRPr="00B31073" w:rsidRDefault="00063478" w:rsidP="00362D97">
      <w:pPr>
        <w:pStyle w:val="ListParagraph"/>
        <w:numPr>
          <w:ilvl w:val="0"/>
          <w:numId w:val="35"/>
        </w:numPr>
        <w:spacing w:after="120"/>
        <w:contextualSpacing w:val="0"/>
        <w:rPr>
          <w:rStyle w:val="Hyperlink"/>
          <w:rFonts w:eastAsiaTheme="majorEastAsia"/>
          <w:color w:val="000000" w:themeColor="text1"/>
          <w:szCs w:val="24"/>
          <w:u w:val="none"/>
        </w:rPr>
      </w:pPr>
      <w:r w:rsidRPr="00B31073">
        <w:rPr>
          <w:rStyle w:val="Hyperlink"/>
          <w:rFonts w:eastAsiaTheme="majorEastAsia"/>
          <w:color w:val="000000" w:themeColor="text1"/>
          <w:szCs w:val="24"/>
          <w:u w:val="none"/>
        </w:rPr>
        <w:t>Use low volume/high pressure nozzles.</w:t>
      </w:r>
    </w:p>
    <w:p w14:paraId="7C0100A6" w14:textId="77777777" w:rsidR="00063478" w:rsidRPr="00B31073" w:rsidRDefault="00063478" w:rsidP="00362D97">
      <w:pPr>
        <w:pStyle w:val="ListParagraph"/>
        <w:numPr>
          <w:ilvl w:val="0"/>
          <w:numId w:val="35"/>
        </w:numPr>
        <w:spacing w:after="120"/>
        <w:contextualSpacing w:val="0"/>
        <w:rPr>
          <w:rStyle w:val="Hyperlink"/>
          <w:rFonts w:eastAsiaTheme="majorEastAsia"/>
          <w:color w:val="000000" w:themeColor="text1"/>
          <w:szCs w:val="24"/>
          <w:u w:val="none"/>
        </w:rPr>
      </w:pPr>
      <w:r w:rsidRPr="00B31073">
        <w:rPr>
          <w:rStyle w:val="Hyperlink"/>
          <w:rFonts w:eastAsiaTheme="majorEastAsia"/>
          <w:color w:val="000000" w:themeColor="text1"/>
          <w:szCs w:val="24"/>
          <w:u w:val="none"/>
        </w:rPr>
        <w:t>Implement a maintenance program to fix leaks.</w:t>
      </w:r>
    </w:p>
    <w:p w14:paraId="4D82CBE7" w14:textId="0AB9BAA8" w:rsidR="00063478" w:rsidRDefault="00063478" w:rsidP="00362D97">
      <w:pPr>
        <w:pStyle w:val="ListParagraph"/>
        <w:numPr>
          <w:ilvl w:val="0"/>
          <w:numId w:val="35"/>
        </w:numPr>
        <w:contextualSpacing w:val="0"/>
        <w:rPr>
          <w:rStyle w:val="Hyperlink"/>
          <w:rFonts w:eastAsiaTheme="majorEastAsia"/>
          <w:color w:val="000000" w:themeColor="text1"/>
          <w:szCs w:val="24"/>
          <w:u w:val="none"/>
        </w:rPr>
      </w:pPr>
      <w:r w:rsidRPr="00B31073">
        <w:rPr>
          <w:rStyle w:val="Hyperlink"/>
          <w:rFonts w:eastAsiaTheme="majorEastAsia"/>
          <w:color w:val="000000" w:themeColor="text1"/>
          <w:szCs w:val="24"/>
          <w:u w:val="none"/>
        </w:rPr>
        <w:t>Remove solid waste before cleaning equipment and floors to minimize the water needed for cleaning.</w:t>
      </w:r>
    </w:p>
    <w:p w14:paraId="123A7090" w14:textId="1F25FE4B" w:rsidR="00450953" w:rsidRDefault="00450953" w:rsidP="00450953">
      <w:pPr>
        <w:pStyle w:val="ListParagraph"/>
        <w:ind w:left="1080"/>
        <w:contextualSpacing w:val="0"/>
        <w:rPr>
          <w:rStyle w:val="Hyperlink"/>
          <w:rFonts w:eastAsiaTheme="majorEastAsia"/>
          <w:color w:val="000000" w:themeColor="text1"/>
          <w:szCs w:val="24"/>
          <w:u w:val="none"/>
        </w:rPr>
      </w:pPr>
    </w:p>
    <w:p w14:paraId="0F994C3B" w14:textId="33B2140D" w:rsidR="00DE2D06" w:rsidRDefault="00DE2D06" w:rsidP="00450953">
      <w:pPr>
        <w:pStyle w:val="ListParagraph"/>
        <w:ind w:left="1080"/>
        <w:contextualSpacing w:val="0"/>
        <w:rPr>
          <w:rStyle w:val="Hyperlink"/>
          <w:rFonts w:eastAsiaTheme="majorEastAsia"/>
          <w:color w:val="000000" w:themeColor="text1"/>
          <w:szCs w:val="24"/>
          <w:u w:val="none"/>
        </w:rPr>
      </w:pPr>
    </w:p>
    <w:p w14:paraId="51B816DB" w14:textId="77777777" w:rsidR="00DE2D06" w:rsidRPr="00B31073" w:rsidRDefault="00DE2D06" w:rsidP="00450953">
      <w:pPr>
        <w:pStyle w:val="ListParagraph"/>
        <w:ind w:left="1080"/>
        <w:contextualSpacing w:val="0"/>
        <w:rPr>
          <w:rStyle w:val="Hyperlink"/>
          <w:rFonts w:eastAsiaTheme="majorEastAsia"/>
          <w:color w:val="000000" w:themeColor="text1"/>
          <w:szCs w:val="24"/>
          <w:u w:val="none"/>
        </w:rPr>
      </w:pPr>
    </w:p>
    <w:p w14:paraId="314D0661" w14:textId="1CBEB169" w:rsidR="00063478" w:rsidRPr="00823C44" w:rsidRDefault="00063478" w:rsidP="00823C44">
      <w:pPr>
        <w:pStyle w:val="Heading1"/>
      </w:pPr>
      <w:bookmarkStart w:id="38" w:name="_Toc470706560"/>
      <w:bookmarkStart w:id="39" w:name="_Toc487002344"/>
      <w:bookmarkStart w:id="40" w:name="_Toc448403908"/>
      <w:r w:rsidRPr="006008DB">
        <w:t>DISCHARGE PROHIBITIONS</w:t>
      </w:r>
      <w:bookmarkEnd w:id="38"/>
      <w:bookmarkEnd w:id="39"/>
      <w:r w:rsidRPr="006008DB">
        <w:t xml:space="preserve"> </w:t>
      </w:r>
      <w:bookmarkEnd w:id="40"/>
    </w:p>
    <w:p w14:paraId="72FA8C5B" w14:textId="77777777" w:rsidR="00063478" w:rsidRPr="006008DB" w:rsidRDefault="00063478" w:rsidP="00063478">
      <w:pPr>
        <w:pStyle w:val="OrderItem"/>
        <w:spacing w:after="0"/>
        <w:rPr>
          <w:szCs w:val="24"/>
        </w:rPr>
      </w:pPr>
    </w:p>
    <w:p w14:paraId="10E76617" w14:textId="7515A29A" w:rsidR="00063478" w:rsidRPr="006008DB" w:rsidRDefault="00063478" w:rsidP="00063478">
      <w:pPr>
        <w:pStyle w:val="OrderItem"/>
        <w:numPr>
          <w:ilvl w:val="0"/>
          <w:numId w:val="20"/>
        </w:numPr>
        <w:spacing w:after="0"/>
        <w:rPr>
          <w:szCs w:val="24"/>
        </w:rPr>
      </w:pPr>
      <w:r w:rsidRPr="006008DB">
        <w:rPr>
          <w:szCs w:val="24"/>
        </w:rPr>
        <w:t xml:space="preserve">The discharge of waste other than as described in the </w:t>
      </w:r>
      <w:r>
        <w:rPr>
          <w:szCs w:val="24"/>
        </w:rPr>
        <w:t>Discharge Authorization L</w:t>
      </w:r>
      <w:r w:rsidR="00F66F2F">
        <w:rPr>
          <w:szCs w:val="24"/>
        </w:rPr>
        <w:t xml:space="preserve">etter, </w:t>
      </w:r>
      <w:r w:rsidR="00145E84">
        <w:rPr>
          <w:szCs w:val="24"/>
        </w:rPr>
        <w:t xml:space="preserve">and the </w:t>
      </w:r>
      <w:r w:rsidR="00B31073">
        <w:rPr>
          <w:szCs w:val="24"/>
        </w:rPr>
        <w:t>Notice of Intent Package</w:t>
      </w:r>
      <w:r w:rsidRPr="006008DB">
        <w:rPr>
          <w:szCs w:val="24"/>
        </w:rPr>
        <w:t xml:space="preserve"> submitted for a given discharge, and as authorized by the Executive Officer, is prohibited.</w:t>
      </w:r>
    </w:p>
    <w:p w14:paraId="18442A8B" w14:textId="77777777" w:rsidR="00063478" w:rsidRPr="006008DB" w:rsidRDefault="00063478" w:rsidP="00063478">
      <w:pPr>
        <w:pStyle w:val="ListParagraph"/>
        <w:rPr>
          <w:szCs w:val="24"/>
        </w:rPr>
      </w:pPr>
    </w:p>
    <w:p w14:paraId="0A20D417" w14:textId="77777777" w:rsidR="00063478" w:rsidRPr="006008DB" w:rsidRDefault="00063478" w:rsidP="00063478">
      <w:pPr>
        <w:pStyle w:val="ListParagraph"/>
        <w:numPr>
          <w:ilvl w:val="0"/>
          <w:numId w:val="20"/>
        </w:numPr>
        <w:rPr>
          <w:snapToGrid w:val="0"/>
          <w:szCs w:val="24"/>
        </w:rPr>
      </w:pPr>
      <w:r w:rsidRPr="006008DB">
        <w:rPr>
          <w:snapToGrid w:val="0"/>
          <w:szCs w:val="24"/>
        </w:rPr>
        <w:t xml:space="preserve">The Discharger shall not discharge wastewater in excess of the flow limit(s) specified in the </w:t>
      </w:r>
      <w:r>
        <w:rPr>
          <w:snapToGrid w:val="0"/>
          <w:szCs w:val="24"/>
        </w:rPr>
        <w:t>Discharge Authorization Letter</w:t>
      </w:r>
      <w:r w:rsidRPr="006008DB">
        <w:rPr>
          <w:snapToGrid w:val="0"/>
          <w:szCs w:val="24"/>
        </w:rPr>
        <w:t>.</w:t>
      </w:r>
    </w:p>
    <w:p w14:paraId="287535AC" w14:textId="77777777" w:rsidR="00063478" w:rsidRPr="006008DB" w:rsidRDefault="00063478" w:rsidP="00063478">
      <w:pPr>
        <w:pStyle w:val="OrderItem"/>
        <w:spacing w:after="0"/>
        <w:rPr>
          <w:szCs w:val="24"/>
        </w:rPr>
      </w:pPr>
    </w:p>
    <w:p w14:paraId="3398CD9E" w14:textId="293327C7" w:rsidR="00063478" w:rsidRPr="000D4A53" w:rsidRDefault="00063478" w:rsidP="00063478">
      <w:pPr>
        <w:pStyle w:val="ListParagraph"/>
        <w:numPr>
          <w:ilvl w:val="0"/>
          <w:numId w:val="20"/>
        </w:numPr>
        <w:rPr>
          <w:snapToGrid w:val="0"/>
          <w:szCs w:val="24"/>
        </w:rPr>
      </w:pPr>
      <w:r w:rsidRPr="006008DB">
        <w:rPr>
          <w:szCs w:val="24"/>
        </w:rPr>
        <w:t xml:space="preserve">The discharge of any waste to surface waters or surface water drainage courses is prohibited. No winery wastewater shall be allowed to escape from the designated land application area via surface flow. </w:t>
      </w:r>
    </w:p>
    <w:p w14:paraId="21610CC1" w14:textId="77777777" w:rsidR="000D4A53" w:rsidRPr="000D4A53" w:rsidRDefault="000D4A53" w:rsidP="000D4A53">
      <w:pPr>
        <w:pStyle w:val="ListParagraph"/>
        <w:rPr>
          <w:snapToGrid w:val="0"/>
          <w:szCs w:val="24"/>
        </w:rPr>
      </w:pPr>
    </w:p>
    <w:p w14:paraId="2A89BAA9" w14:textId="7967752A" w:rsidR="000D4A53" w:rsidRPr="006008DB" w:rsidRDefault="000D4A53" w:rsidP="00063478">
      <w:pPr>
        <w:pStyle w:val="ListParagraph"/>
        <w:numPr>
          <w:ilvl w:val="0"/>
          <w:numId w:val="20"/>
        </w:numPr>
        <w:rPr>
          <w:snapToGrid w:val="0"/>
          <w:szCs w:val="24"/>
        </w:rPr>
      </w:pPr>
      <w:r>
        <w:rPr>
          <w:snapToGrid w:val="0"/>
          <w:szCs w:val="24"/>
        </w:rPr>
        <w:t>Wastewater shall not be applied to land in quantities that degrade the soil such that it no longer supports vegetation and effectively treats wastewater.</w:t>
      </w:r>
    </w:p>
    <w:p w14:paraId="081500D7" w14:textId="77777777" w:rsidR="00063478" w:rsidRPr="006008DB" w:rsidRDefault="00063478" w:rsidP="00063478">
      <w:pPr>
        <w:pStyle w:val="ListParagraph"/>
        <w:rPr>
          <w:snapToGrid w:val="0"/>
          <w:szCs w:val="24"/>
        </w:rPr>
      </w:pPr>
    </w:p>
    <w:p w14:paraId="28CDF4CD" w14:textId="3833A8F4" w:rsidR="00063478" w:rsidRPr="006008DB" w:rsidRDefault="00063478" w:rsidP="00063478">
      <w:pPr>
        <w:pStyle w:val="ListParagraph"/>
        <w:numPr>
          <w:ilvl w:val="0"/>
          <w:numId w:val="20"/>
        </w:numPr>
        <w:rPr>
          <w:snapToGrid w:val="0"/>
          <w:szCs w:val="24"/>
        </w:rPr>
      </w:pPr>
      <w:r w:rsidRPr="006008DB">
        <w:rPr>
          <w:snapToGrid w:val="0"/>
          <w:szCs w:val="24"/>
        </w:rPr>
        <w:t xml:space="preserve">The discharge of liquid wastes from winery </w:t>
      </w:r>
      <w:r w:rsidR="00AB3A1B">
        <w:rPr>
          <w:snapToGrid w:val="0"/>
          <w:szCs w:val="24"/>
        </w:rPr>
        <w:t>solid waste</w:t>
      </w:r>
      <w:r w:rsidRPr="006008DB">
        <w:rPr>
          <w:snapToGrid w:val="0"/>
          <w:szCs w:val="24"/>
        </w:rPr>
        <w:t xml:space="preserve"> handling or storage areas or from rainfall runoff that has come int</w:t>
      </w:r>
      <w:r w:rsidR="00AB3A1B">
        <w:rPr>
          <w:snapToGrid w:val="0"/>
          <w:szCs w:val="24"/>
        </w:rPr>
        <w:t>o contact with the winery solid waste</w:t>
      </w:r>
      <w:r w:rsidRPr="006008DB">
        <w:rPr>
          <w:snapToGrid w:val="0"/>
          <w:szCs w:val="24"/>
        </w:rPr>
        <w:t xml:space="preserve"> being stored, to surface water is prohibited.</w:t>
      </w:r>
    </w:p>
    <w:p w14:paraId="003514E6" w14:textId="77777777" w:rsidR="00063478" w:rsidRPr="006008DB" w:rsidRDefault="00063478" w:rsidP="00063478">
      <w:pPr>
        <w:pStyle w:val="OrderItem"/>
        <w:spacing w:after="0"/>
        <w:ind w:left="360" w:firstLine="0"/>
        <w:rPr>
          <w:szCs w:val="24"/>
        </w:rPr>
      </w:pPr>
    </w:p>
    <w:p w14:paraId="2EA21F19" w14:textId="50E40A7C" w:rsidR="00063478" w:rsidRPr="006008DB" w:rsidRDefault="00063478" w:rsidP="00063478">
      <w:pPr>
        <w:pStyle w:val="OrderItem"/>
        <w:numPr>
          <w:ilvl w:val="0"/>
          <w:numId w:val="20"/>
        </w:numPr>
        <w:spacing w:after="0"/>
        <w:rPr>
          <w:szCs w:val="24"/>
        </w:rPr>
      </w:pPr>
      <w:r w:rsidRPr="006008DB">
        <w:rPr>
          <w:szCs w:val="24"/>
        </w:rPr>
        <w:t xml:space="preserve">The discharge </w:t>
      </w:r>
      <w:r w:rsidR="000D4A53">
        <w:rPr>
          <w:szCs w:val="24"/>
        </w:rPr>
        <w:t xml:space="preserve">to land </w:t>
      </w:r>
      <w:r w:rsidRPr="006008DB">
        <w:rPr>
          <w:szCs w:val="24"/>
        </w:rPr>
        <w:t xml:space="preserve">of untreated or partially treated or inadequately treated winery waste from anywhere within the collection, treatment, or </w:t>
      </w:r>
      <w:r w:rsidR="00731573">
        <w:rPr>
          <w:szCs w:val="24"/>
        </w:rPr>
        <w:t>discharge</w:t>
      </w:r>
      <w:r w:rsidRPr="006008DB">
        <w:rPr>
          <w:szCs w:val="24"/>
        </w:rPr>
        <w:t xml:space="preserve"> facility is prohibited.</w:t>
      </w:r>
      <w:r w:rsidRPr="006008DB">
        <w:rPr>
          <w:szCs w:val="24"/>
        </w:rPr>
        <w:br/>
      </w:r>
    </w:p>
    <w:p w14:paraId="1C8FCEA9" w14:textId="39CE2A03" w:rsidR="00063478" w:rsidRPr="006008DB" w:rsidRDefault="00063478" w:rsidP="00063478">
      <w:pPr>
        <w:pStyle w:val="OrderItem"/>
        <w:numPr>
          <w:ilvl w:val="0"/>
          <w:numId w:val="20"/>
        </w:numPr>
        <w:spacing w:after="0"/>
        <w:rPr>
          <w:szCs w:val="24"/>
        </w:rPr>
      </w:pPr>
      <w:r w:rsidRPr="006008DB">
        <w:rPr>
          <w:szCs w:val="24"/>
        </w:rPr>
        <w:t>The discharge of waste classified as “hazardous,” or “designated,” as defined in California Code of Regulations, title 23, chapter 15, section 2521(a), and Water Code section 13173, respectively, to any part of the wastewater dis</w:t>
      </w:r>
      <w:r w:rsidR="00731573">
        <w:rPr>
          <w:szCs w:val="24"/>
        </w:rPr>
        <w:t>charge</w:t>
      </w:r>
      <w:r w:rsidRPr="006008DB">
        <w:rPr>
          <w:szCs w:val="24"/>
        </w:rPr>
        <w:t xml:space="preserve"> system is prohibited.</w:t>
      </w:r>
    </w:p>
    <w:p w14:paraId="53F7F54C" w14:textId="77777777" w:rsidR="00063478" w:rsidRPr="006008DB" w:rsidRDefault="00063478" w:rsidP="00063478">
      <w:pPr>
        <w:pStyle w:val="OrderItem"/>
        <w:spacing w:after="0"/>
        <w:rPr>
          <w:szCs w:val="24"/>
        </w:rPr>
      </w:pPr>
    </w:p>
    <w:p w14:paraId="6A8A3E85" w14:textId="77777777" w:rsidR="00063478" w:rsidRPr="006008DB" w:rsidRDefault="00063478" w:rsidP="00063478">
      <w:pPr>
        <w:pStyle w:val="OrderItem"/>
        <w:numPr>
          <w:ilvl w:val="0"/>
          <w:numId w:val="20"/>
        </w:numPr>
        <w:spacing w:after="0"/>
        <w:rPr>
          <w:szCs w:val="24"/>
        </w:rPr>
      </w:pPr>
      <w:r w:rsidRPr="006008DB">
        <w:rPr>
          <w:szCs w:val="24"/>
        </w:rPr>
        <w:t>The discharge of wastewater containing greases and emulsions that can clog soils and discharge lines or nozzles, or coat vegetation is prohibited.</w:t>
      </w:r>
    </w:p>
    <w:p w14:paraId="548D7352" w14:textId="77777777" w:rsidR="00063478" w:rsidRPr="006008DB" w:rsidRDefault="00063478" w:rsidP="00063478">
      <w:pPr>
        <w:pStyle w:val="ListParagraph"/>
        <w:contextualSpacing w:val="0"/>
        <w:rPr>
          <w:szCs w:val="24"/>
        </w:rPr>
      </w:pPr>
    </w:p>
    <w:p w14:paraId="518DE60F" w14:textId="77777777" w:rsidR="00063478" w:rsidRDefault="00063478" w:rsidP="00063478">
      <w:pPr>
        <w:pStyle w:val="OrderItem"/>
        <w:numPr>
          <w:ilvl w:val="0"/>
          <w:numId w:val="20"/>
        </w:numPr>
        <w:spacing w:after="0"/>
        <w:rPr>
          <w:szCs w:val="24"/>
        </w:rPr>
      </w:pPr>
      <w:r w:rsidRPr="009C7224">
        <w:rPr>
          <w:szCs w:val="24"/>
        </w:rPr>
        <w:t xml:space="preserve">Continual application of wastewater to land is prohibited. </w:t>
      </w:r>
    </w:p>
    <w:p w14:paraId="4BBF9C0C" w14:textId="77777777" w:rsidR="00063478" w:rsidRPr="009C7224" w:rsidRDefault="00063478" w:rsidP="00063478">
      <w:pPr>
        <w:pStyle w:val="OrderItem"/>
        <w:spacing w:after="0"/>
        <w:ind w:left="0" w:firstLine="0"/>
        <w:rPr>
          <w:szCs w:val="24"/>
        </w:rPr>
      </w:pPr>
    </w:p>
    <w:p w14:paraId="10D266F5" w14:textId="5B47207A" w:rsidR="00063478" w:rsidRPr="006008DB" w:rsidRDefault="00063478" w:rsidP="00063478">
      <w:pPr>
        <w:pStyle w:val="OrderItem"/>
        <w:numPr>
          <w:ilvl w:val="0"/>
          <w:numId w:val="20"/>
        </w:numPr>
        <w:spacing w:after="0"/>
        <w:rPr>
          <w:szCs w:val="24"/>
        </w:rPr>
      </w:pPr>
      <w:r w:rsidRPr="006008DB">
        <w:rPr>
          <w:szCs w:val="24"/>
        </w:rPr>
        <w:t>The discharge of winery process wastewater to a</w:t>
      </w:r>
      <w:r>
        <w:rPr>
          <w:szCs w:val="24"/>
        </w:rPr>
        <w:t>n</w:t>
      </w:r>
      <w:r w:rsidRPr="006008DB">
        <w:rPr>
          <w:szCs w:val="24"/>
        </w:rPr>
        <w:t xml:space="preserve"> onsite wastewater treatment system (septic system) designed for domestic wastewater </w:t>
      </w:r>
      <w:r w:rsidR="000D4A53">
        <w:rPr>
          <w:szCs w:val="24"/>
        </w:rPr>
        <w:t xml:space="preserve">from a new or expanding winery </w:t>
      </w:r>
      <w:r w:rsidRPr="006008DB">
        <w:rPr>
          <w:szCs w:val="24"/>
        </w:rPr>
        <w:t>is prohibited</w:t>
      </w:r>
      <w:r w:rsidR="00823C44">
        <w:rPr>
          <w:szCs w:val="24"/>
        </w:rPr>
        <w:t xml:space="preserve"> for Tier 2 facilities and Tier 3 facilities that discharge greater than 1,500 gallons per day</w:t>
      </w:r>
      <w:r w:rsidRPr="006008DB">
        <w:rPr>
          <w:szCs w:val="24"/>
        </w:rPr>
        <w:t>.</w:t>
      </w:r>
    </w:p>
    <w:p w14:paraId="72C47C60" w14:textId="77777777" w:rsidR="00063478" w:rsidRPr="006008DB" w:rsidRDefault="00063478" w:rsidP="00063478">
      <w:pPr>
        <w:pStyle w:val="OrderItem"/>
        <w:spacing w:after="0"/>
        <w:ind w:left="360" w:firstLine="0"/>
        <w:rPr>
          <w:szCs w:val="24"/>
        </w:rPr>
      </w:pPr>
    </w:p>
    <w:p w14:paraId="76E451A1" w14:textId="77777777" w:rsidR="00063478" w:rsidRPr="006008DB" w:rsidRDefault="00063478" w:rsidP="00063478">
      <w:pPr>
        <w:pStyle w:val="OrderItem"/>
        <w:numPr>
          <w:ilvl w:val="0"/>
          <w:numId w:val="20"/>
        </w:numPr>
        <w:spacing w:after="0"/>
        <w:rPr>
          <w:szCs w:val="24"/>
        </w:rPr>
      </w:pPr>
      <w:r w:rsidRPr="006008DB">
        <w:rPr>
          <w:szCs w:val="24"/>
        </w:rPr>
        <w:t>The discharge of any water softening ion exchange regeneration brine in the onsite wastewater treatment system is prohibited.</w:t>
      </w:r>
    </w:p>
    <w:p w14:paraId="301C76C4" w14:textId="77777777" w:rsidR="00063478" w:rsidRPr="006008DB" w:rsidRDefault="00063478" w:rsidP="00063478">
      <w:pPr>
        <w:pStyle w:val="ListParagraph"/>
        <w:rPr>
          <w:szCs w:val="24"/>
        </w:rPr>
      </w:pPr>
    </w:p>
    <w:p w14:paraId="4F04F89F" w14:textId="77777777" w:rsidR="00063478" w:rsidRPr="006008DB" w:rsidRDefault="00063478" w:rsidP="00063478">
      <w:pPr>
        <w:pStyle w:val="OrderItem"/>
        <w:numPr>
          <w:ilvl w:val="0"/>
          <w:numId w:val="20"/>
        </w:numPr>
        <w:spacing w:after="0"/>
        <w:rPr>
          <w:szCs w:val="24"/>
        </w:rPr>
      </w:pPr>
      <w:r w:rsidRPr="006008DB">
        <w:rPr>
          <w:szCs w:val="24"/>
        </w:rPr>
        <w:t>The discharge of toxic substances into a pond treatment system that disturbs the normal biological treatment mechanisms is prohibited.</w:t>
      </w:r>
    </w:p>
    <w:p w14:paraId="0CC2C72D" w14:textId="77777777" w:rsidR="00063478" w:rsidRPr="006008DB" w:rsidRDefault="00063478" w:rsidP="00063478">
      <w:pPr>
        <w:pStyle w:val="OrderItem"/>
        <w:spacing w:after="0"/>
        <w:rPr>
          <w:szCs w:val="24"/>
        </w:rPr>
      </w:pPr>
    </w:p>
    <w:p w14:paraId="275FD3E7" w14:textId="455D2636" w:rsidR="00063478" w:rsidRPr="006008DB" w:rsidRDefault="00063478" w:rsidP="00063478">
      <w:pPr>
        <w:pStyle w:val="OrderItem"/>
        <w:numPr>
          <w:ilvl w:val="0"/>
          <w:numId w:val="20"/>
        </w:numPr>
        <w:spacing w:after="0"/>
        <w:rPr>
          <w:szCs w:val="24"/>
        </w:rPr>
      </w:pPr>
      <w:r w:rsidRPr="006008DB">
        <w:rPr>
          <w:szCs w:val="24"/>
        </w:rPr>
        <w:t>There shall be no discharges of treated winery process wastewater within 100 feet of any well used for domestic water supply, nor within 50 feet of any well used only for agricultural water supply.</w:t>
      </w:r>
    </w:p>
    <w:p w14:paraId="2251147E" w14:textId="77777777" w:rsidR="00063478" w:rsidRPr="006008DB" w:rsidRDefault="00063478" w:rsidP="00063478">
      <w:pPr>
        <w:pStyle w:val="ListParagraph"/>
        <w:rPr>
          <w:szCs w:val="24"/>
        </w:rPr>
      </w:pPr>
    </w:p>
    <w:p w14:paraId="1B8BFBDE" w14:textId="0CEF0F51" w:rsidR="00063478" w:rsidRPr="006008DB" w:rsidRDefault="00063478" w:rsidP="00063478">
      <w:pPr>
        <w:pStyle w:val="OrderItem"/>
        <w:numPr>
          <w:ilvl w:val="0"/>
          <w:numId w:val="20"/>
        </w:numPr>
        <w:rPr>
          <w:szCs w:val="24"/>
        </w:rPr>
      </w:pPr>
      <w:r w:rsidRPr="006008DB">
        <w:rPr>
          <w:szCs w:val="24"/>
        </w:rPr>
        <w:t>If domestic wastewater is combined with winery wastewater and discharged to land via irrigation, the following setbacks</w:t>
      </w:r>
      <w:r w:rsidR="000D4A53">
        <w:rPr>
          <w:szCs w:val="24"/>
        </w:rPr>
        <w:t xml:space="preserve"> based on the level of wastewater treatment</w:t>
      </w:r>
      <w:r w:rsidRPr="006008DB">
        <w:rPr>
          <w:szCs w:val="24"/>
        </w:rPr>
        <w:t xml:space="preserve"> apply in accordance with CCR Title 22 section 60310 (a) through (d).</w:t>
      </w:r>
    </w:p>
    <w:p w14:paraId="644A422C" w14:textId="77777777" w:rsidR="00063478" w:rsidRPr="00571A01" w:rsidRDefault="00063478" w:rsidP="00362D97">
      <w:pPr>
        <w:pStyle w:val="HangingIndent"/>
        <w:numPr>
          <w:ilvl w:val="0"/>
          <w:numId w:val="31"/>
        </w:numPr>
        <w:spacing w:after="120"/>
        <w:rPr>
          <w:sz w:val="24"/>
          <w:szCs w:val="24"/>
        </w:rPr>
      </w:pPr>
      <w:r w:rsidRPr="00571A01">
        <w:rPr>
          <w:sz w:val="24"/>
          <w:szCs w:val="24"/>
        </w:rPr>
        <w:t xml:space="preserve">No irrigation with disinfected tertiary recycled water shall take place within 50 feet of any domestic water supply well unless all of the following conditions have been met: </w:t>
      </w:r>
    </w:p>
    <w:p w14:paraId="0FD9799D" w14:textId="77777777" w:rsidR="00063478" w:rsidRPr="00571A01" w:rsidRDefault="00063478" w:rsidP="00362D97">
      <w:pPr>
        <w:pStyle w:val="HangingIndent"/>
        <w:numPr>
          <w:ilvl w:val="0"/>
          <w:numId w:val="28"/>
        </w:numPr>
        <w:spacing w:after="120"/>
        <w:rPr>
          <w:sz w:val="24"/>
          <w:szCs w:val="24"/>
        </w:rPr>
      </w:pPr>
      <w:r w:rsidRPr="00571A01">
        <w:rPr>
          <w:sz w:val="24"/>
          <w:szCs w:val="24"/>
        </w:rPr>
        <w:t xml:space="preserve">A geological investigation demonstrates that an </w:t>
      </w:r>
      <w:proofErr w:type="spellStart"/>
      <w:r w:rsidRPr="00571A01">
        <w:rPr>
          <w:sz w:val="24"/>
          <w:szCs w:val="24"/>
        </w:rPr>
        <w:t>aquitard</w:t>
      </w:r>
      <w:proofErr w:type="spellEnd"/>
      <w:r w:rsidRPr="00571A01">
        <w:rPr>
          <w:sz w:val="24"/>
          <w:szCs w:val="24"/>
        </w:rPr>
        <w:t xml:space="preserve"> exists at the well between the uppermost aquifer being drawn from and the ground surface. </w:t>
      </w:r>
    </w:p>
    <w:p w14:paraId="251B3788" w14:textId="77777777" w:rsidR="00063478" w:rsidRPr="00571A01" w:rsidRDefault="00063478" w:rsidP="00362D97">
      <w:pPr>
        <w:pStyle w:val="HangingIndent"/>
        <w:numPr>
          <w:ilvl w:val="0"/>
          <w:numId w:val="28"/>
        </w:numPr>
        <w:spacing w:after="120"/>
        <w:rPr>
          <w:sz w:val="24"/>
          <w:szCs w:val="24"/>
        </w:rPr>
      </w:pPr>
      <w:r w:rsidRPr="00571A01">
        <w:rPr>
          <w:sz w:val="24"/>
          <w:szCs w:val="24"/>
        </w:rPr>
        <w:t xml:space="preserve">The well contains an annular seal that extends from the surface into the </w:t>
      </w:r>
      <w:proofErr w:type="spellStart"/>
      <w:r w:rsidRPr="00571A01">
        <w:rPr>
          <w:sz w:val="24"/>
          <w:szCs w:val="24"/>
        </w:rPr>
        <w:t>aquitard</w:t>
      </w:r>
      <w:proofErr w:type="spellEnd"/>
      <w:r w:rsidRPr="00571A01">
        <w:rPr>
          <w:sz w:val="24"/>
          <w:szCs w:val="24"/>
        </w:rPr>
        <w:t xml:space="preserve">. </w:t>
      </w:r>
    </w:p>
    <w:p w14:paraId="202E186D" w14:textId="77777777" w:rsidR="00063478" w:rsidRPr="00571A01" w:rsidRDefault="00063478" w:rsidP="00362D97">
      <w:pPr>
        <w:pStyle w:val="HangingIndent"/>
        <w:numPr>
          <w:ilvl w:val="0"/>
          <w:numId w:val="28"/>
        </w:numPr>
        <w:spacing w:after="120"/>
        <w:rPr>
          <w:sz w:val="24"/>
          <w:szCs w:val="24"/>
        </w:rPr>
      </w:pPr>
      <w:r w:rsidRPr="00571A01">
        <w:rPr>
          <w:sz w:val="24"/>
          <w:szCs w:val="24"/>
        </w:rPr>
        <w:t xml:space="preserve">The well is housed to prevent any recycled water spray from coming into contact with the wellhead facilities. </w:t>
      </w:r>
    </w:p>
    <w:p w14:paraId="236BD408" w14:textId="77777777" w:rsidR="00063478" w:rsidRPr="00571A01" w:rsidRDefault="00063478" w:rsidP="00362D97">
      <w:pPr>
        <w:pStyle w:val="HangingIndent"/>
        <w:numPr>
          <w:ilvl w:val="0"/>
          <w:numId w:val="28"/>
        </w:numPr>
        <w:spacing w:after="120"/>
        <w:rPr>
          <w:sz w:val="24"/>
          <w:szCs w:val="24"/>
        </w:rPr>
      </w:pPr>
      <w:r w:rsidRPr="00571A01">
        <w:rPr>
          <w:sz w:val="24"/>
          <w:szCs w:val="24"/>
        </w:rPr>
        <w:t xml:space="preserve">The ground surface immediately around the wellhead is contoured to allow surface water to drain away from the well. </w:t>
      </w:r>
    </w:p>
    <w:p w14:paraId="7AB206DA" w14:textId="77777777" w:rsidR="00063478" w:rsidRPr="00571A01" w:rsidRDefault="00063478" w:rsidP="00362D97">
      <w:pPr>
        <w:pStyle w:val="HangingIndent"/>
        <w:numPr>
          <w:ilvl w:val="0"/>
          <w:numId w:val="28"/>
        </w:numPr>
        <w:rPr>
          <w:sz w:val="24"/>
          <w:szCs w:val="24"/>
        </w:rPr>
      </w:pPr>
      <w:r w:rsidRPr="00571A01">
        <w:rPr>
          <w:sz w:val="24"/>
          <w:szCs w:val="24"/>
        </w:rPr>
        <w:t xml:space="preserve">The owner of the well approves of the elimination of the buffer zone requirement. </w:t>
      </w:r>
    </w:p>
    <w:p w14:paraId="1ABDD222" w14:textId="77777777" w:rsidR="00063478" w:rsidRPr="00571A01" w:rsidRDefault="00063478" w:rsidP="00063478">
      <w:pPr>
        <w:pStyle w:val="HangingIndent"/>
        <w:rPr>
          <w:sz w:val="24"/>
          <w:szCs w:val="24"/>
        </w:rPr>
      </w:pPr>
      <w:r w:rsidRPr="00571A01">
        <w:rPr>
          <w:sz w:val="24"/>
          <w:szCs w:val="24"/>
        </w:rPr>
        <w:t xml:space="preserve">  </w:t>
      </w:r>
    </w:p>
    <w:p w14:paraId="7F331C45" w14:textId="77777777" w:rsidR="00063478" w:rsidRPr="00571A01" w:rsidRDefault="00063478" w:rsidP="00362D97">
      <w:pPr>
        <w:pStyle w:val="HangingIndent"/>
        <w:numPr>
          <w:ilvl w:val="0"/>
          <w:numId w:val="31"/>
        </w:numPr>
        <w:rPr>
          <w:sz w:val="24"/>
          <w:szCs w:val="24"/>
        </w:rPr>
      </w:pPr>
      <w:r w:rsidRPr="00571A01">
        <w:rPr>
          <w:sz w:val="24"/>
          <w:szCs w:val="24"/>
        </w:rPr>
        <w:t xml:space="preserve">No impoundment of disinfected tertiary recycled water shall occur within 100 feet of any domestic water supply well. </w:t>
      </w:r>
    </w:p>
    <w:p w14:paraId="66D06C90" w14:textId="77777777" w:rsidR="00063478" w:rsidRPr="00571A01" w:rsidRDefault="00063478" w:rsidP="00063478">
      <w:pPr>
        <w:pStyle w:val="HangingIndent"/>
        <w:rPr>
          <w:sz w:val="24"/>
          <w:szCs w:val="24"/>
        </w:rPr>
      </w:pPr>
    </w:p>
    <w:p w14:paraId="64E1C6EC" w14:textId="77777777" w:rsidR="00063478" w:rsidRPr="00571A01" w:rsidRDefault="00063478" w:rsidP="00362D97">
      <w:pPr>
        <w:pStyle w:val="HangingIndent"/>
        <w:numPr>
          <w:ilvl w:val="0"/>
          <w:numId w:val="31"/>
        </w:numPr>
        <w:rPr>
          <w:sz w:val="24"/>
          <w:szCs w:val="24"/>
        </w:rPr>
      </w:pPr>
      <w:r w:rsidRPr="00571A01">
        <w:rPr>
          <w:sz w:val="24"/>
          <w:szCs w:val="24"/>
        </w:rPr>
        <w:t>No irrigation with, or impoundment of,</w:t>
      </w:r>
      <w:r w:rsidRPr="005A3CE8">
        <w:rPr>
          <w:sz w:val="24"/>
        </w:rPr>
        <w:t xml:space="preserve"> disinfected secondary-2.2 or disinfected secondary-23 recycled wate</w:t>
      </w:r>
      <w:r w:rsidRPr="00571A01">
        <w:rPr>
          <w:sz w:val="24"/>
          <w:szCs w:val="24"/>
        </w:rPr>
        <w:t xml:space="preserve">r shall take place within 100 feet of any domestic water supply well. </w:t>
      </w:r>
    </w:p>
    <w:p w14:paraId="44993A2E" w14:textId="77777777" w:rsidR="00063478" w:rsidRPr="00571A01" w:rsidRDefault="00063478" w:rsidP="00063478">
      <w:pPr>
        <w:pStyle w:val="ListParagraph"/>
        <w:rPr>
          <w:szCs w:val="24"/>
        </w:rPr>
      </w:pPr>
    </w:p>
    <w:p w14:paraId="4559C682" w14:textId="77777777" w:rsidR="00063478" w:rsidRPr="00571A01" w:rsidRDefault="00063478" w:rsidP="00362D97">
      <w:pPr>
        <w:pStyle w:val="HangingIndent"/>
        <w:numPr>
          <w:ilvl w:val="0"/>
          <w:numId w:val="31"/>
        </w:numPr>
        <w:rPr>
          <w:sz w:val="24"/>
          <w:szCs w:val="24"/>
        </w:rPr>
      </w:pPr>
      <w:r w:rsidRPr="00571A01">
        <w:rPr>
          <w:sz w:val="24"/>
          <w:szCs w:val="24"/>
        </w:rPr>
        <w:t xml:space="preserve">No irrigation with, or impoundment of, </w:t>
      </w:r>
      <w:proofErr w:type="spellStart"/>
      <w:r w:rsidRPr="00571A01">
        <w:rPr>
          <w:sz w:val="24"/>
          <w:szCs w:val="24"/>
        </w:rPr>
        <w:t>undisinfected</w:t>
      </w:r>
      <w:proofErr w:type="spellEnd"/>
      <w:r w:rsidRPr="00571A01">
        <w:rPr>
          <w:sz w:val="24"/>
          <w:szCs w:val="24"/>
        </w:rPr>
        <w:t xml:space="preserve"> secondary recycled water shall take place within 150 feet of any domestic water supply well.</w:t>
      </w:r>
    </w:p>
    <w:p w14:paraId="2021543A" w14:textId="77777777" w:rsidR="00063478" w:rsidRPr="005A3CE8" w:rsidRDefault="00063478" w:rsidP="00063478">
      <w:pPr>
        <w:pStyle w:val="HangingIndent"/>
      </w:pPr>
    </w:p>
    <w:p w14:paraId="39A8F73C" w14:textId="07DD0A8B" w:rsidR="00063478" w:rsidRPr="006008DB" w:rsidRDefault="00063478" w:rsidP="00063478">
      <w:pPr>
        <w:pStyle w:val="OrderItem"/>
        <w:numPr>
          <w:ilvl w:val="0"/>
          <w:numId w:val="20"/>
        </w:numPr>
        <w:spacing w:after="0"/>
        <w:rPr>
          <w:szCs w:val="24"/>
        </w:rPr>
      </w:pPr>
      <w:r w:rsidRPr="006008DB">
        <w:rPr>
          <w:szCs w:val="24"/>
        </w:rPr>
        <w:t>Neither the treatment, storage, nor d</w:t>
      </w:r>
      <w:r w:rsidR="00731573">
        <w:rPr>
          <w:szCs w:val="24"/>
        </w:rPr>
        <w:t>ischarge</w:t>
      </w:r>
      <w:r w:rsidRPr="006008DB">
        <w:rPr>
          <w:szCs w:val="24"/>
        </w:rPr>
        <w:t xml:space="preserve"> of domestic or winery processing wast</w:t>
      </w:r>
      <w:r w:rsidR="00731573">
        <w:rPr>
          <w:szCs w:val="24"/>
        </w:rPr>
        <w:t xml:space="preserve">ewater </w:t>
      </w:r>
      <w:r w:rsidRPr="006008DB">
        <w:rPr>
          <w:szCs w:val="24"/>
        </w:rPr>
        <w:t xml:space="preserve">from wineries shall cause or contribute to an exceedance of applicable water quality objectives in the underlying groundwater, unreasonably affect applicable beneficial uses, or cause or contribute to a condition of pollution or nuisance as defined in Water Code sections 13050(l) and (m) and as stated in </w:t>
      </w:r>
      <w:r w:rsidRPr="00145E84">
        <w:rPr>
          <w:b/>
          <w:szCs w:val="24"/>
        </w:rPr>
        <w:t xml:space="preserve">Attachment </w:t>
      </w:r>
      <w:r w:rsidR="000F09DF">
        <w:rPr>
          <w:b/>
          <w:szCs w:val="24"/>
        </w:rPr>
        <w:t>I</w:t>
      </w:r>
      <w:r w:rsidR="00145E84" w:rsidRPr="00145E84">
        <w:rPr>
          <w:szCs w:val="24"/>
        </w:rPr>
        <w:t>.</w:t>
      </w:r>
    </w:p>
    <w:p w14:paraId="22217B2F" w14:textId="77777777" w:rsidR="00063478" w:rsidRPr="006008DB" w:rsidRDefault="00063478" w:rsidP="00063478">
      <w:pPr>
        <w:pStyle w:val="HangingIndent"/>
      </w:pPr>
    </w:p>
    <w:p w14:paraId="336F6152" w14:textId="77777777" w:rsidR="00063478" w:rsidRPr="004324ED" w:rsidRDefault="00063478" w:rsidP="00063478">
      <w:pPr>
        <w:pStyle w:val="OrderItem"/>
        <w:numPr>
          <w:ilvl w:val="0"/>
          <w:numId w:val="20"/>
        </w:numPr>
        <w:spacing w:after="0"/>
        <w:rPr>
          <w:szCs w:val="24"/>
        </w:rPr>
      </w:pPr>
      <w:r w:rsidRPr="004324ED">
        <w:rPr>
          <w:szCs w:val="24"/>
        </w:rPr>
        <w:t>The flow discharged to the treatment system and discharge area shall not exceed the hydraulic or organic loading capacities of the treatment system or of the discharge area, as stated in the NOI.</w:t>
      </w:r>
    </w:p>
    <w:p w14:paraId="52F54847" w14:textId="77777777" w:rsidR="00063478" w:rsidRPr="006008DB" w:rsidRDefault="00063478" w:rsidP="00D23F6C">
      <w:pPr>
        <w:pStyle w:val="Heading1"/>
        <w:numPr>
          <w:ilvl w:val="0"/>
          <w:numId w:val="0"/>
        </w:numPr>
        <w:ind w:left="720"/>
      </w:pPr>
    </w:p>
    <w:p w14:paraId="26E29C31" w14:textId="636E2C24" w:rsidR="00063478" w:rsidRPr="006008DB" w:rsidRDefault="00063478" w:rsidP="00CF654D">
      <w:pPr>
        <w:pStyle w:val="Heading1"/>
      </w:pPr>
      <w:bookmarkStart w:id="41" w:name="_Toc470706561"/>
      <w:bookmarkStart w:id="42" w:name="_Toc487002345"/>
      <w:r w:rsidRPr="006008DB">
        <w:t>EFFLUENT LIMITATIONS</w:t>
      </w:r>
      <w:bookmarkEnd w:id="41"/>
      <w:r w:rsidRPr="006008DB">
        <w:t xml:space="preserve"> AND NUMERIC ACTION LEVELS</w:t>
      </w:r>
      <w:bookmarkEnd w:id="42"/>
    </w:p>
    <w:p w14:paraId="6062B806" w14:textId="77777777" w:rsidR="009F6EAA" w:rsidRPr="006008DB" w:rsidRDefault="009F6EAA" w:rsidP="00D23F6C">
      <w:pPr>
        <w:pStyle w:val="Heading1"/>
        <w:numPr>
          <w:ilvl w:val="0"/>
          <w:numId w:val="0"/>
        </w:numPr>
        <w:ind w:left="720"/>
      </w:pPr>
      <w:bookmarkStart w:id="43" w:name="_Toc470706562"/>
    </w:p>
    <w:p w14:paraId="5E8ED9D1" w14:textId="5847A285" w:rsidR="00063478" w:rsidRPr="006008DB" w:rsidRDefault="00063478" w:rsidP="00362D97">
      <w:pPr>
        <w:pStyle w:val="Heading2"/>
        <w:numPr>
          <w:ilvl w:val="0"/>
          <w:numId w:val="51"/>
        </w:numPr>
        <w:spacing w:after="120"/>
      </w:pPr>
      <w:bookmarkStart w:id="44" w:name="_Toc487002346"/>
      <w:r w:rsidRPr="006008DB">
        <w:t>Tier 1, Low Volume Discharge Effluent Limitations</w:t>
      </w:r>
      <w:bookmarkEnd w:id="43"/>
      <w:bookmarkEnd w:id="44"/>
    </w:p>
    <w:p w14:paraId="294714D9" w14:textId="403D39B6" w:rsidR="00063478" w:rsidRDefault="00063478" w:rsidP="00362D97">
      <w:pPr>
        <w:pStyle w:val="ListParagraph"/>
        <w:numPr>
          <w:ilvl w:val="0"/>
          <w:numId w:val="52"/>
        </w:numPr>
      </w:pPr>
      <w:r w:rsidRPr="00145E84">
        <w:rPr>
          <w:snapToGrid w:val="0"/>
        </w:rPr>
        <w:t xml:space="preserve">Wineries </w:t>
      </w:r>
      <w:r w:rsidR="00A008B6">
        <w:rPr>
          <w:snapToGrid w:val="0"/>
        </w:rPr>
        <w:t xml:space="preserve">enrolled in Tier 1 </w:t>
      </w:r>
      <w:r w:rsidRPr="00145E84">
        <w:rPr>
          <w:snapToGrid w:val="0"/>
        </w:rPr>
        <w:t xml:space="preserve">discharging less than 1,500 gallons per day monthly average of winery waste during crush season and 1,500 gpd daily maximum during non-crush season </w:t>
      </w:r>
      <w:r w:rsidR="009F6EAA" w:rsidRPr="00145E84">
        <w:rPr>
          <w:snapToGrid w:val="0"/>
        </w:rPr>
        <w:t xml:space="preserve">shall </w:t>
      </w:r>
      <w:r w:rsidRPr="00145E84">
        <w:rPr>
          <w:snapToGrid w:val="0"/>
        </w:rPr>
        <w:t>meet the effluent limitations in</w:t>
      </w:r>
      <w:r w:rsidRPr="006008DB">
        <w:t xml:space="preserve"> </w:t>
      </w:r>
      <w:r w:rsidR="00F6686F">
        <w:rPr>
          <w:b/>
        </w:rPr>
        <w:t>Table 1</w:t>
      </w:r>
      <w:r w:rsidRPr="006008DB">
        <w:t xml:space="preserve">. </w:t>
      </w:r>
    </w:p>
    <w:p w14:paraId="0AB26E15" w14:textId="51542829" w:rsidR="008B0B0C" w:rsidRDefault="008B0B0C">
      <w:pPr>
        <w:spacing w:after="200" w:line="276" w:lineRule="auto"/>
        <w:ind w:left="0"/>
        <w:rPr>
          <w:rFonts w:eastAsia="Times New Roman"/>
          <w:szCs w:val="20"/>
        </w:rPr>
      </w:pPr>
      <w:r>
        <w:br w:type="page"/>
      </w:r>
    </w:p>
    <w:p w14:paraId="24958E3A" w14:textId="77777777" w:rsidR="00950DD9" w:rsidRDefault="00950DD9" w:rsidP="00950DD9">
      <w:pPr>
        <w:pStyle w:val="ListParagraph"/>
        <w:ind w:left="1080"/>
      </w:pPr>
    </w:p>
    <w:p w14:paraId="394A0525" w14:textId="050C60FD" w:rsidR="002641F0" w:rsidRDefault="002641F0" w:rsidP="001C6387">
      <w:pPr>
        <w:pStyle w:val="Caption"/>
      </w:pPr>
      <w:bookmarkStart w:id="45" w:name="_Toc487107726"/>
      <w:r>
        <w:t xml:space="preserve">Table </w:t>
      </w:r>
      <w:r w:rsidR="00D35F67">
        <w:fldChar w:fldCharType="begin"/>
      </w:r>
      <w:r w:rsidR="00D35F67">
        <w:instrText xml:space="preserve"> SEQ Table \* ARABIC </w:instrText>
      </w:r>
      <w:r w:rsidR="00D35F67">
        <w:fldChar w:fldCharType="separate"/>
      </w:r>
      <w:r w:rsidR="00512EAC">
        <w:rPr>
          <w:noProof/>
        </w:rPr>
        <w:t>1</w:t>
      </w:r>
      <w:r w:rsidR="00D35F67">
        <w:rPr>
          <w:noProof/>
        </w:rPr>
        <w:fldChar w:fldCharType="end"/>
      </w:r>
      <w:r>
        <w:t>: Tier 1 Effluent Limitations</w:t>
      </w:r>
      <w:bookmarkEnd w:id="45"/>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28"/>
        <w:gridCol w:w="3304"/>
        <w:gridCol w:w="2924"/>
      </w:tblGrid>
      <w:tr w:rsidR="00063478" w:rsidRPr="006008DB" w14:paraId="5760FD14" w14:textId="77777777" w:rsidTr="00CE6ED3">
        <w:trPr>
          <w:jc w:val="center"/>
        </w:trPr>
        <w:tc>
          <w:tcPr>
            <w:tcW w:w="2628" w:type="dxa"/>
            <w:tcBorders>
              <w:top w:val="double" w:sz="4" w:space="0" w:color="auto"/>
              <w:bottom w:val="double" w:sz="4" w:space="0" w:color="auto"/>
            </w:tcBorders>
          </w:tcPr>
          <w:p w14:paraId="629955C5" w14:textId="77777777" w:rsidR="00063478" w:rsidRPr="006008DB" w:rsidRDefault="00063478" w:rsidP="005A3CE8">
            <w:pPr>
              <w:ind w:left="0"/>
              <w:jc w:val="center"/>
              <w:rPr>
                <w:b/>
              </w:rPr>
            </w:pPr>
            <w:r w:rsidRPr="006008DB">
              <w:rPr>
                <w:b/>
              </w:rPr>
              <w:t>Constituent</w:t>
            </w:r>
          </w:p>
        </w:tc>
        <w:tc>
          <w:tcPr>
            <w:tcW w:w="3304" w:type="dxa"/>
            <w:tcBorders>
              <w:top w:val="double" w:sz="4" w:space="0" w:color="auto"/>
              <w:bottom w:val="double" w:sz="4" w:space="0" w:color="auto"/>
            </w:tcBorders>
          </w:tcPr>
          <w:p w14:paraId="2F7C419C" w14:textId="77777777" w:rsidR="00063478" w:rsidRPr="006008DB" w:rsidRDefault="00063478" w:rsidP="0058704F">
            <w:pPr>
              <w:ind w:left="0"/>
              <w:jc w:val="center"/>
              <w:rPr>
                <w:b/>
              </w:rPr>
            </w:pPr>
            <w:r w:rsidRPr="006008DB">
              <w:rPr>
                <w:b/>
              </w:rPr>
              <w:t>Unit</w:t>
            </w:r>
          </w:p>
        </w:tc>
        <w:tc>
          <w:tcPr>
            <w:tcW w:w="2924" w:type="dxa"/>
            <w:tcBorders>
              <w:top w:val="double" w:sz="4" w:space="0" w:color="auto"/>
              <w:bottom w:val="double" w:sz="4" w:space="0" w:color="auto"/>
            </w:tcBorders>
          </w:tcPr>
          <w:p w14:paraId="4CEDBC63" w14:textId="77777777" w:rsidR="00063478" w:rsidRPr="006008DB" w:rsidRDefault="00063478" w:rsidP="0058704F">
            <w:pPr>
              <w:ind w:left="0"/>
              <w:jc w:val="center"/>
              <w:rPr>
                <w:b/>
              </w:rPr>
            </w:pPr>
            <w:r w:rsidRPr="006008DB">
              <w:rPr>
                <w:b/>
              </w:rPr>
              <w:t>Discharge Limitation</w:t>
            </w:r>
          </w:p>
        </w:tc>
      </w:tr>
      <w:tr w:rsidR="00063478" w:rsidRPr="006008DB" w14:paraId="1D401127" w14:textId="77777777" w:rsidTr="00CE6ED3">
        <w:trPr>
          <w:trHeight w:val="330"/>
          <w:jc w:val="center"/>
        </w:trPr>
        <w:tc>
          <w:tcPr>
            <w:tcW w:w="2628" w:type="dxa"/>
            <w:tcBorders>
              <w:top w:val="double" w:sz="4" w:space="0" w:color="auto"/>
            </w:tcBorders>
            <w:vAlign w:val="center"/>
          </w:tcPr>
          <w:p w14:paraId="3ED9BD4F" w14:textId="77777777" w:rsidR="00063478" w:rsidRPr="006008DB" w:rsidRDefault="00063478" w:rsidP="005A3CE8">
            <w:pPr>
              <w:ind w:left="0"/>
            </w:pPr>
            <w:r w:rsidRPr="006008DB">
              <w:t>Discharge rate</w:t>
            </w:r>
          </w:p>
        </w:tc>
        <w:tc>
          <w:tcPr>
            <w:tcW w:w="3304" w:type="dxa"/>
            <w:tcBorders>
              <w:top w:val="double" w:sz="4" w:space="0" w:color="auto"/>
            </w:tcBorders>
            <w:vAlign w:val="center"/>
          </w:tcPr>
          <w:p w14:paraId="42405FC2" w14:textId="77777777" w:rsidR="00063478" w:rsidRPr="006008DB" w:rsidRDefault="00063478" w:rsidP="0058704F">
            <w:pPr>
              <w:ind w:left="0"/>
            </w:pPr>
            <w:r w:rsidRPr="006008DB">
              <w:t>gallons per day (gpd)</w:t>
            </w:r>
          </w:p>
        </w:tc>
        <w:tc>
          <w:tcPr>
            <w:tcW w:w="2924" w:type="dxa"/>
            <w:tcBorders>
              <w:top w:val="double" w:sz="4" w:space="0" w:color="auto"/>
            </w:tcBorders>
          </w:tcPr>
          <w:p w14:paraId="3AA66A12" w14:textId="77777777" w:rsidR="00063478" w:rsidRPr="006008DB" w:rsidRDefault="00063478" w:rsidP="0058704F">
            <w:pPr>
              <w:ind w:left="0"/>
              <w:jc w:val="center"/>
            </w:pPr>
            <w:r w:rsidRPr="006008DB">
              <w:t>1,500</w:t>
            </w:r>
          </w:p>
        </w:tc>
      </w:tr>
      <w:tr w:rsidR="00063478" w:rsidRPr="006008DB" w14:paraId="5148338B" w14:textId="77777777" w:rsidTr="00CE6ED3">
        <w:trPr>
          <w:trHeight w:val="350"/>
          <w:jc w:val="center"/>
        </w:trPr>
        <w:tc>
          <w:tcPr>
            <w:tcW w:w="2628" w:type="dxa"/>
            <w:vAlign w:val="center"/>
          </w:tcPr>
          <w:p w14:paraId="3DDECC20" w14:textId="7B079C87" w:rsidR="00063478" w:rsidRPr="006008DB" w:rsidRDefault="00063478" w:rsidP="005A3CE8">
            <w:pPr>
              <w:ind w:left="0"/>
            </w:pPr>
            <w:r w:rsidRPr="006008DB">
              <w:t>BOD</w:t>
            </w:r>
            <w:r w:rsidRPr="006008DB">
              <w:rPr>
                <w:vertAlign w:val="subscript"/>
              </w:rPr>
              <w:t xml:space="preserve">5 </w:t>
            </w:r>
            <w:r w:rsidRPr="006008DB">
              <w:t>Loading Rate</w:t>
            </w:r>
            <w:r w:rsidR="00601A80">
              <w:t xml:space="preserve"> </w:t>
            </w:r>
            <w:r w:rsidR="00601A80" w:rsidRPr="00601A80">
              <w:rPr>
                <w:vertAlign w:val="superscript"/>
              </w:rPr>
              <w:t>a</w:t>
            </w:r>
          </w:p>
        </w:tc>
        <w:tc>
          <w:tcPr>
            <w:tcW w:w="3304" w:type="dxa"/>
            <w:vAlign w:val="center"/>
          </w:tcPr>
          <w:p w14:paraId="2749C1FE" w14:textId="77777777" w:rsidR="00063478" w:rsidRPr="006008DB" w:rsidRDefault="00063478" w:rsidP="0058704F">
            <w:pPr>
              <w:ind w:left="0"/>
            </w:pPr>
            <w:r w:rsidRPr="006008DB">
              <w:t>pounds/acre/day (</w:t>
            </w:r>
            <w:proofErr w:type="spellStart"/>
            <w:r w:rsidRPr="006008DB">
              <w:t>lbs</w:t>
            </w:r>
            <w:proofErr w:type="spellEnd"/>
            <w:r w:rsidRPr="006008DB">
              <w:t>/acre/day)</w:t>
            </w:r>
          </w:p>
        </w:tc>
        <w:tc>
          <w:tcPr>
            <w:tcW w:w="2924" w:type="dxa"/>
            <w:vAlign w:val="center"/>
          </w:tcPr>
          <w:p w14:paraId="53A3E2FF" w14:textId="77777777" w:rsidR="00063478" w:rsidRPr="006008DB" w:rsidRDefault="00063478" w:rsidP="0058704F">
            <w:pPr>
              <w:ind w:left="0"/>
              <w:jc w:val="center"/>
            </w:pPr>
            <w:r w:rsidRPr="006008DB">
              <w:t>100</w:t>
            </w:r>
          </w:p>
        </w:tc>
      </w:tr>
      <w:tr w:rsidR="00063478" w:rsidRPr="006008DB" w14:paraId="239BDDF3" w14:textId="77777777" w:rsidTr="00CE6ED3">
        <w:trPr>
          <w:trHeight w:val="350"/>
          <w:jc w:val="center"/>
        </w:trPr>
        <w:tc>
          <w:tcPr>
            <w:tcW w:w="2628" w:type="dxa"/>
            <w:vAlign w:val="center"/>
          </w:tcPr>
          <w:p w14:paraId="59EE2C58" w14:textId="77777777" w:rsidR="00063478" w:rsidRPr="006008DB" w:rsidRDefault="00063478" w:rsidP="005A3CE8">
            <w:pPr>
              <w:ind w:left="0"/>
            </w:pPr>
            <w:r w:rsidRPr="006008DB">
              <w:t>pH</w:t>
            </w:r>
          </w:p>
        </w:tc>
        <w:tc>
          <w:tcPr>
            <w:tcW w:w="3304" w:type="dxa"/>
            <w:vAlign w:val="center"/>
          </w:tcPr>
          <w:p w14:paraId="2128056F" w14:textId="77777777" w:rsidR="00063478" w:rsidRPr="006008DB" w:rsidRDefault="00063478" w:rsidP="0058704F">
            <w:pPr>
              <w:ind w:left="0"/>
            </w:pPr>
            <w:r w:rsidRPr="006008DB">
              <w:t>s.u.</w:t>
            </w:r>
            <w:r w:rsidRPr="006008DB">
              <w:rPr>
                <w:rStyle w:val="FootnoteReference"/>
              </w:rPr>
              <w:footnoteReference w:id="5"/>
            </w:r>
          </w:p>
        </w:tc>
        <w:tc>
          <w:tcPr>
            <w:tcW w:w="2924" w:type="dxa"/>
          </w:tcPr>
          <w:p w14:paraId="17654885" w14:textId="77777777" w:rsidR="00063478" w:rsidRPr="006008DB" w:rsidRDefault="00063478" w:rsidP="0058704F">
            <w:pPr>
              <w:ind w:left="0"/>
              <w:jc w:val="center"/>
            </w:pPr>
            <w:r w:rsidRPr="006008DB">
              <w:t>6.0 min to 9.0 max</w:t>
            </w:r>
          </w:p>
        </w:tc>
      </w:tr>
      <w:tr w:rsidR="003C4AED" w:rsidRPr="006008DB" w14:paraId="3AE9CB3A" w14:textId="77777777" w:rsidTr="001D7C58">
        <w:trPr>
          <w:trHeight w:val="618"/>
          <w:jc w:val="center"/>
        </w:trPr>
        <w:tc>
          <w:tcPr>
            <w:tcW w:w="8856" w:type="dxa"/>
            <w:gridSpan w:val="3"/>
            <w:tcBorders>
              <w:top w:val="double" w:sz="4" w:space="0" w:color="auto"/>
              <w:bottom w:val="double" w:sz="4" w:space="0" w:color="auto"/>
            </w:tcBorders>
            <w:vAlign w:val="center"/>
          </w:tcPr>
          <w:p w14:paraId="02F1077A" w14:textId="1DB1E369" w:rsidR="003C4AED" w:rsidRDefault="003C4AED" w:rsidP="00EF0288">
            <w:pPr>
              <w:spacing w:before="120"/>
              <w:ind w:left="0"/>
              <w:jc w:val="center"/>
              <w:rPr>
                <w:b/>
                <w:snapToGrid w:val="0"/>
                <w:szCs w:val="21"/>
              </w:rPr>
            </w:pPr>
            <w:r w:rsidRPr="00DA55CF">
              <w:rPr>
                <w:b/>
                <w:snapToGrid w:val="0"/>
                <w:szCs w:val="21"/>
              </w:rPr>
              <w:t xml:space="preserve">Existing Tier 1 </w:t>
            </w:r>
            <w:r>
              <w:rPr>
                <w:b/>
                <w:snapToGrid w:val="0"/>
                <w:szCs w:val="21"/>
              </w:rPr>
              <w:t xml:space="preserve">wineries </w:t>
            </w:r>
            <w:r w:rsidRPr="00DA55CF">
              <w:rPr>
                <w:b/>
                <w:snapToGrid w:val="0"/>
                <w:szCs w:val="21"/>
              </w:rPr>
              <w:t xml:space="preserve">that use a conventional septic system designed for </w:t>
            </w:r>
          </w:p>
          <w:p w14:paraId="1939010B" w14:textId="434782BD" w:rsidR="003C4AED" w:rsidRPr="006008DB" w:rsidRDefault="003C4AED" w:rsidP="00EF0288">
            <w:pPr>
              <w:spacing w:after="120"/>
              <w:ind w:left="0"/>
              <w:jc w:val="center"/>
            </w:pPr>
            <w:r w:rsidRPr="00DA55CF">
              <w:rPr>
                <w:b/>
                <w:snapToGrid w:val="0"/>
                <w:szCs w:val="21"/>
              </w:rPr>
              <w:t>domestic wastewater</w:t>
            </w:r>
            <w:r>
              <w:rPr>
                <w:b/>
                <w:snapToGrid w:val="0"/>
                <w:szCs w:val="21"/>
              </w:rPr>
              <w:t xml:space="preserve"> – Limits </w:t>
            </w:r>
            <w:r w:rsidR="001D7C58">
              <w:rPr>
                <w:b/>
                <w:snapToGrid w:val="0"/>
                <w:szCs w:val="21"/>
              </w:rPr>
              <w:t xml:space="preserve">apply </w:t>
            </w:r>
            <w:r>
              <w:rPr>
                <w:b/>
                <w:snapToGrid w:val="0"/>
                <w:szCs w:val="21"/>
              </w:rPr>
              <w:t xml:space="preserve">prior to </w:t>
            </w:r>
            <w:r w:rsidR="001D7C58">
              <w:rPr>
                <w:b/>
                <w:snapToGrid w:val="0"/>
                <w:szCs w:val="21"/>
              </w:rPr>
              <w:t xml:space="preserve">discharge to </w:t>
            </w:r>
            <w:r>
              <w:rPr>
                <w:b/>
                <w:snapToGrid w:val="0"/>
                <w:szCs w:val="21"/>
              </w:rPr>
              <w:t>septic tank</w:t>
            </w:r>
            <w:r w:rsidR="00601A80">
              <w:rPr>
                <w:b/>
                <w:snapToGrid w:val="0"/>
                <w:szCs w:val="21"/>
              </w:rPr>
              <w:t xml:space="preserve"> </w:t>
            </w:r>
            <w:r w:rsidR="00601A80" w:rsidRPr="00601A80">
              <w:rPr>
                <w:snapToGrid w:val="0"/>
                <w:szCs w:val="21"/>
                <w:vertAlign w:val="superscript"/>
              </w:rPr>
              <w:t>b</w:t>
            </w:r>
          </w:p>
        </w:tc>
      </w:tr>
      <w:tr w:rsidR="001D7C58" w:rsidRPr="006008DB" w14:paraId="3202122B" w14:textId="77777777" w:rsidTr="001D7C58">
        <w:trPr>
          <w:trHeight w:val="350"/>
          <w:jc w:val="center"/>
        </w:trPr>
        <w:tc>
          <w:tcPr>
            <w:tcW w:w="2628" w:type="dxa"/>
            <w:tcBorders>
              <w:top w:val="double" w:sz="4" w:space="0" w:color="auto"/>
              <w:bottom w:val="double" w:sz="4" w:space="0" w:color="auto"/>
            </w:tcBorders>
          </w:tcPr>
          <w:p w14:paraId="56851DE5" w14:textId="291E8015" w:rsidR="001D7C58" w:rsidRDefault="001D7C58" w:rsidP="001D7C58">
            <w:pPr>
              <w:ind w:left="0"/>
            </w:pPr>
            <w:r w:rsidRPr="006008DB">
              <w:rPr>
                <w:b/>
              </w:rPr>
              <w:t>Constituent</w:t>
            </w:r>
          </w:p>
        </w:tc>
        <w:tc>
          <w:tcPr>
            <w:tcW w:w="3304" w:type="dxa"/>
            <w:tcBorders>
              <w:top w:val="double" w:sz="4" w:space="0" w:color="auto"/>
              <w:bottom w:val="double" w:sz="4" w:space="0" w:color="auto"/>
            </w:tcBorders>
          </w:tcPr>
          <w:p w14:paraId="4BD8CE2E" w14:textId="12247AD3" w:rsidR="001D7C58" w:rsidRDefault="001D7C58" w:rsidP="001D7C58">
            <w:pPr>
              <w:ind w:left="0"/>
              <w:jc w:val="center"/>
            </w:pPr>
            <w:r w:rsidRPr="006008DB">
              <w:rPr>
                <w:b/>
              </w:rPr>
              <w:t>Unit</w:t>
            </w:r>
          </w:p>
        </w:tc>
        <w:tc>
          <w:tcPr>
            <w:tcW w:w="2924" w:type="dxa"/>
            <w:tcBorders>
              <w:top w:val="double" w:sz="4" w:space="0" w:color="auto"/>
              <w:bottom w:val="double" w:sz="4" w:space="0" w:color="auto"/>
            </w:tcBorders>
          </w:tcPr>
          <w:p w14:paraId="576AA9D4" w14:textId="1C88B849" w:rsidR="001D7C58" w:rsidRDefault="001D7C58" w:rsidP="001D7C58">
            <w:pPr>
              <w:ind w:left="0"/>
              <w:jc w:val="center"/>
            </w:pPr>
            <w:r w:rsidRPr="006008DB">
              <w:rPr>
                <w:b/>
              </w:rPr>
              <w:t>Discharge Limitation</w:t>
            </w:r>
          </w:p>
        </w:tc>
      </w:tr>
      <w:tr w:rsidR="001D7C58" w:rsidRPr="006008DB" w14:paraId="375193AD" w14:textId="77777777" w:rsidTr="0037255E">
        <w:trPr>
          <w:trHeight w:val="350"/>
          <w:jc w:val="center"/>
        </w:trPr>
        <w:tc>
          <w:tcPr>
            <w:tcW w:w="2628" w:type="dxa"/>
            <w:tcBorders>
              <w:top w:val="double" w:sz="4" w:space="0" w:color="auto"/>
              <w:bottom w:val="single" w:sz="4" w:space="0" w:color="auto"/>
            </w:tcBorders>
            <w:vAlign w:val="center"/>
          </w:tcPr>
          <w:p w14:paraId="5D6AF3B4" w14:textId="7562D57D" w:rsidR="001D7C58" w:rsidRPr="006008DB" w:rsidRDefault="001D7C58" w:rsidP="001D7C58">
            <w:pPr>
              <w:ind w:left="0"/>
            </w:pPr>
            <w:r>
              <w:t>BOD</w:t>
            </w:r>
          </w:p>
        </w:tc>
        <w:tc>
          <w:tcPr>
            <w:tcW w:w="3304" w:type="dxa"/>
            <w:tcBorders>
              <w:top w:val="double" w:sz="4" w:space="0" w:color="auto"/>
              <w:bottom w:val="single" w:sz="4" w:space="0" w:color="auto"/>
            </w:tcBorders>
            <w:vAlign w:val="center"/>
          </w:tcPr>
          <w:p w14:paraId="6B14361A" w14:textId="6CA4D40B" w:rsidR="001D7C58" w:rsidRPr="006008DB" w:rsidRDefault="001D7C58" w:rsidP="001D7C58">
            <w:pPr>
              <w:ind w:left="0"/>
              <w:jc w:val="center"/>
            </w:pPr>
            <w:r>
              <w:t>mg/L</w:t>
            </w:r>
          </w:p>
        </w:tc>
        <w:tc>
          <w:tcPr>
            <w:tcW w:w="2924" w:type="dxa"/>
            <w:tcBorders>
              <w:top w:val="double" w:sz="4" w:space="0" w:color="auto"/>
              <w:bottom w:val="single" w:sz="4" w:space="0" w:color="auto"/>
            </w:tcBorders>
          </w:tcPr>
          <w:p w14:paraId="016C6B00" w14:textId="34FE7E68" w:rsidR="001D7C58" w:rsidRPr="006008DB" w:rsidRDefault="001D7C58" w:rsidP="001D7C58">
            <w:pPr>
              <w:ind w:left="0"/>
              <w:jc w:val="center"/>
            </w:pPr>
            <w:r>
              <w:t>300 (monthly average)</w:t>
            </w:r>
          </w:p>
        </w:tc>
      </w:tr>
      <w:tr w:rsidR="001D7C58" w:rsidRPr="006008DB" w14:paraId="21A01D80" w14:textId="77777777" w:rsidTr="00EF0288">
        <w:trPr>
          <w:trHeight w:val="350"/>
          <w:jc w:val="center"/>
        </w:trPr>
        <w:tc>
          <w:tcPr>
            <w:tcW w:w="2628" w:type="dxa"/>
            <w:tcBorders>
              <w:top w:val="single" w:sz="4" w:space="0" w:color="auto"/>
              <w:bottom w:val="double" w:sz="4" w:space="0" w:color="auto"/>
            </w:tcBorders>
            <w:vAlign w:val="center"/>
          </w:tcPr>
          <w:p w14:paraId="06DCD751" w14:textId="24871A22" w:rsidR="001D7C58" w:rsidRPr="006008DB" w:rsidRDefault="001D7C58" w:rsidP="001D7C58">
            <w:pPr>
              <w:ind w:left="0"/>
            </w:pPr>
            <w:r>
              <w:t>Total Suspended Solids</w:t>
            </w:r>
          </w:p>
        </w:tc>
        <w:tc>
          <w:tcPr>
            <w:tcW w:w="3304" w:type="dxa"/>
            <w:tcBorders>
              <w:top w:val="single" w:sz="4" w:space="0" w:color="auto"/>
              <w:bottom w:val="double" w:sz="4" w:space="0" w:color="auto"/>
            </w:tcBorders>
            <w:vAlign w:val="center"/>
          </w:tcPr>
          <w:p w14:paraId="613CF7E5" w14:textId="2F14740B" w:rsidR="001D7C58" w:rsidRPr="006008DB" w:rsidRDefault="001D7C58" w:rsidP="001D7C58">
            <w:pPr>
              <w:ind w:left="0"/>
              <w:jc w:val="center"/>
            </w:pPr>
            <w:r>
              <w:t>mg/L</w:t>
            </w:r>
          </w:p>
        </w:tc>
        <w:tc>
          <w:tcPr>
            <w:tcW w:w="2924" w:type="dxa"/>
            <w:tcBorders>
              <w:top w:val="single" w:sz="4" w:space="0" w:color="auto"/>
              <w:bottom w:val="double" w:sz="4" w:space="0" w:color="auto"/>
            </w:tcBorders>
          </w:tcPr>
          <w:p w14:paraId="7AFEF23E" w14:textId="16B46865" w:rsidR="001D7C58" w:rsidRPr="006008DB" w:rsidRDefault="001D7C58" w:rsidP="001D7C58">
            <w:pPr>
              <w:ind w:left="0"/>
              <w:jc w:val="center"/>
            </w:pPr>
            <w:r>
              <w:t>330</w:t>
            </w:r>
          </w:p>
        </w:tc>
      </w:tr>
      <w:tr w:rsidR="0037255E" w:rsidRPr="006008DB" w14:paraId="1F6C02A3" w14:textId="77777777" w:rsidTr="00601A80">
        <w:trPr>
          <w:trHeight w:val="708"/>
          <w:jc w:val="center"/>
        </w:trPr>
        <w:tc>
          <w:tcPr>
            <w:tcW w:w="8856" w:type="dxa"/>
            <w:gridSpan w:val="3"/>
            <w:tcBorders>
              <w:top w:val="double" w:sz="4" w:space="0" w:color="auto"/>
              <w:left w:val="nil"/>
              <w:bottom w:val="single" w:sz="4" w:space="0" w:color="auto"/>
              <w:right w:val="nil"/>
            </w:tcBorders>
            <w:vAlign w:val="center"/>
          </w:tcPr>
          <w:p w14:paraId="0FFAB12F" w14:textId="660A23C9" w:rsidR="0037255E" w:rsidRPr="00674E41" w:rsidRDefault="0037255E" w:rsidP="00362D97">
            <w:pPr>
              <w:pStyle w:val="OrderItem"/>
              <w:numPr>
                <w:ilvl w:val="0"/>
                <w:numId w:val="76"/>
              </w:numPr>
              <w:spacing w:after="0"/>
              <w:ind w:left="330" w:hanging="330"/>
              <w:rPr>
                <w:sz w:val="22"/>
                <w:szCs w:val="22"/>
              </w:rPr>
            </w:pPr>
            <w:r w:rsidRPr="00674E41">
              <w:rPr>
                <w:sz w:val="22"/>
                <w:szCs w:val="22"/>
              </w:rPr>
              <w:t xml:space="preserve">The BOD loading rate shall be calculated using the formula in </w:t>
            </w:r>
            <w:r w:rsidRPr="00674E41">
              <w:rPr>
                <w:b/>
                <w:sz w:val="22"/>
                <w:szCs w:val="22"/>
              </w:rPr>
              <w:t>section III.G</w:t>
            </w:r>
            <w:r w:rsidRPr="00674E41">
              <w:rPr>
                <w:sz w:val="22"/>
                <w:szCs w:val="22"/>
              </w:rPr>
              <w:t xml:space="preserve"> of the Monitoring and Report Program (</w:t>
            </w:r>
            <w:r w:rsidRPr="00674E41">
              <w:rPr>
                <w:b/>
                <w:sz w:val="22"/>
                <w:szCs w:val="22"/>
              </w:rPr>
              <w:t>Attachment A</w:t>
            </w:r>
            <w:r w:rsidRPr="00674E41">
              <w:rPr>
                <w:sz w:val="22"/>
                <w:szCs w:val="22"/>
              </w:rPr>
              <w:t>).</w:t>
            </w:r>
          </w:p>
        </w:tc>
      </w:tr>
      <w:tr w:rsidR="00601A80" w:rsidRPr="006008DB" w14:paraId="2811D780" w14:textId="77777777" w:rsidTr="002B1210">
        <w:trPr>
          <w:trHeight w:val="1205"/>
          <w:jc w:val="center"/>
        </w:trPr>
        <w:tc>
          <w:tcPr>
            <w:tcW w:w="8856" w:type="dxa"/>
            <w:gridSpan w:val="3"/>
            <w:tcBorders>
              <w:top w:val="single" w:sz="4" w:space="0" w:color="auto"/>
              <w:left w:val="nil"/>
              <w:bottom w:val="single" w:sz="4" w:space="0" w:color="auto"/>
              <w:right w:val="nil"/>
            </w:tcBorders>
            <w:vAlign w:val="center"/>
          </w:tcPr>
          <w:p w14:paraId="072B6D6E" w14:textId="534DCCF0" w:rsidR="00601A80" w:rsidRPr="00674E41" w:rsidRDefault="00601A80" w:rsidP="00362D97">
            <w:pPr>
              <w:pStyle w:val="ListParagraph"/>
              <w:numPr>
                <w:ilvl w:val="0"/>
                <w:numId w:val="76"/>
              </w:numPr>
              <w:ind w:left="330" w:hanging="330"/>
              <w:rPr>
                <w:sz w:val="22"/>
                <w:szCs w:val="22"/>
              </w:rPr>
            </w:pPr>
            <w:r w:rsidRPr="00674E41">
              <w:rPr>
                <w:sz w:val="22"/>
                <w:szCs w:val="22"/>
              </w:rPr>
              <w:t xml:space="preserve">The BOD and total suspended solids limits only apply to existing wineries in Tier 1 that discharge winery wastewater to a conventional septic system designed for domestic wastewater. The limits apply prior to entering the septic tank only when the septic tank discharges to land via a </w:t>
            </w:r>
            <w:proofErr w:type="spellStart"/>
            <w:r w:rsidRPr="00674E41">
              <w:rPr>
                <w:sz w:val="22"/>
                <w:szCs w:val="22"/>
              </w:rPr>
              <w:t>leachfield</w:t>
            </w:r>
            <w:proofErr w:type="spellEnd"/>
            <w:r w:rsidRPr="00674E41">
              <w:rPr>
                <w:sz w:val="22"/>
                <w:szCs w:val="22"/>
              </w:rPr>
              <w:t>.</w:t>
            </w:r>
          </w:p>
        </w:tc>
      </w:tr>
    </w:tbl>
    <w:p w14:paraId="0947B970" w14:textId="67984332" w:rsidR="0037255E" w:rsidRDefault="0037255E" w:rsidP="00063478"/>
    <w:p w14:paraId="61BC9D0C" w14:textId="078F51AB" w:rsidR="00EF0288" w:rsidRPr="00EF0288" w:rsidRDefault="00EF0288" w:rsidP="00EF0288">
      <w:pPr>
        <w:pStyle w:val="ListParagraph"/>
        <w:numPr>
          <w:ilvl w:val="0"/>
          <w:numId w:val="52"/>
        </w:numPr>
      </w:pPr>
      <w:r w:rsidRPr="00EF0288">
        <w:rPr>
          <w:snapToGrid w:val="0"/>
          <w:u w:val="single"/>
        </w:rPr>
        <w:t xml:space="preserve">New </w:t>
      </w:r>
      <w:r w:rsidRPr="00EF0288">
        <w:rPr>
          <w:snapToGrid w:val="0"/>
        </w:rPr>
        <w:t xml:space="preserve">wineries enrolled in Tier 1 discharging </w:t>
      </w:r>
      <w:r w:rsidRPr="00EF0288">
        <w:t xml:space="preserve">in an area of </w:t>
      </w:r>
      <w:r w:rsidRPr="00EF0288">
        <w:rPr>
          <w:u w:val="single"/>
        </w:rPr>
        <w:t xml:space="preserve">nitrate-impacted groundwater </w:t>
      </w:r>
      <w:r w:rsidRPr="00EF0288">
        <w:t xml:space="preserve">shall meet the nitrogen loading limitations in </w:t>
      </w:r>
      <w:r w:rsidR="005555B5">
        <w:rPr>
          <w:b/>
        </w:rPr>
        <w:t>Table 5</w:t>
      </w:r>
      <w:r w:rsidRPr="00EF0288">
        <w:t xml:space="preserve">. </w:t>
      </w:r>
      <w:r w:rsidRPr="00EF0288">
        <w:rPr>
          <w:b/>
        </w:rPr>
        <w:t xml:space="preserve">Figures 3 </w:t>
      </w:r>
      <w:r w:rsidR="00C5026D">
        <w:t>through</w:t>
      </w:r>
      <w:r w:rsidRPr="00EF0288">
        <w:t xml:space="preserve"> </w:t>
      </w:r>
      <w:r w:rsidR="00C5026D">
        <w:rPr>
          <w:b/>
        </w:rPr>
        <w:t xml:space="preserve">5 </w:t>
      </w:r>
      <w:r w:rsidRPr="00EF0288">
        <w:t xml:space="preserve">in </w:t>
      </w:r>
      <w:r w:rsidRPr="00EF0288">
        <w:rPr>
          <w:b/>
        </w:rPr>
        <w:t>Attachment J</w:t>
      </w:r>
      <w:r w:rsidRPr="00EF0288">
        <w:t xml:space="preserve"> depict the nitrate-impacted groundwater areas.</w:t>
      </w:r>
    </w:p>
    <w:p w14:paraId="58D90231" w14:textId="219A7A43" w:rsidR="00EF0288" w:rsidRDefault="00EF0288" w:rsidP="00EF0288">
      <w:pPr>
        <w:pStyle w:val="ListParagraph"/>
        <w:ind w:left="1080"/>
      </w:pPr>
    </w:p>
    <w:p w14:paraId="033527C6" w14:textId="053A7380" w:rsidR="00063478" w:rsidRPr="006008DB" w:rsidRDefault="00063478" w:rsidP="0070544E">
      <w:pPr>
        <w:pStyle w:val="Heading2"/>
      </w:pPr>
      <w:bookmarkStart w:id="46" w:name="_Toc470706563"/>
      <w:bookmarkStart w:id="47" w:name="_Toc487002347"/>
      <w:r w:rsidRPr="006008DB">
        <w:t>Tiers 2 and 3 Effluent Limitations</w:t>
      </w:r>
      <w:bookmarkEnd w:id="46"/>
      <w:bookmarkEnd w:id="47"/>
      <w:r w:rsidRPr="006008DB">
        <w:t xml:space="preserve"> </w:t>
      </w:r>
    </w:p>
    <w:p w14:paraId="12C5A44A" w14:textId="77777777" w:rsidR="0037255E" w:rsidRDefault="0037255E" w:rsidP="0037255E">
      <w:pPr>
        <w:pStyle w:val="ListParagraph"/>
        <w:contextualSpacing w:val="0"/>
        <w:rPr>
          <w:b/>
        </w:rPr>
      </w:pPr>
    </w:p>
    <w:p w14:paraId="294396B2" w14:textId="1486BE67" w:rsidR="00063478" w:rsidRDefault="00063478" w:rsidP="00362D97">
      <w:pPr>
        <w:pStyle w:val="ListParagraph"/>
        <w:numPr>
          <w:ilvl w:val="0"/>
          <w:numId w:val="53"/>
        </w:numPr>
        <w:spacing w:after="120"/>
        <w:ind w:left="720"/>
        <w:contextualSpacing w:val="0"/>
        <w:rPr>
          <w:b/>
        </w:rPr>
      </w:pPr>
      <w:r w:rsidRPr="00EC046D">
        <w:rPr>
          <w:b/>
        </w:rPr>
        <w:t xml:space="preserve">Effluent Limitations that Apply to All Types of </w:t>
      </w:r>
      <w:r w:rsidR="00774B49">
        <w:rPr>
          <w:b/>
        </w:rPr>
        <w:t xml:space="preserve">Wastewater </w:t>
      </w:r>
      <w:r w:rsidRPr="00EC046D">
        <w:rPr>
          <w:b/>
        </w:rPr>
        <w:t>Treatment Systems</w:t>
      </w:r>
    </w:p>
    <w:p w14:paraId="20F8F440" w14:textId="2C37219B" w:rsidR="00063478" w:rsidRDefault="00063478" w:rsidP="00362D97">
      <w:pPr>
        <w:pStyle w:val="ListParagraph"/>
        <w:numPr>
          <w:ilvl w:val="0"/>
          <w:numId w:val="54"/>
        </w:numPr>
      </w:pPr>
      <w:r w:rsidRPr="00EC046D">
        <w:t xml:space="preserve">Wineries enrolled under Tiers 2 and 3 of this Order must meet the effluent limitations in </w:t>
      </w:r>
      <w:r w:rsidR="00F6686F">
        <w:rPr>
          <w:b/>
        </w:rPr>
        <w:t>Table 2</w:t>
      </w:r>
      <w:r w:rsidRPr="00EC046D">
        <w:t>.</w:t>
      </w:r>
    </w:p>
    <w:p w14:paraId="206C90C2" w14:textId="77777777" w:rsidR="00950DD9" w:rsidRDefault="00950DD9" w:rsidP="00950DD9">
      <w:pPr>
        <w:pStyle w:val="ListParagraph"/>
        <w:ind w:left="1080"/>
      </w:pPr>
    </w:p>
    <w:p w14:paraId="7C28EAAE" w14:textId="2A25A4E1" w:rsidR="001C6387" w:rsidRPr="002641F0" w:rsidRDefault="001C6387" w:rsidP="001C6387">
      <w:pPr>
        <w:pStyle w:val="Caption"/>
      </w:pPr>
      <w:bookmarkStart w:id="48" w:name="_Toc487107727"/>
      <w:r>
        <w:t xml:space="preserve">Table </w:t>
      </w:r>
      <w:r w:rsidR="00D35F67">
        <w:fldChar w:fldCharType="begin"/>
      </w:r>
      <w:r w:rsidR="00D35F67">
        <w:instrText xml:space="preserve"> SEQ Table \* ARABIC </w:instrText>
      </w:r>
      <w:r w:rsidR="00D35F67">
        <w:fldChar w:fldCharType="separate"/>
      </w:r>
      <w:r w:rsidR="00512EAC">
        <w:rPr>
          <w:noProof/>
        </w:rPr>
        <w:t>2</w:t>
      </w:r>
      <w:r w:rsidR="00D35F67">
        <w:rPr>
          <w:noProof/>
        </w:rPr>
        <w:fldChar w:fldCharType="end"/>
      </w:r>
      <w:r>
        <w:t xml:space="preserve">: </w:t>
      </w:r>
      <w:r w:rsidRPr="002641F0">
        <w:t>Tiers 2 and 3 BOD and pH Effluent Limitations</w:t>
      </w:r>
      <w:bookmarkEnd w:id="48"/>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35"/>
        <w:gridCol w:w="1879"/>
        <w:gridCol w:w="2981"/>
      </w:tblGrid>
      <w:tr w:rsidR="00063478" w:rsidRPr="006008DB" w14:paraId="28156C04" w14:textId="77777777" w:rsidTr="00CE6ED3">
        <w:trPr>
          <w:jc w:val="center"/>
        </w:trPr>
        <w:tc>
          <w:tcPr>
            <w:tcW w:w="4035" w:type="dxa"/>
            <w:tcBorders>
              <w:top w:val="double" w:sz="4" w:space="0" w:color="auto"/>
              <w:bottom w:val="double" w:sz="4" w:space="0" w:color="auto"/>
            </w:tcBorders>
            <w:vAlign w:val="center"/>
          </w:tcPr>
          <w:p w14:paraId="7CAE092E" w14:textId="77777777" w:rsidR="00063478" w:rsidRPr="006008DB" w:rsidRDefault="00063478" w:rsidP="004C70AB">
            <w:pPr>
              <w:ind w:left="0"/>
              <w:jc w:val="center"/>
              <w:rPr>
                <w:b/>
              </w:rPr>
            </w:pPr>
            <w:r w:rsidRPr="006008DB">
              <w:rPr>
                <w:b/>
              </w:rPr>
              <w:t>Constituent</w:t>
            </w:r>
          </w:p>
        </w:tc>
        <w:tc>
          <w:tcPr>
            <w:tcW w:w="1879" w:type="dxa"/>
            <w:tcBorders>
              <w:top w:val="double" w:sz="4" w:space="0" w:color="auto"/>
              <w:bottom w:val="double" w:sz="4" w:space="0" w:color="auto"/>
            </w:tcBorders>
            <w:vAlign w:val="center"/>
          </w:tcPr>
          <w:p w14:paraId="3BA31A8E" w14:textId="77777777" w:rsidR="00063478" w:rsidRPr="006008DB" w:rsidRDefault="00063478" w:rsidP="004C70AB">
            <w:pPr>
              <w:ind w:left="0"/>
              <w:jc w:val="center"/>
              <w:rPr>
                <w:b/>
              </w:rPr>
            </w:pPr>
            <w:r w:rsidRPr="006008DB">
              <w:rPr>
                <w:b/>
              </w:rPr>
              <w:t>Unit</w:t>
            </w:r>
          </w:p>
        </w:tc>
        <w:tc>
          <w:tcPr>
            <w:tcW w:w="2981" w:type="dxa"/>
            <w:tcBorders>
              <w:top w:val="double" w:sz="4" w:space="0" w:color="auto"/>
              <w:bottom w:val="double" w:sz="4" w:space="0" w:color="auto"/>
            </w:tcBorders>
            <w:vAlign w:val="center"/>
          </w:tcPr>
          <w:p w14:paraId="7B3E8230" w14:textId="77777777" w:rsidR="00063478" w:rsidRPr="006008DB" w:rsidRDefault="00063478" w:rsidP="004C70AB">
            <w:pPr>
              <w:ind w:left="0"/>
              <w:jc w:val="center"/>
              <w:rPr>
                <w:b/>
              </w:rPr>
            </w:pPr>
            <w:r w:rsidRPr="006008DB">
              <w:rPr>
                <w:b/>
              </w:rPr>
              <w:t>Discharge Limitation</w:t>
            </w:r>
          </w:p>
        </w:tc>
      </w:tr>
      <w:tr w:rsidR="00063478" w:rsidRPr="006008DB" w14:paraId="3FC4606F" w14:textId="77777777" w:rsidTr="00601A80">
        <w:trPr>
          <w:jc w:val="center"/>
        </w:trPr>
        <w:tc>
          <w:tcPr>
            <w:tcW w:w="4035" w:type="dxa"/>
            <w:tcBorders>
              <w:bottom w:val="single" w:sz="4" w:space="0" w:color="auto"/>
            </w:tcBorders>
            <w:vAlign w:val="center"/>
          </w:tcPr>
          <w:p w14:paraId="58DDA39A" w14:textId="7545EFFE" w:rsidR="00063478" w:rsidRPr="006008DB" w:rsidRDefault="00063478" w:rsidP="00110F8A">
            <w:pPr>
              <w:ind w:left="0"/>
              <w:rPr>
                <w:vertAlign w:val="superscript"/>
              </w:rPr>
            </w:pPr>
            <w:r w:rsidRPr="006008DB">
              <w:t>BOD</w:t>
            </w:r>
            <w:r w:rsidRPr="006008DB">
              <w:rPr>
                <w:vertAlign w:val="subscript"/>
              </w:rPr>
              <w:t xml:space="preserve">5 </w:t>
            </w:r>
            <w:r w:rsidRPr="006008DB">
              <w:t>Loading Rate</w:t>
            </w:r>
            <w:r w:rsidR="00601A80">
              <w:t xml:space="preserve"> </w:t>
            </w:r>
            <w:r w:rsidR="00601A80" w:rsidRPr="00601A80">
              <w:rPr>
                <w:vertAlign w:val="superscript"/>
              </w:rPr>
              <w:t>a</w:t>
            </w:r>
          </w:p>
        </w:tc>
        <w:tc>
          <w:tcPr>
            <w:tcW w:w="1879" w:type="dxa"/>
            <w:tcBorders>
              <w:bottom w:val="single" w:sz="4" w:space="0" w:color="auto"/>
            </w:tcBorders>
          </w:tcPr>
          <w:p w14:paraId="49DA3618" w14:textId="77777777" w:rsidR="00063478" w:rsidRPr="006008DB" w:rsidRDefault="00063478" w:rsidP="00110F8A">
            <w:pPr>
              <w:ind w:left="0"/>
              <w:jc w:val="center"/>
            </w:pPr>
            <w:r w:rsidRPr="006008DB">
              <w:t>pounds/acre/day (</w:t>
            </w:r>
            <w:proofErr w:type="spellStart"/>
            <w:r w:rsidRPr="006008DB">
              <w:t>lbs</w:t>
            </w:r>
            <w:proofErr w:type="spellEnd"/>
            <w:r w:rsidRPr="006008DB">
              <w:t>/acre/day)</w:t>
            </w:r>
          </w:p>
        </w:tc>
        <w:tc>
          <w:tcPr>
            <w:tcW w:w="2981" w:type="dxa"/>
            <w:tcBorders>
              <w:bottom w:val="single" w:sz="4" w:space="0" w:color="auto"/>
            </w:tcBorders>
            <w:vAlign w:val="center"/>
          </w:tcPr>
          <w:p w14:paraId="535A06D1" w14:textId="77777777" w:rsidR="00063478" w:rsidRPr="006008DB" w:rsidRDefault="00063478" w:rsidP="00110F8A">
            <w:pPr>
              <w:ind w:left="0"/>
              <w:jc w:val="center"/>
            </w:pPr>
            <w:r w:rsidRPr="006008DB">
              <w:t>100</w:t>
            </w:r>
          </w:p>
        </w:tc>
      </w:tr>
      <w:tr w:rsidR="00063478" w:rsidRPr="006008DB" w14:paraId="782A538D" w14:textId="77777777" w:rsidTr="00601A80">
        <w:trPr>
          <w:trHeight w:val="332"/>
          <w:jc w:val="center"/>
        </w:trPr>
        <w:tc>
          <w:tcPr>
            <w:tcW w:w="4035" w:type="dxa"/>
            <w:tcBorders>
              <w:top w:val="single" w:sz="4" w:space="0" w:color="auto"/>
              <w:bottom w:val="double" w:sz="4" w:space="0" w:color="auto"/>
            </w:tcBorders>
          </w:tcPr>
          <w:p w14:paraId="6BB45A5D" w14:textId="77777777" w:rsidR="00063478" w:rsidRPr="006008DB" w:rsidRDefault="00063478" w:rsidP="00110F8A">
            <w:pPr>
              <w:ind w:left="0"/>
              <w:jc w:val="both"/>
            </w:pPr>
            <w:r w:rsidRPr="006008DB">
              <w:t>pH</w:t>
            </w:r>
          </w:p>
        </w:tc>
        <w:tc>
          <w:tcPr>
            <w:tcW w:w="1879" w:type="dxa"/>
            <w:tcBorders>
              <w:top w:val="single" w:sz="4" w:space="0" w:color="auto"/>
              <w:bottom w:val="double" w:sz="4" w:space="0" w:color="auto"/>
            </w:tcBorders>
          </w:tcPr>
          <w:p w14:paraId="00FB8C0A" w14:textId="77777777" w:rsidR="00063478" w:rsidRPr="006008DB" w:rsidRDefault="00063478" w:rsidP="00F04A0A">
            <w:pPr>
              <w:rPr>
                <w:vertAlign w:val="superscript"/>
              </w:rPr>
            </w:pPr>
            <w:r w:rsidRPr="006008DB">
              <w:t>s.u.</w:t>
            </w:r>
            <w:r w:rsidRPr="006008DB">
              <w:rPr>
                <w:vertAlign w:val="superscript"/>
              </w:rPr>
              <w:t>19</w:t>
            </w:r>
          </w:p>
        </w:tc>
        <w:tc>
          <w:tcPr>
            <w:tcW w:w="2981" w:type="dxa"/>
            <w:tcBorders>
              <w:top w:val="single" w:sz="4" w:space="0" w:color="auto"/>
              <w:bottom w:val="double" w:sz="4" w:space="0" w:color="auto"/>
            </w:tcBorders>
            <w:vAlign w:val="center"/>
          </w:tcPr>
          <w:p w14:paraId="4D37FE79" w14:textId="77777777" w:rsidR="00063478" w:rsidRPr="006008DB" w:rsidRDefault="00063478" w:rsidP="00110F8A">
            <w:pPr>
              <w:ind w:left="0"/>
              <w:jc w:val="center"/>
            </w:pPr>
            <w:r w:rsidRPr="006008DB">
              <w:t>6.0 min to 9.0 max</w:t>
            </w:r>
          </w:p>
        </w:tc>
      </w:tr>
      <w:tr w:rsidR="00601A80" w:rsidRPr="006008DB" w14:paraId="174AB84C" w14:textId="77777777" w:rsidTr="00601A80">
        <w:trPr>
          <w:trHeight w:val="332"/>
          <w:jc w:val="center"/>
        </w:trPr>
        <w:tc>
          <w:tcPr>
            <w:tcW w:w="8895" w:type="dxa"/>
            <w:gridSpan w:val="3"/>
            <w:tcBorders>
              <w:top w:val="double" w:sz="4" w:space="0" w:color="auto"/>
              <w:left w:val="nil"/>
              <w:bottom w:val="single" w:sz="4" w:space="0" w:color="auto"/>
              <w:right w:val="nil"/>
            </w:tcBorders>
          </w:tcPr>
          <w:p w14:paraId="742DACCA" w14:textId="79667738" w:rsidR="00601A80" w:rsidRPr="00674E41" w:rsidRDefault="00601A80" w:rsidP="00362D97">
            <w:pPr>
              <w:pStyle w:val="OrderItem"/>
              <w:numPr>
                <w:ilvl w:val="0"/>
                <w:numId w:val="77"/>
              </w:numPr>
              <w:spacing w:after="0"/>
              <w:ind w:left="330" w:hanging="330"/>
              <w:rPr>
                <w:sz w:val="22"/>
                <w:szCs w:val="22"/>
              </w:rPr>
            </w:pPr>
            <w:r w:rsidRPr="00674E41">
              <w:rPr>
                <w:sz w:val="22"/>
                <w:szCs w:val="22"/>
              </w:rPr>
              <w:t xml:space="preserve">The BOD loading rate shall be calculated using the formula in </w:t>
            </w:r>
            <w:r w:rsidRPr="00674E41">
              <w:rPr>
                <w:b/>
                <w:color w:val="000000" w:themeColor="text1"/>
                <w:sz w:val="22"/>
                <w:szCs w:val="22"/>
              </w:rPr>
              <w:t>section III.G</w:t>
            </w:r>
            <w:r w:rsidRPr="00674E41">
              <w:rPr>
                <w:color w:val="000000" w:themeColor="text1"/>
                <w:sz w:val="22"/>
                <w:szCs w:val="22"/>
              </w:rPr>
              <w:t xml:space="preserve"> </w:t>
            </w:r>
            <w:r w:rsidRPr="00674E41">
              <w:rPr>
                <w:sz w:val="22"/>
                <w:szCs w:val="22"/>
              </w:rPr>
              <w:t>of the Monitoring and Report Program (</w:t>
            </w:r>
            <w:r w:rsidRPr="00674E41">
              <w:rPr>
                <w:b/>
                <w:sz w:val="22"/>
                <w:szCs w:val="22"/>
              </w:rPr>
              <w:t>Attachment A</w:t>
            </w:r>
            <w:r w:rsidRPr="00674E41">
              <w:rPr>
                <w:sz w:val="22"/>
                <w:szCs w:val="22"/>
              </w:rPr>
              <w:t>).</w:t>
            </w:r>
          </w:p>
        </w:tc>
      </w:tr>
    </w:tbl>
    <w:p w14:paraId="798BCB90" w14:textId="22127C21" w:rsidR="008B0B0C" w:rsidRDefault="008B0B0C" w:rsidP="00EC046D">
      <w:pPr>
        <w:pStyle w:val="OrderItem"/>
        <w:spacing w:after="0"/>
        <w:ind w:left="1080" w:firstLine="0"/>
        <w:rPr>
          <w:szCs w:val="24"/>
        </w:rPr>
      </w:pPr>
    </w:p>
    <w:p w14:paraId="3A30C279" w14:textId="77777777" w:rsidR="008B0B0C" w:rsidRDefault="008B0B0C">
      <w:pPr>
        <w:spacing w:after="200" w:line="276" w:lineRule="auto"/>
        <w:ind w:left="0"/>
        <w:rPr>
          <w:rFonts w:eastAsia="Times New Roman"/>
          <w:snapToGrid w:val="0"/>
        </w:rPr>
      </w:pPr>
      <w:r>
        <w:br w:type="page"/>
      </w:r>
    </w:p>
    <w:p w14:paraId="7BB4FFD4" w14:textId="0A37C3B7" w:rsidR="00EC046D" w:rsidRDefault="00063478" w:rsidP="00362D97">
      <w:pPr>
        <w:pStyle w:val="ListParagraph"/>
        <w:numPr>
          <w:ilvl w:val="0"/>
          <w:numId w:val="53"/>
        </w:numPr>
        <w:spacing w:after="120"/>
        <w:ind w:left="720"/>
        <w:contextualSpacing w:val="0"/>
        <w:rPr>
          <w:b/>
        </w:rPr>
      </w:pPr>
      <w:r w:rsidRPr="00EC046D">
        <w:rPr>
          <w:b/>
        </w:rPr>
        <w:t xml:space="preserve">Effluent Limitations that Apply to Secondary </w:t>
      </w:r>
      <w:r w:rsidR="00CE008C">
        <w:rPr>
          <w:b/>
        </w:rPr>
        <w:t xml:space="preserve">Wastewater </w:t>
      </w:r>
      <w:r w:rsidRPr="00EC046D">
        <w:rPr>
          <w:b/>
        </w:rPr>
        <w:t>Treatment Systems</w:t>
      </w:r>
    </w:p>
    <w:p w14:paraId="16506BB9" w14:textId="2AEBA5AB" w:rsidR="00063478" w:rsidRPr="00EC046D" w:rsidRDefault="00063478" w:rsidP="00362D97">
      <w:pPr>
        <w:pStyle w:val="ListParagraph"/>
        <w:numPr>
          <w:ilvl w:val="0"/>
          <w:numId w:val="55"/>
        </w:numPr>
        <w:rPr>
          <w:b/>
        </w:rPr>
      </w:pPr>
      <w:r w:rsidRPr="00EC046D">
        <w:t>Wine</w:t>
      </w:r>
      <w:r w:rsidR="008B0B0C">
        <w:t>ries enrolled under Tier</w:t>
      </w:r>
      <w:r w:rsidRPr="00EC046D">
        <w:t xml:space="preserve"> 2 and</w:t>
      </w:r>
      <w:r w:rsidR="008B0B0C">
        <w:t xml:space="preserve"> Tier</w:t>
      </w:r>
      <w:r w:rsidRPr="00EC046D">
        <w:t xml:space="preserve"> 3 </w:t>
      </w:r>
      <w:r w:rsidR="008B0B0C">
        <w:t xml:space="preserve">(that discharge greater than 1,500 gallons per day) </w:t>
      </w:r>
      <w:r w:rsidRPr="00EC046D">
        <w:t xml:space="preserve">of this Order that are implementing secondary wastewater treatment methods </w:t>
      </w:r>
      <w:r w:rsidR="00DB1559" w:rsidRPr="00EC046D">
        <w:t xml:space="preserve">shall </w:t>
      </w:r>
      <w:r w:rsidRPr="00EC046D">
        <w:t xml:space="preserve">meet the effluent limitations in </w:t>
      </w:r>
      <w:r w:rsidR="00F6686F">
        <w:rPr>
          <w:b/>
        </w:rPr>
        <w:t>Table 3</w:t>
      </w:r>
      <w:r w:rsidRPr="00EC046D">
        <w:t xml:space="preserve">. </w:t>
      </w:r>
    </w:p>
    <w:p w14:paraId="26415739" w14:textId="77777777" w:rsidR="00063478" w:rsidRPr="006008DB" w:rsidRDefault="00063478" w:rsidP="00063478"/>
    <w:p w14:paraId="43749B26" w14:textId="30DA2C1E" w:rsidR="00D35F67" w:rsidRDefault="001C6387" w:rsidP="00D35F67">
      <w:pPr>
        <w:pStyle w:val="Caption"/>
        <w:spacing w:after="0"/>
      </w:pPr>
      <w:bookmarkStart w:id="49" w:name="_Toc487107728"/>
      <w:r>
        <w:t xml:space="preserve">Table </w:t>
      </w:r>
      <w:r w:rsidR="00D35F67">
        <w:fldChar w:fldCharType="begin"/>
      </w:r>
      <w:r w:rsidR="00D35F67">
        <w:instrText xml:space="preserve"> SEQ Table \* ARABIC </w:instrText>
      </w:r>
      <w:r w:rsidR="00D35F67">
        <w:fldChar w:fldCharType="separate"/>
      </w:r>
      <w:r w:rsidR="00512EAC">
        <w:rPr>
          <w:noProof/>
        </w:rPr>
        <w:t>3</w:t>
      </w:r>
      <w:r w:rsidR="00D35F67">
        <w:rPr>
          <w:noProof/>
        </w:rPr>
        <w:fldChar w:fldCharType="end"/>
      </w:r>
      <w:r>
        <w:t xml:space="preserve">: </w:t>
      </w:r>
      <w:r w:rsidRPr="006008DB">
        <w:t xml:space="preserve">Technology-based effluent limits for </w:t>
      </w:r>
    </w:p>
    <w:p w14:paraId="0B8D4758" w14:textId="78D5F713" w:rsidR="001C6387" w:rsidRPr="006008DB" w:rsidRDefault="001C6387" w:rsidP="001C6387">
      <w:pPr>
        <w:pStyle w:val="Caption"/>
      </w:pPr>
      <w:proofErr w:type="gramStart"/>
      <w:r w:rsidRPr="006008DB">
        <w:t>secondary</w:t>
      </w:r>
      <w:proofErr w:type="gramEnd"/>
      <w:r>
        <w:t xml:space="preserve"> wastewater</w:t>
      </w:r>
      <w:r w:rsidRPr="006008DB">
        <w:t xml:space="preserve"> treatment systems</w:t>
      </w:r>
      <w:bookmarkEnd w:id="49"/>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068"/>
        <w:gridCol w:w="1440"/>
        <w:gridCol w:w="3348"/>
      </w:tblGrid>
      <w:tr w:rsidR="005A3CE8" w:rsidRPr="006008DB" w14:paraId="53381065" w14:textId="77777777" w:rsidTr="00601A80">
        <w:trPr>
          <w:trHeight w:val="402"/>
          <w:jc w:val="center"/>
        </w:trPr>
        <w:tc>
          <w:tcPr>
            <w:tcW w:w="8856" w:type="dxa"/>
            <w:gridSpan w:val="3"/>
            <w:tcBorders>
              <w:top w:val="double" w:sz="4" w:space="0" w:color="auto"/>
              <w:bottom w:val="double" w:sz="4" w:space="0" w:color="auto"/>
            </w:tcBorders>
            <w:vAlign w:val="center"/>
          </w:tcPr>
          <w:p w14:paraId="29B9AD3F" w14:textId="279629A0" w:rsidR="00063478" w:rsidRPr="005A3CE8" w:rsidRDefault="00063478" w:rsidP="00601A80">
            <w:pPr>
              <w:jc w:val="center"/>
              <w:rPr>
                <w:b/>
              </w:rPr>
            </w:pPr>
            <w:r w:rsidRPr="006008DB">
              <w:rPr>
                <w:b/>
              </w:rPr>
              <w:t>Secon</w:t>
            </w:r>
            <w:r w:rsidR="00AF0DDF">
              <w:rPr>
                <w:b/>
              </w:rPr>
              <w:t xml:space="preserve">dary </w:t>
            </w:r>
            <w:r w:rsidR="00601A80">
              <w:rPr>
                <w:b/>
              </w:rPr>
              <w:t xml:space="preserve">Wastewater </w:t>
            </w:r>
            <w:r w:rsidR="00AF0DDF">
              <w:rPr>
                <w:b/>
              </w:rPr>
              <w:t xml:space="preserve">Treatment System </w:t>
            </w:r>
            <w:r w:rsidR="00601A80">
              <w:rPr>
                <w:b/>
              </w:rPr>
              <w:t>Effluent Limitations</w:t>
            </w:r>
          </w:p>
        </w:tc>
      </w:tr>
      <w:tr w:rsidR="005A3CE8" w:rsidRPr="006008DB" w14:paraId="3DB04259" w14:textId="77777777" w:rsidTr="00CE6ED3">
        <w:trPr>
          <w:jc w:val="center"/>
        </w:trPr>
        <w:tc>
          <w:tcPr>
            <w:tcW w:w="4068" w:type="dxa"/>
            <w:tcBorders>
              <w:top w:val="double" w:sz="4" w:space="0" w:color="auto"/>
              <w:bottom w:val="double" w:sz="4" w:space="0" w:color="auto"/>
            </w:tcBorders>
          </w:tcPr>
          <w:p w14:paraId="28D9C99C" w14:textId="77777777" w:rsidR="00063478" w:rsidRPr="006008DB" w:rsidRDefault="00063478" w:rsidP="00AF0DDF">
            <w:pPr>
              <w:ind w:left="0"/>
              <w:jc w:val="center"/>
              <w:rPr>
                <w:b/>
              </w:rPr>
            </w:pPr>
            <w:r w:rsidRPr="006008DB">
              <w:rPr>
                <w:b/>
              </w:rPr>
              <w:t>Constituent</w:t>
            </w:r>
          </w:p>
        </w:tc>
        <w:tc>
          <w:tcPr>
            <w:tcW w:w="1440" w:type="dxa"/>
            <w:tcBorders>
              <w:top w:val="double" w:sz="4" w:space="0" w:color="auto"/>
              <w:bottom w:val="double" w:sz="4" w:space="0" w:color="auto"/>
            </w:tcBorders>
          </w:tcPr>
          <w:p w14:paraId="4618341F" w14:textId="77777777" w:rsidR="00063478" w:rsidRPr="006008DB" w:rsidRDefault="00063478" w:rsidP="00AF0DDF">
            <w:pPr>
              <w:ind w:left="0"/>
              <w:jc w:val="center"/>
              <w:rPr>
                <w:b/>
              </w:rPr>
            </w:pPr>
            <w:r w:rsidRPr="006008DB">
              <w:rPr>
                <w:b/>
              </w:rPr>
              <w:t>Unit</w:t>
            </w:r>
          </w:p>
        </w:tc>
        <w:tc>
          <w:tcPr>
            <w:tcW w:w="3348" w:type="dxa"/>
            <w:tcBorders>
              <w:top w:val="double" w:sz="4" w:space="0" w:color="auto"/>
              <w:bottom w:val="double" w:sz="4" w:space="0" w:color="auto"/>
            </w:tcBorders>
          </w:tcPr>
          <w:p w14:paraId="299469EC" w14:textId="77777777" w:rsidR="00063478" w:rsidRPr="006008DB" w:rsidRDefault="00063478" w:rsidP="00AF0DDF">
            <w:pPr>
              <w:ind w:left="0"/>
              <w:jc w:val="center"/>
              <w:rPr>
                <w:b/>
              </w:rPr>
            </w:pPr>
            <w:r w:rsidRPr="006008DB">
              <w:rPr>
                <w:b/>
              </w:rPr>
              <w:t>Discharge Limitation</w:t>
            </w:r>
          </w:p>
        </w:tc>
      </w:tr>
      <w:tr w:rsidR="005A3CE8" w:rsidRPr="006008DB" w14:paraId="40B823D8" w14:textId="77777777" w:rsidTr="00E605F7">
        <w:trPr>
          <w:trHeight w:val="402"/>
          <w:jc w:val="center"/>
        </w:trPr>
        <w:tc>
          <w:tcPr>
            <w:tcW w:w="4068" w:type="dxa"/>
            <w:tcBorders>
              <w:top w:val="double" w:sz="4" w:space="0" w:color="auto"/>
            </w:tcBorders>
            <w:vAlign w:val="center"/>
          </w:tcPr>
          <w:p w14:paraId="2DEE3257" w14:textId="77777777" w:rsidR="00063478" w:rsidRPr="006008DB" w:rsidRDefault="00063478" w:rsidP="00AF0DDF">
            <w:pPr>
              <w:ind w:left="0"/>
            </w:pPr>
            <w:r w:rsidRPr="006008DB">
              <w:t>Biochemical Oxygen Demand</w:t>
            </w:r>
          </w:p>
        </w:tc>
        <w:tc>
          <w:tcPr>
            <w:tcW w:w="1440" w:type="dxa"/>
            <w:tcBorders>
              <w:top w:val="double" w:sz="4" w:space="0" w:color="auto"/>
            </w:tcBorders>
            <w:vAlign w:val="center"/>
          </w:tcPr>
          <w:p w14:paraId="260DFD90" w14:textId="77777777" w:rsidR="00063478" w:rsidRPr="006008DB" w:rsidRDefault="00063478" w:rsidP="00AF0DDF">
            <w:pPr>
              <w:ind w:left="0"/>
              <w:jc w:val="center"/>
            </w:pPr>
            <w:r w:rsidRPr="006008DB">
              <w:t>mg/L</w:t>
            </w:r>
          </w:p>
        </w:tc>
        <w:tc>
          <w:tcPr>
            <w:tcW w:w="3348" w:type="dxa"/>
            <w:tcBorders>
              <w:top w:val="double" w:sz="4" w:space="0" w:color="auto"/>
            </w:tcBorders>
            <w:vAlign w:val="center"/>
          </w:tcPr>
          <w:p w14:paraId="06889491" w14:textId="02061C86" w:rsidR="00063478" w:rsidRPr="006008DB" w:rsidRDefault="00063478" w:rsidP="00AF0DDF">
            <w:pPr>
              <w:ind w:left="0"/>
            </w:pPr>
            <w:r w:rsidRPr="006008DB">
              <w:t xml:space="preserve">45 </w:t>
            </w:r>
            <w:r w:rsidR="00190CAF">
              <w:t>(monthly average)</w:t>
            </w:r>
          </w:p>
        </w:tc>
      </w:tr>
      <w:tr w:rsidR="005A3CE8" w:rsidRPr="006008DB" w14:paraId="7E0D6FA6" w14:textId="77777777" w:rsidTr="00190CAF">
        <w:trPr>
          <w:trHeight w:val="710"/>
          <w:jc w:val="center"/>
        </w:trPr>
        <w:tc>
          <w:tcPr>
            <w:tcW w:w="4068" w:type="dxa"/>
            <w:vAlign w:val="center"/>
          </w:tcPr>
          <w:p w14:paraId="7343E389" w14:textId="77777777" w:rsidR="00063478" w:rsidRPr="006008DB" w:rsidRDefault="00063478" w:rsidP="00AF0DDF">
            <w:pPr>
              <w:ind w:left="0"/>
            </w:pPr>
            <w:r w:rsidRPr="006008DB">
              <w:t>Total Suspended Solids</w:t>
            </w:r>
          </w:p>
        </w:tc>
        <w:tc>
          <w:tcPr>
            <w:tcW w:w="1440" w:type="dxa"/>
            <w:vAlign w:val="center"/>
          </w:tcPr>
          <w:p w14:paraId="0E7D01AC" w14:textId="77777777" w:rsidR="00063478" w:rsidRPr="006008DB" w:rsidRDefault="00063478" w:rsidP="00AF0DDF">
            <w:pPr>
              <w:ind w:left="0"/>
              <w:jc w:val="center"/>
            </w:pPr>
            <w:r w:rsidRPr="006008DB">
              <w:t>mg/L</w:t>
            </w:r>
          </w:p>
        </w:tc>
        <w:tc>
          <w:tcPr>
            <w:tcW w:w="3348" w:type="dxa"/>
          </w:tcPr>
          <w:p w14:paraId="6CB5E38C" w14:textId="295A6E68" w:rsidR="00063478" w:rsidRPr="006008DB" w:rsidRDefault="00063478" w:rsidP="00AF0DDF">
            <w:pPr>
              <w:ind w:left="0"/>
            </w:pPr>
            <w:r w:rsidRPr="006008DB">
              <w:t>30 (monthly average),</w:t>
            </w:r>
          </w:p>
          <w:p w14:paraId="18E75751" w14:textId="77777777" w:rsidR="00063478" w:rsidRPr="006008DB" w:rsidRDefault="00063478" w:rsidP="00AF0DDF">
            <w:pPr>
              <w:ind w:left="0"/>
            </w:pPr>
            <w:r w:rsidRPr="006008DB">
              <w:t>45 (7-day average)</w:t>
            </w:r>
          </w:p>
        </w:tc>
      </w:tr>
    </w:tbl>
    <w:p w14:paraId="64814078" w14:textId="77777777" w:rsidR="00063478" w:rsidRPr="006008DB" w:rsidRDefault="00063478" w:rsidP="00063478"/>
    <w:p w14:paraId="202C40DB" w14:textId="1D0FC813" w:rsidR="00737781" w:rsidRDefault="00737781" w:rsidP="00362D97">
      <w:pPr>
        <w:pStyle w:val="ListParagraph"/>
        <w:numPr>
          <w:ilvl w:val="0"/>
          <w:numId w:val="53"/>
        </w:numPr>
        <w:spacing w:after="120"/>
        <w:ind w:left="720"/>
        <w:contextualSpacing w:val="0"/>
        <w:rPr>
          <w:b/>
        </w:rPr>
      </w:pPr>
      <w:bookmarkStart w:id="50" w:name="_Toc470706565"/>
      <w:r w:rsidRPr="00737781">
        <w:rPr>
          <w:b/>
        </w:rPr>
        <w:t xml:space="preserve">Effluent Limitations that Apply to Pond Systems </w:t>
      </w:r>
    </w:p>
    <w:p w14:paraId="5CC0E28E" w14:textId="430F9D28" w:rsidR="00737781" w:rsidRDefault="00737781" w:rsidP="00362D97">
      <w:pPr>
        <w:pStyle w:val="ListParagraph"/>
        <w:numPr>
          <w:ilvl w:val="0"/>
          <w:numId w:val="65"/>
        </w:numPr>
        <w:spacing w:after="120"/>
        <w:ind w:left="1080"/>
      </w:pPr>
      <w:r w:rsidRPr="00737781">
        <w:t xml:space="preserve">Wineries that use storage or treatment ponds shall meet the limitations in </w:t>
      </w:r>
      <w:r w:rsidR="00F6686F">
        <w:rPr>
          <w:b/>
        </w:rPr>
        <w:t>Table 4</w:t>
      </w:r>
      <w:r>
        <w:rPr>
          <w:b/>
        </w:rPr>
        <w:t xml:space="preserve"> </w:t>
      </w:r>
      <w:r w:rsidRPr="00737781">
        <w:t>within the pond.</w:t>
      </w:r>
    </w:p>
    <w:p w14:paraId="02ED118E" w14:textId="6F17FF14" w:rsidR="001C6387" w:rsidRPr="001C6387" w:rsidRDefault="001C6387" w:rsidP="001C6387">
      <w:pPr>
        <w:pStyle w:val="Caption"/>
      </w:pPr>
      <w:bookmarkStart w:id="51" w:name="_Toc487107729"/>
      <w:bookmarkEnd w:id="50"/>
      <w:r w:rsidRPr="001C6387">
        <w:t xml:space="preserve">Table </w:t>
      </w:r>
      <w:r w:rsidR="00D35F67">
        <w:fldChar w:fldCharType="begin"/>
      </w:r>
      <w:r w:rsidR="00D35F67">
        <w:instrText xml:space="preserve"> SEQ Table \* ARABIC </w:instrText>
      </w:r>
      <w:r w:rsidR="00D35F67">
        <w:fldChar w:fldCharType="separate"/>
      </w:r>
      <w:r w:rsidR="00512EAC">
        <w:rPr>
          <w:noProof/>
        </w:rPr>
        <w:t>4</w:t>
      </w:r>
      <w:r w:rsidR="00D35F67">
        <w:rPr>
          <w:noProof/>
        </w:rPr>
        <w:fldChar w:fldCharType="end"/>
      </w:r>
      <w:r w:rsidRPr="001C6387">
        <w:t>: Pond Limitations</w:t>
      </w:r>
      <w:bookmarkEnd w:id="51"/>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49"/>
        <w:gridCol w:w="1457"/>
        <w:gridCol w:w="2782"/>
      </w:tblGrid>
      <w:tr w:rsidR="00063478" w:rsidRPr="006008DB" w14:paraId="43BB2448" w14:textId="77777777" w:rsidTr="00CE6ED3">
        <w:trPr>
          <w:jc w:val="center"/>
        </w:trPr>
        <w:tc>
          <w:tcPr>
            <w:tcW w:w="4149" w:type="dxa"/>
            <w:tcBorders>
              <w:top w:val="double" w:sz="4" w:space="0" w:color="auto"/>
              <w:bottom w:val="double" w:sz="4" w:space="0" w:color="auto"/>
            </w:tcBorders>
          </w:tcPr>
          <w:p w14:paraId="3C43532C" w14:textId="77777777" w:rsidR="00063478" w:rsidRPr="006008DB" w:rsidRDefault="00063478" w:rsidP="00F04A0A">
            <w:pPr>
              <w:pStyle w:val="OrderItem"/>
              <w:spacing w:after="0"/>
              <w:ind w:left="0" w:firstLine="0"/>
              <w:jc w:val="center"/>
              <w:rPr>
                <w:b/>
                <w:szCs w:val="24"/>
              </w:rPr>
            </w:pPr>
            <w:r w:rsidRPr="006008DB">
              <w:rPr>
                <w:b/>
                <w:szCs w:val="24"/>
              </w:rPr>
              <w:t>Constituent</w:t>
            </w:r>
          </w:p>
        </w:tc>
        <w:tc>
          <w:tcPr>
            <w:tcW w:w="1457" w:type="dxa"/>
            <w:tcBorders>
              <w:top w:val="double" w:sz="4" w:space="0" w:color="auto"/>
              <w:bottom w:val="double" w:sz="4" w:space="0" w:color="auto"/>
            </w:tcBorders>
          </w:tcPr>
          <w:p w14:paraId="7DDA8AA9" w14:textId="77777777" w:rsidR="00063478" w:rsidRPr="006008DB" w:rsidRDefault="00063478" w:rsidP="00F04A0A">
            <w:pPr>
              <w:pStyle w:val="OrderItem"/>
              <w:spacing w:after="0"/>
              <w:ind w:left="0" w:firstLine="0"/>
              <w:jc w:val="center"/>
              <w:rPr>
                <w:b/>
                <w:szCs w:val="24"/>
              </w:rPr>
            </w:pPr>
            <w:r w:rsidRPr="006008DB">
              <w:rPr>
                <w:b/>
                <w:szCs w:val="24"/>
              </w:rPr>
              <w:t>Unit</w:t>
            </w:r>
          </w:p>
        </w:tc>
        <w:tc>
          <w:tcPr>
            <w:tcW w:w="2782" w:type="dxa"/>
            <w:tcBorders>
              <w:top w:val="double" w:sz="4" w:space="0" w:color="auto"/>
              <w:bottom w:val="double" w:sz="4" w:space="0" w:color="auto"/>
            </w:tcBorders>
          </w:tcPr>
          <w:p w14:paraId="440660C4" w14:textId="77777777" w:rsidR="00063478" w:rsidRPr="006008DB" w:rsidRDefault="00063478" w:rsidP="00F04A0A">
            <w:pPr>
              <w:pStyle w:val="OrderItem"/>
              <w:spacing w:after="0"/>
              <w:ind w:left="0" w:firstLine="0"/>
              <w:jc w:val="center"/>
              <w:rPr>
                <w:b/>
                <w:szCs w:val="24"/>
              </w:rPr>
            </w:pPr>
            <w:r w:rsidRPr="006008DB">
              <w:rPr>
                <w:b/>
                <w:szCs w:val="24"/>
              </w:rPr>
              <w:t>Limitation</w:t>
            </w:r>
          </w:p>
        </w:tc>
      </w:tr>
      <w:tr w:rsidR="00063478" w:rsidRPr="006008DB" w14:paraId="44483EE6" w14:textId="77777777" w:rsidTr="00CE6ED3">
        <w:trPr>
          <w:jc w:val="center"/>
        </w:trPr>
        <w:tc>
          <w:tcPr>
            <w:tcW w:w="4149" w:type="dxa"/>
            <w:tcBorders>
              <w:top w:val="double" w:sz="4" w:space="0" w:color="auto"/>
            </w:tcBorders>
          </w:tcPr>
          <w:p w14:paraId="7D6BB944" w14:textId="77777777" w:rsidR="00063478" w:rsidRPr="006008DB" w:rsidRDefault="00063478" w:rsidP="00F04A0A">
            <w:pPr>
              <w:pStyle w:val="OrderItem"/>
              <w:spacing w:after="0"/>
              <w:ind w:left="0" w:firstLine="0"/>
              <w:rPr>
                <w:szCs w:val="24"/>
              </w:rPr>
            </w:pPr>
            <w:r w:rsidRPr="006008DB">
              <w:rPr>
                <w:szCs w:val="24"/>
              </w:rPr>
              <w:t>Dissolved Oxygen</w:t>
            </w:r>
          </w:p>
        </w:tc>
        <w:tc>
          <w:tcPr>
            <w:tcW w:w="1457" w:type="dxa"/>
            <w:tcBorders>
              <w:top w:val="double" w:sz="4" w:space="0" w:color="auto"/>
            </w:tcBorders>
          </w:tcPr>
          <w:p w14:paraId="28AF611D" w14:textId="77777777" w:rsidR="00063478" w:rsidRPr="006008DB" w:rsidRDefault="00063478" w:rsidP="00F04A0A">
            <w:pPr>
              <w:pStyle w:val="OrderItem"/>
              <w:spacing w:after="0"/>
              <w:ind w:left="0" w:firstLine="0"/>
              <w:rPr>
                <w:szCs w:val="24"/>
              </w:rPr>
            </w:pPr>
            <w:r w:rsidRPr="006008DB">
              <w:rPr>
                <w:szCs w:val="24"/>
              </w:rPr>
              <w:t>mg/L</w:t>
            </w:r>
          </w:p>
        </w:tc>
        <w:tc>
          <w:tcPr>
            <w:tcW w:w="2782" w:type="dxa"/>
            <w:tcBorders>
              <w:top w:val="double" w:sz="4" w:space="0" w:color="auto"/>
            </w:tcBorders>
          </w:tcPr>
          <w:p w14:paraId="6B2D4F4D" w14:textId="77777777" w:rsidR="00063478" w:rsidRPr="006008DB" w:rsidRDefault="00063478" w:rsidP="00F04A0A">
            <w:pPr>
              <w:pStyle w:val="OrderItem"/>
              <w:spacing w:after="0"/>
              <w:ind w:left="0" w:firstLine="0"/>
              <w:rPr>
                <w:szCs w:val="24"/>
              </w:rPr>
            </w:pPr>
            <w:r w:rsidRPr="006008DB">
              <w:rPr>
                <w:szCs w:val="24"/>
              </w:rPr>
              <w:t>2.0 minimum</w:t>
            </w:r>
          </w:p>
        </w:tc>
      </w:tr>
      <w:tr w:rsidR="00063478" w:rsidRPr="006008DB" w14:paraId="7C7EB4EB" w14:textId="77777777" w:rsidTr="00CE6ED3">
        <w:trPr>
          <w:jc w:val="center"/>
        </w:trPr>
        <w:tc>
          <w:tcPr>
            <w:tcW w:w="4149" w:type="dxa"/>
          </w:tcPr>
          <w:p w14:paraId="22A1D60C" w14:textId="77777777" w:rsidR="00063478" w:rsidRPr="006008DB" w:rsidRDefault="00063478" w:rsidP="00F04A0A">
            <w:pPr>
              <w:pStyle w:val="OrderItem"/>
              <w:spacing w:after="0"/>
              <w:ind w:left="0" w:firstLine="0"/>
              <w:rPr>
                <w:szCs w:val="24"/>
              </w:rPr>
            </w:pPr>
            <w:r w:rsidRPr="006008DB">
              <w:rPr>
                <w:szCs w:val="24"/>
              </w:rPr>
              <w:t>pH</w:t>
            </w:r>
          </w:p>
        </w:tc>
        <w:tc>
          <w:tcPr>
            <w:tcW w:w="1457" w:type="dxa"/>
          </w:tcPr>
          <w:p w14:paraId="359D51B1" w14:textId="77777777" w:rsidR="00063478" w:rsidRPr="006008DB" w:rsidRDefault="00063478" w:rsidP="00F04A0A">
            <w:pPr>
              <w:pStyle w:val="OrderItem"/>
              <w:spacing w:after="0"/>
              <w:ind w:left="0" w:firstLine="0"/>
              <w:rPr>
                <w:szCs w:val="24"/>
              </w:rPr>
            </w:pPr>
            <w:r w:rsidRPr="006008DB">
              <w:rPr>
                <w:szCs w:val="24"/>
              </w:rPr>
              <w:t>s.u.</w:t>
            </w:r>
          </w:p>
        </w:tc>
        <w:tc>
          <w:tcPr>
            <w:tcW w:w="2782" w:type="dxa"/>
          </w:tcPr>
          <w:p w14:paraId="6F53CA24" w14:textId="77777777" w:rsidR="00063478" w:rsidRPr="006008DB" w:rsidRDefault="00063478" w:rsidP="00F04A0A">
            <w:pPr>
              <w:pStyle w:val="OrderItem"/>
              <w:spacing w:after="0"/>
              <w:ind w:left="0" w:firstLine="0"/>
              <w:rPr>
                <w:szCs w:val="24"/>
              </w:rPr>
            </w:pPr>
            <w:r w:rsidRPr="006008DB">
              <w:rPr>
                <w:szCs w:val="24"/>
              </w:rPr>
              <w:t>6.0 min to 9.0 max</w:t>
            </w:r>
          </w:p>
        </w:tc>
      </w:tr>
      <w:tr w:rsidR="00063478" w:rsidRPr="006008DB" w14:paraId="295B44F8" w14:textId="77777777" w:rsidTr="00CE6ED3">
        <w:trPr>
          <w:jc w:val="center"/>
        </w:trPr>
        <w:tc>
          <w:tcPr>
            <w:tcW w:w="4149" w:type="dxa"/>
          </w:tcPr>
          <w:p w14:paraId="23EFA684" w14:textId="77777777" w:rsidR="00063478" w:rsidRPr="006008DB" w:rsidRDefault="00063478" w:rsidP="00F04A0A">
            <w:pPr>
              <w:pStyle w:val="OrderItem"/>
              <w:spacing w:after="0"/>
              <w:ind w:left="0" w:firstLine="0"/>
              <w:rPr>
                <w:szCs w:val="24"/>
              </w:rPr>
            </w:pPr>
            <w:r w:rsidRPr="006008DB">
              <w:rPr>
                <w:szCs w:val="24"/>
              </w:rPr>
              <w:t>Freeboard</w:t>
            </w:r>
          </w:p>
        </w:tc>
        <w:tc>
          <w:tcPr>
            <w:tcW w:w="1457" w:type="dxa"/>
          </w:tcPr>
          <w:p w14:paraId="3BD3D545" w14:textId="77777777" w:rsidR="00063478" w:rsidRPr="006008DB" w:rsidRDefault="00063478" w:rsidP="00F04A0A">
            <w:pPr>
              <w:pStyle w:val="OrderItem"/>
              <w:spacing w:after="0"/>
              <w:ind w:left="0" w:firstLine="0"/>
              <w:rPr>
                <w:szCs w:val="24"/>
              </w:rPr>
            </w:pPr>
            <w:r w:rsidRPr="006008DB">
              <w:rPr>
                <w:szCs w:val="24"/>
              </w:rPr>
              <w:t>feet</w:t>
            </w:r>
          </w:p>
        </w:tc>
        <w:tc>
          <w:tcPr>
            <w:tcW w:w="2782" w:type="dxa"/>
          </w:tcPr>
          <w:p w14:paraId="48A97E33" w14:textId="77777777" w:rsidR="00063478" w:rsidRPr="006008DB" w:rsidRDefault="00063478" w:rsidP="00F04A0A">
            <w:pPr>
              <w:pStyle w:val="OrderItem"/>
              <w:spacing w:after="0"/>
              <w:ind w:left="0" w:firstLine="0"/>
              <w:rPr>
                <w:szCs w:val="24"/>
              </w:rPr>
            </w:pPr>
            <w:r w:rsidRPr="006008DB">
              <w:rPr>
                <w:szCs w:val="24"/>
              </w:rPr>
              <w:t>2.0</w:t>
            </w:r>
          </w:p>
        </w:tc>
      </w:tr>
      <w:tr w:rsidR="00063478" w:rsidRPr="006008DB" w14:paraId="5E07C35D" w14:textId="77777777" w:rsidTr="00CE6ED3">
        <w:trPr>
          <w:jc w:val="center"/>
        </w:trPr>
        <w:tc>
          <w:tcPr>
            <w:tcW w:w="8388" w:type="dxa"/>
            <w:gridSpan w:val="3"/>
            <w:tcBorders>
              <w:top w:val="double" w:sz="4" w:space="0" w:color="auto"/>
              <w:bottom w:val="double" w:sz="4" w:space="0" w:color="auto"/>
            </w:tcBorders>
          </w:tcPr>
          <w:p w14:paraId="53AEEA74" w14:textId="77777777" w:rsidR="00063478" w:rsidRPr="006008DB" w:rsidRDefault="00063478" w:rsidP="00F04A0A">
            <w:pPr>
              <w:ind w:left="360"/>
              <w:jc w:val="center"/>
              <w:rPr>
                <w:b/>
              </w:rPr>
            </w:pPr>
            <w:r w:rsidRPr="006008DB">
              <w:rPr>
                <w:b/>
              </w:rPr>
              <w:t>Pond Treatment System</w:t>
            </w:r>
          </w:p>
          <w:p w14:paraId="7865374F" w14:textId="77777777" w:rsidR="00063478" w:rsidRPr="006008DB" w:rsidRDefault="00063478" w:rsidP="00F04A0A">
            <w:pPr>
              <w:pStyle w:val="OrderItem"/>
              <w:spacing w:after="0"/>
              <w:ind w:left="0" w:firstLine="0"/>
              <w:jc w:val="center"/>
              <w:rPr>
                <w:szCs w:val="24"/>
              </w:rPr>
            </w:pPr>
            <w:r w:rsidRPr="006008DB">
              <w:rPr>
                <w:szCs w:val="24"/>
              </w:rPr>
              <w:t>(if sole purpose for secondary treatment)</w:t>
            </w:r>
          </w:p>
        </w:tc>
      </w:tr>
      <w:tr w:rsidR="005A3CE8" w:rsidRPr="006008DB" w14:paraId="5FF3B7FB" w14:textId="77777777" w:rsidTr="00CE6ED3">
        <w:trPr>
          <w:trHeight w:val="372"/>
          <w:jc w:val="center"/>
        </w:trPr>
        <w:tc>
          <w:tcPr>
            <w:tcW w:w="4149" w:type="dxa"/>
            <w:tcBorders>
              <w:top w:val="double" w:sz="4" w:space="0" w:color="auto"/>
            </w:tcBorders>
            <w:vAlign w:val="center"/>
          </w:tcPr>
          <w:p w14:paraId="6ADEB5C0" w14:textId="77777777" w:rsidR="00063478" w:rsidRPr="006008DB" w:rsidRDefault="00063478" w:rsidP="00F04A0A">
            <w:pPr>
              <w:pStyle w:val="OrderItem"/>
              <w:spacing w:after="0"/>
              <w:ind w:left="0" w:firstLine="0"/>
              <w:rPr>
                <w:szCs w:val="24"/>
              </w:rPr>
            </w:pPr>
            <w:r w:rsidRPr="006008DB">
              <w:rPr>
                <w:szCs w:val="24"/>
              </w:rPr>
              <w:t>Total Suspended Solids</w:t>
            </w:r>
          </w:p>
        </w:tc>
        <w:tc>
          <w:tcPr>
            <w:tcW w:w="1457" w:type="dxa"/>
            <w:tcBorders>
              <w:top w:val="double" w:sz="4" w:space="0" w:color="auto"/>
            </w:tcBorders>
            <w:vAlign w:val="center"/>
          </w:tcPr>
          <w:p w14:paraId="7CEF8753" w14:textId="77777777" w:rsidR="00063478" w:rsidRPr="006008DB" w:rsidRDefault="00063478" w:rsidP="00F04A0A">
            <w:pPr>
              <w:pStyle w:val="OrderItem"/>
              <w:spacing w:after="0"/>
              <w:ind w:left="0" w:firstLine="0"/>
              <w:rPr>
                <w:szCs w:val="24"/>
              </w:rPr>
            </w:pPr>
            <w:r w:rsidRPr="006008DB">
              <w:rPr>
                <w:szCs w:val="24"/>
              </w:rPr>
              <w:t>mg/L</w:t>
            </w:r>
          </w:p>
        </w:tc>
        <w:tc>
          <w:tcPr>
            <w:tcW w:w="2782" w:type="dxa"/>
            <w:tcBorders>
              <w:top w:val="double" w:sz="4" w:space="0" w:color="auto"/>
            </w:tcBorders>
            <w:vAlign w:val="center"/>
          </w:tcPr>
          <w:p w14:paraId="0C276FAB" w14:textId="77777777" w:rsidR="00063478" w:rsidRPr="006008DB" w:rsidRDefault="00063478" w:rsidP="00F04A0A">
            <w:pPr>
              <w:pStyle w:val="OrderItem"/>
              <w:spacing w:after="0"/>
              <w:ind w:left="0" w:firstLine="0"/>
              <w:rPr>
                <w:szCs w:val="24"/>
              </w:rPr>
            </w:pPr>
            <w:r w:rsidRPr="006008DB">
              <w:rPr>
                <w:szCs w:val="24"/>
              </w:rPr>
              <w:t>95 (monthly average)</w:t>
            </w:r>
          </w:p>
        </w:tc>
      </w:tr>
    </w:tbl>
    <w:p w14:paraId="5486A262" w14:textId="1E160C4E" w:rsidR="00737781" w:rsidRDefault="00737781" w:rsidP="00362D97">
      <w:pPr>
        <w:pStyle w:val="ListParagraph"/>
        <w:numPr>
          <w:ilvl w:val="0"/>
          <w:numId w:val="53"/>
        </w:numPr>
        <w:spacing w:before="240" w:after="120"/>
        <w:ind w:left="720"/>
        <w:contextualSpacing w:val="0"/>
        <w:rPr>
          <w:b/>
        </w:rPr>
      </w:pPr>
      <w:r w:rsidRPr="00737781">
        <w:rPr>
          <w:b/>
        </w:rPr>
        <w:t>Nitrogen Mass Loading Effluent Limitations that Apply to Facilities Located Above Nitrate-Impacted Groundwater</w:t>
      </w:r>
      <w:r w:rsidR="00EF0288">
        <w:rPr>
          <w:b/>
        </w:rPr>
        <w:t xml:space="preserve"> –</w:t>
      </w:r>
      <w:r w:rsidR="00E45C8D">
        <w:rPr>
          <w:b/>
        </w:rPr>
        <w:t xml:space="preserve"> Tier 2, Tier 3, and New Tier 1</w:t>
      </w:r>
    </w:p>
    <w:p w14:paraId="77AA0E36" w14:textId="717FE868" w:rsidR="00063478" w:rsidRPr="006008DB" w:rsidRDefault="00063478" w:rsidP="00E45C8D">
      <w:pPr>
        <w:pStyle w:val="ListParagraph"/>
        <w:numPr>
          <w:ilvl w:val="0"/>
          <w:numId w:val="30"/>
        </w:numPr>
        <w:ind w:left="1080"/>
        <w:rPr>
          <w:szCs w:val="24"/>
        </w:rPr>
      </w:pPr>
      <w:r w:rsidRPr="006008DB">
        <w:rPr>
          <w:szCs w:val="24"/>
        </w:rPr>
        <w:t>W</w:t>
      </w:r>
      <w:r w:rsidR="00D9031A">
        <w:rPr>
          <w:szCs w:val="24"/>
        </w:rPr>
        <w:t xml:space="preserve">ineries enrolled under all Tiers </w:t>
      </w:r>
      <w:r w:rsidRPr="006008DB">
        <w:rPr>
          <w:szCs w:val="24"/>
        </w:rPr>
        <w:t>of this Order and located in an area of nitrate</w:t>
      </w:r>
      <w:r w:rsidR="00E605F7">
        <w:rPr>
          <w:szCs w:val="24"/>
        </w:rPr>
        <w:noBreakHyphen/>
      </w:r>
      <w:r w:rsidRPr="006008DB">
        <w:rPr>
          <w:szCs w:val="24"/>
        </w:rPr>
        <w:t xml:space="preserve">impacted groundwater </w:t>
      </w:r>
      <w:r w:rsidR="003D33F7">
        <w:rPr>
          <w:szCs w:val="24"/>
        </w:rPr>
        <w:t>shall</w:t>
      </w:r>
      <w:r w:rsidR="003D33F7" w:rsidRPr="006008DB">
        <w:rPr>
          <w:szCs w:val="24"/>
        </w:rPr>
        <w:t xml:space="preserve"> </w:t>
      </w:r>
      <w:r w:rsidRPr="006008DB">
        <w:rPr>
          <w:szCs w:val="24"/>
        </w:rPr>
        <w:t>meet the nitrogen lo</w:t>
      </w:r>
      <w:r w:rsidR="00950DD9">
        <w:rPr>
          <w:szCs w:val="24"/>
        </w:rPr>
        <w:t xml:space="preserve">ading limitations in </w:t>
      </w:r>
      <w:r w:rsidR="00F6686F">
        <w:rPr>
          <w:b/>
          <w:szCs w:val="24"/>
        </w:rPr>
        <w:t>Table 5</w:t>
      </w:r>
      <w:r w:rsidRPr="006008DB">
        <w:rPr>
          <w:szCs w:val="24"/>
        </w:rPr>
        <w:t>.</w:t>
      </w:r>
      <w:r w:rsidR="00E605F7">
        <w:rPr>
          <w:szCs w:val="24"/>
        </w:rPr>
        <w:t xml:space="preserve"> The objective is to reduce and minimize contributions of nitrogen from wastewater to groundwater.</w:t>
      </w:r>
      <w:r w:rsidR="00172212">
        <w:rPr>
          <w:szCs w:val="24"/>
        </w:rPr>
        <w:t xml:space="preserve"> </w:t>
      </w:r>
      <w:r w:rsidR="00172212" w:rsidRPr="00172212">
        <w:rPr>
          <w:b/>
          <w:szCs w:val="24"/>
        </w:rPr>
        <w:t xml:space="preserve">Figures 3 </w:t>
      </w:r>
      <w:r w:rsidR="00C5026D">
        <w:rPr>
          <w:szCs w:val="24"/>
        </w:rPr>
        <w:t>through</w:t>
      </w:r>
      <w:r w:rsidR="00172212" w:rsidRPr="00172212">
        <w:rPr>
          <w:szCs w:val="24"/>
        </w:rPr>
        <w:t xml:space="preserve"> </w:t>
      </w:r>
      <w:r w:rsidR="00C5026D">
        <w:rPr>
          <w:b/>
          <w:szCs w:val="24"/>
        </w:rPr>
        <w:t>5</w:t>
      </w:r>
      <w:r w:rsidR="00172212">
        <w:rPr>
          <w:szCs w:val="24"/>
        </w:rPr>
        <w:t xml:space="preserve"> in </w:t>
      </w:r>
      <w:r w:rsidR="00172212" w:rsidRPr="00172212">
        <w:rPr>
          <w:b/>
          <w:szCs w:val="24"/>
        </w:rPr>
        <w:t>Attachment J</w:t>
      </w:r>
      <w:r w:rsidR="00172212">
        <w:rPr>
          <w:szCs w:val="24"/>
        </w:rPr>
        <w:t xml:space="preserve"> depict the nitrate-impacted groundwater areas.</w:t>
      </w:r>
      <w:r w:rsidR="00E45C8D">
        <w:rPr>
          <w:szCs w:val="24"/>
        </w:rPr>
        <w:t xml:space="preserve"> The nitrogen loading limits apply to all Tier 2, all Tier 3 discharging greater than 1,500 gpd, and new Tier 1 and Tier 3 wineries discharging less than 1,500 gpd.</w:t>
      </w:r>
    </w:p>
    <w:p w14:paraId="51F02EF1" w14:textId="77777777" w:rsidR="00063478" w:rsidRPr="006008DB" w:rsidRDefault="00063478" w:rsidP="00737781">
      <w:pPr>
        <w:pStyle w:val="ListParagraph"/>
        <w:ind w:left="1080" w:hanging="360"/>
        <w:rPr>
          <w:szCs w:val="24"/>
        </w:rPr>
      </w:pPr>
    </w:p>
    <w:p w14:paraId="0645C106" w14:textId="71A6E551" w:rsidR="00063478" w:rsidRPr="006008DB" w:rsidRDefault="00063478" w:rsidP="00362D97">
      <w:pPr>
        <w:pStyle w:val="OrderItem"/>
        <w:numPr>
          <w:ilvl w:val="0"/>
          <w:numId w:val="30"/>
        </w:numPr>
        <w:spacing w:after="0"/>
        <w:ind w:left="1080"/>
        <w:rPr>
          <w:szCs w:val="24"/>
        </w:rPr>
      </w:pPr>
      <w:r w:rsidRPr="006008DB">
        <w:rPr>
          <w:szCs w:val="24"/>
        </w:rPr>
        <w:t xml:space="preserve">The total nitrogen </w:t>
      </w:r>
      <w:r w:rsidR="00110F8A">
        <w:rPr>
          <w:szCs w:val="24"/>
        </w:rPr>
        <w:t xml:space="preserve">loading rate </w:t>
      </w:r>
      <w:r w:rsidRPr="006008DB">
        <w:rPr>
          <w:szCs w:val="24"/>
        </w:rPr>
        <w:t>applied to the discharge area on an annual basis shall be c</w:t>
      </w:r>
      <w:r w:rsidR="00601A80">
        <w:rPr>
          <w:szCs w:val="24"/>
        </w:rPr>
        <w:t xml:space="preserve">alculated using the formula in </w:t>
      </w:r>
      <w:r w:rsidR="00601A80" w:rsidRPr="00601A80">
        <w:rPr>
          <w:b/>
          <w:szCs w:val="24"/>
        </w:rPr>
        <w:t>s</w:t>
      </w:r>
      <w:r w:rsidRPr="00601A80">
        <w:rPr>
          <w:b/>
          <w:szCs w:val="24"/>
        </w:rPr>
        <w:t>ection III.G</w:t>
      </w:r>
      <w:r w:rsidRPr="006008DB">
        <w:rPr>
          <w:szCs w:val="24"/>
        </w:rPr>
        <w:t xml:space="preserve"> of the Monitoring and Report P</w:t>
      </w:r>
      <w:r w:rsidR="00A03731">
        <w:rPr>
          <w:szCs w:val="24"/>
        </w:rPr>
        <w:t>rogram</w:t>
      </w:r>
      <w:r w:rsidRPr="006008DB">
        <w:rPr>
          <w:szCs w:val="24"/>
        </w:rPr>
        <w:t xml:space="preserve"> (</w:t>
      </w:r>
      <w:r w:rsidRPr="005A3CE8">
        <w:rPr>
          <w:b/>
        </w:rPr>
        <w:t>Attachment A</w:t>
      </w:r>
      <w:r w:rsidRPr="006008DB">
        <w:rPr>
          <w:szCs w:val="24"/>
        </w:rPr>
        <w:t>).</w:t>
      </w:r>
    </w:p>
    <w:p w14:paraId="3D0AC51E" w14:textId="1259308B" w:rsidR="008B0B0C" w:rsidRDefault="008B0B0C">
      <w:pPr>
        <w:spacing w:after="200" w:line="276" w:lineRule="auto"/>
        <w:ind w:left="0"/>
      </w:pPr>
      <w:r>
        <w:br w:type="page"/>
      </w:r>
    </w:p>
    <w:p w14:paraId="166F1D60" w14:textId="1B7BD881" w:rsidR="003D2B6E" w:rsidRPr="003D2B6E" w:rsidRDefault="003D2B6E" w:rsidP="003D2B6E">
      <w:pPr>
        <w:pStyle w:val="Caption"/>
      </w:pPr>
      <w:bookmarkStart w:id="52" w:name="_Toc487107730"/>
      <w:r w:rsidRPr="003D2B6E">
        <w:t xml:space="preserve">Table </w:t>
      </w:r>
      <w:r w:rsidR="00D35F67">
        <w:fldChar w:fldCharType="begin"/>
      </w:r>
      <w:r w:rsidR="00D35F67">
        <w:instrText xml:space="preserve"> SEQ Table \* ARABIC </w:instrText>
      </w:r>
      <w:r w:rsidR="00D35F67">
        <w:fldChar w:fldCharType="separate"/>
      </w:r>
      <w:r w:rsidR="00512EAC">
        <w:rPr>
          <w:noProof/>
        </w:rPr>
        <w:t>5</w:t>
      </w:r>
      <w:r w:rsidR="00D35F67">
        <w:rPr>
          <w:noProof/>
        </w:rPr>
        <w:fldChar w:fldCharType="end"/>
      </w:r>
      <w:r w:rsidRPr="003D2B6E">
        <w:t>: Loading limitations for facilities in all Tiers that discharge in areas with nitrate</w:t>
      </w:r>
      <w:r w:rsidRPr="003D2B6E">
        <w:noBreakHyphen/>
        <w:t>impacted groundwater</w:t>
      </w:r>
      <w:bookmarkEnd w:id="52"/>
    </w:p>
    <w:tbl>
      <w:tblPr>
        <w:tblStyle w:val="TableGrid"/>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6"/>
        <w:gridCol w:w="1229"/>
        <w:gridCol w:w="1203"/>
        <w:gridCol w:w="2717"/>
        <w:gridCol w:w="1825"/>
        <w:gridCol w:w="1310"/>
      </w:tblGrid>
      <w:tr w:rsidR="005A3CE8" w:rsidRPr="006008DB" w14:paraId="1256A311" w14:textId="77777777" w:rsidTr="00E45C8D">
        <w:trPr>
          <w:jc w:val="center"/>
        </w:trPr>
        <w:tc>
          <w:tcPr>
            <w:tcW w:w="561" w:type="pct"/>
            <w:tcBorders>
              <w:top w:val="double" w:sz="4" w:space="0" w:color="auto"/>
              <w:bottom w:val="double" w:sz="4" w:space="0" w:color="auto"/>
            </w:tcBorders>
            <w:vAlign w:val="center"/>
          </w:tcPr>
          <w:p w14:paraId="5E85D3AD" w14:textId="77777777" w:rsidR="00063478" w:rsidRPr="006008DB" w:rsidRDefault="00063478" w:rsidP="00AF0DDF">
            <w:pPr>
              <w:ind w:left="0"/>
              <w:jc w:val="center"/>
              <w:rPr>
                <w:b/>
              </w:rPr>
            </w:pPr>
            <w:r w:rsidRPr="006008DB">
              <w:rPr>
                <w:b/>
              </w:rPr>
              <w:t>Parcel size</w:t>
            </w:r>
          </w:p>
        </w:tc>
        <w:tc>
          <w:tcPr>
            <w:tcW w:w="659" w:type="pct"/>
            <w:tcBorders>
              <w:top w:val="double" w:sz="4" w:space="0" w:color="auto"/>
              <w:bottom w:val="double" w:sz="4" w:space="0" w:color="auto"/>
            </w:tcBorders>
            <w:vAlign w:val="center"/>
          </w:tcPr>
          <w:p w14:paraId="4F168404" w14:textId="77777777" w:rsidR="00063478" w:rsidRPr="006008DB" w:rsidRDefault="00063478" w:rsidP="00AF0DDF">
            <w:pPr>
              <w:ind w:left="0"/>
              <w:jc w:val="center"/>
              <w:rPr>
                <w:b/>
                <w:i/>
              </w:rPr>
            </w:pPr>
            <w:r w:rsidRPr="006008DB">
              <w:rPr>
                <w:b/>
              </w:rPr>
              <w:t>Type of treatment system</w:t>
            </w:r>
          </w:p>
        </w:tc>
        <w:tc>
          <w:tcPr>
            <w:tcW w:w="645" w:type="pct"/>
            <w:tcBorders>
              <w:top w:val="double" w:sz="4" w:space="0" w:color="auto"/>
              <w:bottom w:val="double" w:sz="4" w:space="0" w:color="auto"/>
            </w:tcBorders>
            <w:vAlign w:val="center"/>
          </w:tcPr>
          <w:p w14:paraId="2DD36412" w14:textId="1C03C233" w:rsidR="00063478" w:rsidRPr="006008DB" w:rsidRDefault="00731573" w:rsidP="00AF0DDF">
            <w:pPr>
              <w:ind w:left="0"/>
              <w:jc w:val="center"/>
              <w:rPr>
                <w:b/>
                <w:i/>
              </w:rPr>
            </w:pPr>
            <w:r>
              <w:rPr>
                <w:b/>
              </w:rPr>
              <w:t>Type of discharge</w:t>
            </w:r>
            <w:r w:rsidR="00063478" w:rsidRPr="006008DB">
              <w:rPr>
                <w:b/>
              </w:rPr>
              <w:t xml:space="preserve"> system</w:t>
            </w:r>
          </w:p>
        </w:tc>
        <w:tc>
          <w:tcPr>
            <w:tcW w:w="1456" w:type="pct"/>
            <w:tcBorders>
              <w:top w:val="double" w:sz="4" w:space="0" w:color="auto"/>
              <w:bottom w:val="double" w:sz="4" w:space="0" w:color="auto"/>
            </w:tcBorders>
            <w:vAlign w:val="center"/>
          </w:tcPr>
          <w:p w14:paraId="21B2DF7B" w14:textId="77777777" w:rsidR="00063478" w:rsidRPr="006008DB" w:rsidRDefault="00063478" w:rsidP="00AF0DDF">
            <w:pPr>
              <w:ind w:left="0"/>
              <w:jc w:val="center"/>
              <w:rPr>
                <w:b/>
              </w:rPr>
            </w:pPr>
            <w:r w:rsidRPr="006008DB">
              <w:rPr>
                <w:b/>
              </w:rPr>
              <w:t>Constituent</w:t>
            </w:r>
          </w:p>
        </w:tc>
        <w:tc>
          <w:tcPr>
            <w:tcW w:w="978" w:type="pct"/>
            <w:tcBorders>
              <w:top w:val="double" w:sz="4" w:space="0" w:color="auto"/>
              <w:bottom w:val="double" w:sz="4" w:space="0" w:color="auto"/>
            </w:tcBorders>
            <w:vAlign w:val="center"/>
          </w:tcPr>
          <w:p w14:paraId="66343C76" w14:textId="77777777" w:rsidR="00063478" w:rsidRPr="006008DB" w:rsidRDefault="00063478" w:rsidP="00AF0DDF">
            <w:pPr>
              <w:ind w:left="0"/>
              <w:jc w:val="center"/>
              <w:rPr>
                <w:b/>
              </w:rPr>
            </w:pPr>
            <w:r w:rsidRPr="006008DB">
              <w:rPr>
                <w:b/>
              </w:rPr>
              <w:t>Unit</w:t>
            </w:r>
          </w:p>
        </w:tc>
        <w:tc>
          <w:tcPr>
            <w:tcW w:w="702" w:type="pct"/>
            <w:tcBorders>
              <w:top w:val="double" w:sz="4" w:space="0" w:color="auto"/>
              <w:bottom w:val="double" w:sz="4" w:space="0" w:color="auto"/>
            </w:tcBorders>
            <w:vAlign w:val="center"/>
          </w:tcPr>
          <w:p w14:paraId="7D005F58" w14:textId="77777777" w:rsidR="00063478" w:rsidRPr="006008DB" w:rsidRDefault="00063478" w:rsidP="00AF0DDF">
            <w:pPr>
              <w:ind w:left="0"/>
              <w:jc w:val="center"/>
              <w:rPr>
                <w:b/>
              </w:rPr>
            </w:pPr>
            <w:r w:rsidRPr="006008DB">
              <w:rPr>
                <w:b/>
              </w:rPr>
              <w:t>Discharge Limitation</w:t>
            </w:r>
          </w:p>
        </w:tc>
      </w:tr>
      <w:tr w:rsidR="005A3CE8" w:rsidRPr="006008DB" w14:paraId="342D398D" w14:textId="77777777" w:rsidTr="00E45C8D">
        <w:trPr>
          <w:trHeight w:val="573"/>
          <w:jc w:val="center"/>
        </w:trPr>
        <w:tc>
          <w:tcPr>
            <w:tcW w:w="561" w:type="pct"/>
            <w:tcBorders>
              <w:top w:val="double" w:sz="4" w:space="0" w:color="auto"/>
            </w:tcBorders>
            <w:vAlign w:val="center"/>
          </w:tcPr>
          <w:p w14:paraId="20BA6C77" w14:textId="77777777" w:rsidR="00063478" w:rsidRPr="00DE04F7" w:rsidRDefault="00063478" w:rsidP="00AF0DDF">
            <w:pPr>
              <w:ind w:left="0"/>
              <w:jc w:val="center"/>
              <w:rPr>
                <w:sz w:val="22"/>
                <w:szCs w:val="22"/>
              </w:rPr>
            </w:pPr>
            <w:r w:rsidRPr="00DE04F7">
              <w:rPr>
                <w:sz w:val="22"/>
                <w:szCs w:val="22"/>
              </w:rPr>
              <w:t>&lt; 7 acres</w:t>
            </w:r>
          </w:p>
        </w:tc>
        <w:tc>
          <w:tcPr>
            <w:tcW w:w="659" w:type="pct"/>
            <w:tcBorders>
              <w:top w:val="double" w:sz="4" w:space="0" w:color="auto"/>
            </w:tcBorders>
            <w:vAlign w:val="center"/>
          </w:tcPr>
          <w:p w14:paraId="2ADFC7EE" w14:textId="77777777" w:rsidR="00063478" w:rsidRPr="00DE04F7" w:rsidRDefault="00063478" w:rsidP="00AF0DDF">
            <w:pPr>
              <w:ind w:left="0"/>
              <w:jc w:val="center"/>
              <w:rPr>
                <w:sz w:val="22"/>
                <w:szCs w:val="22"/>
              </w:rPr>
            </w:pPr>
            <w:r w:rsidRPr="00DE04F7">
              <w:rPr>
                <w:sz w:val="22"/>
                <w:szCs w:val="22"/>
              </w:rPr>
              <w:t>Any</w:t>
            </w:r>
          </w:p>
        </w:tc>
        <w:tc>
          <w:tcPr>
            <w:tcW w:w="645" w:type="pct"/>
            <w:tcBorders>
              <w:top w:val="double" w:sz="4" w:space="0" w:color="auto"/>
            </w:tcBorders>
            <w:vAlign w:val="center"/>
          </w:tcPr>
          <w:p w14:paraId="6605BFDD" w14:textId="77777777" w:rsidR="00063478" w:rsidRPr="00DE04F7" w:rsidRDefault="00063478" w:rsidP="00AF0DDF">
            <w:pPr>
              <w:ind w:left="0"/>
              <w:jc w:val="center"/>
              <w:rPr>
                <w:sz w:val="22"/>
                <w:szCs w:val="22"/>
              </w:rPr>
            </w:pPr>
            <w:r w:rsidRPr="00DE04F7">
              <w:rPr>
                <w:sz w:val="22"/>
                <w:szCs w:val="22"/>
              </w:rPr>
              <w:t>Any</w:t>
            </w:r>
          </w:p>
        </w:tc>
        <w:tc>
          <w:tcPr>
            <w:tcW w:w="1456" w:type="pct"/>
            <w:tcBorders>
              <w:top w:val="double" w:sz="4" w:space="0" w:color="auto"/>
            </w:tcBorders>
            <w:vAlign w:val="center"/>
          </w:tcPr>
          <w:p w14:paraId="059E694A" w14:textId="29299F5F" w:rsidR="00063478" w:rsidRPr="00DE04F7" w:rsidRDefault="00063478" w:rsidP="00AF0DDF">
            <w:pPr>
              <w:ind w:left="0"/>
              <w:jc w:val="center"/>
              <w:rPr>
                <w:b/>
                <w:sz w:val="22"/>
                <w:szCs w:val="22"/>
              </w:rPr>
            </w:pPr>
            <w:r w:rsidRPr="00DE04F7">
              <w:rPr>
                <w:b/>
                <w:sz w:val="22"/>
                <w:szCs w:val="22"/>
              </w:rPr>
              <w:t>Nitrogen</w:t>
            </w:r>
            <w:r w:rsidR="00DE04F7" w:rsidRPr="00DE04F7">
              <w:rPr>
                <w:b/>
                <w:sz w:val="22"/>
                <w:szCs w:val="22"/>
              </w:rPr>
              <w:t xml:space="preserve"> Loading</w:t>
            </w:r>
            <w:bookmarkStart w:id="53" w:name="_Ref448842579"/>
            <w:r w:rsidR="00BF2B01" w:rsidRPr="006008DB">
              <w:rPr>
                <w:vertAlign w:val="superscript"/>
              </w:rPr>
              <w:footnoteReference w:id="6"/>
            </w:r>
            <w:bookmarkEnd w:id="53"/>
          </w:p>
        </w:tc>
        <w:tc>
          <w:tcPr>
            <w:tcW w:w="978" w:type="pct"/>
            <w:tcBorders>
              <w:top w:val="double" w:sz="4" w:space="0" w:color="auto"/>
            </w:tcBorders>
            <w:vAlign w:val="center"/>
          </w:tcPr>
          <w:p w14:paraId="2939F3DB" w14:textId="1D3ED152" w:rsidR="00063478" w:rsidRPr="00DE04F7" w:rsidRDefault="00063478" w:rsidP="00AF0DDF">
            <w:pPr>
              <w:ind w:left="0"/>
              <w:jc w:val="center"/>
              <w:rPr>
                <w:sz w:val="22"/>
                <w:szCs w:val="22"/>
              </w:rPr>
            </w:pPr>
            <w:r w:rsidRPr="00DE04F7">
              <w:rPr>
                <w:sz w:val="22"/>
                <w:szCs w:val="22"/>
              </w:rPr>
              <w:t>pounds N</w:t>
            </w:r>
            <w:r w:rsidR="00BF2B01">
              <w:rPr>
                <w:sz w:val="22"/>
                <w:szCs w:val="22"/>
              </w:rPr>
              <w:t xml:space="preserve"> </w:t>
            </w:r>
            <w:r w:rsidRPr="00DE04F7">
              <w:rPr>
                <w:sz w:val="22"/>
                <w:szCs w:val="22"/>
              </w:rPr>
              <w:t>/ parcel acre</w:t>
            </w:r>
            <w:r w:rsidR="00BF2B01">
              <w:rPr>
                <w:sz w:val="22"/>
                <w:szCs w:val="22"/>
              </w:rPr>
              <w:t xml:space="preserve"> </w:t>
            </w:r>
            <w:r w:rsidRPr="00DE04F7">
              <w:rPr>
                <w:sz w:val="22"/>
                <w:szCs w:val="22"/>
              </w:rPr>
              <w:t>/year</w:t>
            </w:r>
          </w:p>
        </w:tc>
        <w:tc>
          <w:tcPr>
            <w:tcW w:w="702" w:type="pct"/>
            <w:tcBorders>
              <w:top w:val="double" w:sz="4" w:space="0" w:color="auto"/>
            </w:tcBorders>
            <w:vAlign w:val="center"/>
          </w:tcPr>
          <w:p w14:paraId="2F4CE656" w14:textId="77777777" w:rsidR="00063478" w:rsidRPr="00DE04F7" w:rsidRDefault="00063478" w:rsidP="00AF0DDF">
            <w:pPr>
              <w:ind w:left="0"/>
              <w:jc w:val="center"/>
              <w:rPr>
                <w:sz w:val="22"/>
                <w:szCs w:val="22"/>
              </w:rPr>
            </w:pPr>
            <w:r w:rsidRPr="00DE04F7">
              <w:rPr>
                <w:sz w:val="22"/>
                <w:szCs w:val="22"/>
              </w:rPr>
              <w:t>23.8</w:t>
            </w:r>
          </w:p>
        </w:tc>
      </w:tr>
      <w:tr w:rsidR="005A3CE8" w:rsidRPr="006008DB" w14:paraId="66FEC11F" w14:textId="77777777" w:rsidTr="00E45C8D">
        <w:trPr>
          <w:trHeight w:val="620"/>
          <w:jc w:val="center"/>
        </w:trPr>
        <w:tc>
          <w:tcPr>
            <w:tcW w:w="561" w:type="pct"/>
            <w:vAlign w:val="center"/>
          </w:tcPr>
          <w:p w14:paraId="46059490" w14:textId="77777777" w:rsidR="00063478" w:rsidRPr="00DE04F7" w:rsidRDefault="00063478" w:rsidP="00AF0DDF">
            <w:pPr>
              <w:ind w:left="0"/>
              <w:jc w:val="center"/>
              <w:rPr>
                <w:sz w:val="22"/>
                <w:szCs w:val="22"/>
              </w:rPr>
            </w:pPr>
            <w:r w:rsidRPr="00DE04F7">
              <w:rPr>
                <w:sz w:val="22"/>
                <w:szCs w:val="22"/>
              </w:rPr>
              <w:t>&gt; 7 acres</w:t>
            </w:r>
          </w:p>
        </w:tc>
        <w:tc>
          <w:tcPr>
            <w:tcW w:w="659" w:type="pct"/>
            <w:vAlign w:val="center"/>
          </w:tcPr>
          <w:p w14:paraId="5F2136F2" w14:textId="77777777" w:rsidR="00063478" w:rsidRPr="00DE04F7" w:rsidRDefault="00063478" w:rsidP="00AF0DDF">
            <w:pPr>
              <w:ind w:left="0"/>
              <w:jc w:val="center"/>
              <w:rPr>
                <w:sz w:val="22"/>
                <w:szCs w:val="22"/>
              </w:rPr>
            </w:pPr>
            <w:r w:rsidRPr="00DE04F7">
              <w:rPr>
                <w:sz w:val="22"/>
                <w:szCs w:val="22"/>
              </w:rPr>
              <w:t>Any</w:t>
            </w:r>
          </w:p>
        </w:tc>
        <w:tc>
          <w:tcPr>
            <w:tcW w:w="645" w:type="pct"/>
            <w:vAlign w:val="center"/>
          </w:tcPr>
          <w:p w14:paraId="1845CB91" w14:textId="77777777" w:rsidR="00063478" w:rsidRPr="00DE04F7" w:rsidRDefault="00063478" w:rsidP="00AF0DDF">
            <w:pPr>
              <w:ind w:left="0"/>
              <w:jc w:val="center"/>
              <w:rPr>
                <w:sz w:val="22"/>
                <w:szCs w:val="22"/>
              </w:rPr>
            </w:pPr>
            <w:r w:rsidRPr="00DE04F7">
              <w:rPr>
                <w:sz w:val="22"/>
                <w:szCs w:val="22"/>
              </w:rPr>
              <w:t>Any</w:t>
            </w:r>
          </w:p>
        </w:tc>
        <w:tc>
          <w:tcPr>
            <w:tcW w:w="1456" w:type="pct"/>
            <w:vAlign w:val="center"/>
          </w:tcPr>
          <w:p w14:paraId="489F317F" w14:textId="62823EBC" w:rsidR="00063478" w:rsidRPr="00DE04F7" w:rsidRDefault="00063478" w:rsidP="00AF0DDF">
            <w:pPr>
              <w:ind w:left="0"/>
              <w:jc w:val="center"/>
              <w:rPr>
                <w:b/>
                <w:sz w:val="22"/>
                <w:szCs w:val="22"/>
              </w:rPr>
            </w:pPr>
            <w:r w:rsidRPr="00DE04F7">
              <w:rPr>
                <w:b/>
                <w:sz w:val="22"/>
                <w:szCs w:val="22"/>
              </w:rPr>
              <w:t>Nitrogen</w:t>
            </w:r>
            <w:r w:rsidR="00DE04F7" w:rsidRPr="00DE04F7">
              <w:rPr>
                <w:b/>
                <w:sz w:val="22"/>
                <w:szCs w:val="22"/>
              </w:rPr>
              <w:t xml:space="preserve"> Loading</w:t>
            </w:r>
          </w:p>
        </w:tc>
        <w:tc>
          <w:tcPr>
            <w:tcW w:w="978" w:type="pct"/>
            <w:vAlign w:val="center"/>
          </w:tcPr>
          <w:p w14:paraId="1E3ABB57" w14:textId="3EC6CC47" w:rsidR="00063478" w:rsidRPr="00DE04F7" w:rsidRDefault="00063478" w:rsidP="00AF0DDF">
            <w:pPr>
              <w:ind w:left="0"/>
              <w:jc w:val="center"/>
              <w:rPr>
                <w:sz w:val="22"/>
                <w:szCs w:val="22"/>
              </w:rPr>
            </w:pPr>
            <w:r w:rsidRPr="00DE04F7">
              <w:rPr>
                <w:sz w:val="22"/>
                <w:szCs w:val="22"/>
              </w:rPr>
              <w:t>pounds N</w:t>
            </w:r>
            <w:r w:rsidR="00BF2B01">
              <w:rPr>
                <w:sz w:val="22"/>
                <w:szCs w:val="22"/>
              </w:rPr>
              <w:t xml:space="preserve"> </w:t>
            </w:r>
            <w:r w:rsidRPr="00DE04F7">
              <w:rPr>
                <w:sz w:val="22"/>
                <w:szCs w:val="22"/>
              </w:rPr>
              <w:t>/ parcel acre</w:t>
            </w:r>
            <w:r w:rsidR="00BF2B01">
              <w:rPr>
                <w:sz w:val="22"/>
                <w:szCs w:val="22"/>
              </w:rPr>
              <w:t xml:space="preserve"> </w:t>
            </w:r>
            <w:r w:rsidRPr="00DE04F7">
              <w:rPr>
                <w:sz w:val="22"/>
                <w:szCs w:val="22"/>
              </w:rPr>
              <w:t>/year</w:t>
            </w:r>
          </w:p>
        </w:tc>
        <w:tc>
          <w:tcPr>
            <w:tcW w:w="702" w:type="pct"/>
            <w:vAlign w:val="center"/>
          </w:tcPr>
          <w:p w14:paraId="4E31C927" w14:textId="77777777" w:rsidR="00063478" w:rsidRPr="00DE04F7" w:rsidRDefault="00063478" w:rsidP="00AF0DDF">
            <w:pPr>
              <w:ind w:left="0"/>
              <w:jc w:val="center"/>
              <w:rPr>
                <w:sz w:val="22"/>
                <w:szCs w:val="22"/>
              </w:rPr>
            </w:pPr>
            <w:r w:rsidRPr="00DE04F7">
              <w:rPr>
                <w:sz w:val="22"/>
                <w:szCs w:val="22"/>
              </w:rPr>
              <w:t>3.4</w:t>
            </w:r>
          </w:p>
        </w:tc>
      </w:tr>
    </w:tbl>
    <w:p w14:paraId="6C8F9982" w14:textId="2DD0A584" w:rsidR="003F3DB5" w:rsidRDefault="003F3DB5" w:rsidP="003F3DB5">
      <w:pPr>
        <w:pStyle w:val="ListParagraph"/>
        <w:rPr>
          <w:b/>
        </w:rPr>
      </w:pPr>
    </w:p>
    <w:p w14:paraId="7E4A2AE3" w14:textId="61CD37D3" w:rsidR="003361AE" w:rsidRDefault="003361AE" w:rsidP="00362D97">
      <w:pPr>
        <w:pStyle w:val="ListParagraph"/>
        <w:numPr>
          <w:ilvl w:val="0"/>
          <w:numId w:val="53"/>
        </w:numPr>
        <w:spacing w:before="240" w:after="120"/>
        <w:ind w:left="720"/>
        <w:rPr>
          <w:b/>
        </w:rPr>
      </w:pPr>
      <w:r>
        <w:rPr>
          <w:b/>
        </w:rPr>
        <w:t xml:space="preserve">Nitrate as Nitrogen - </w:t>
      </w:r>
      <w:r w:rsidR="008504E0" w:rsidRPr="008504E0">
        <w:rPr>
          <w:b/>
        </w:rPr>
        <w:t xml:space="preserve">Concentration Effluent Limitations and </w:t>
      </w:r>
    </w:p>
    <w:p w14:paraId="3618B639" w14:textId="56C8CB02" w:rsidR="008504E0" w:rsidRDefault="003361AE" w:rsidP="003361AE">
      <w:pPr>
        <w:pStyle w:val="ListParagraph"/>
        <w:spacing w:after="120"/>
        <w:ind w:left="2880" w:hanging="2160"/>
        <w:contextualSpacing w:val="0"/>
        <w:rPr>
          <w:b/>
        </w:rPr>
      </w:pPr>
      <w:r>
        <w:rPr>
          <w:b/>
        </w:rPr>
        <w:tab/>
      </w:r>
      <w:r w:rsidR="008504E0" w:rsidRPr="008504E0">
        <w:rPr>
          <w:b/>
        </w:rPr>
        <w:t>Numeric Action Levels</w:t>
      </w:r>
    </w:p>
    <w:p w14:paraId="713C0667" w14:textId="703693BD" w:rsidR="00CA1F25" w:rsidRDefault="00CA1F25" w:rsidP="00362D97">
      <w:pPr>
        <w:pStyle w:val="ListParagraph"/>
        <w:numPr>
          <w:ilvl w:val="0"/>
          <w:numId w:val="29"/>
        </w:numPr>
        <w:spacing w:after="120"/>
        <w:ind w:left="1080"/>
        <w:contextualSpacing w:val="0"/>
        <w:rPr>
          <w:szCs w:val="24"/>
        </w:rPr>
      </w:pPr>
      <w:r>
        <w:rPr>
          <w:szCs w:val="24"/>
        </w:rPr>
        <w:t>For subsurface and land surface discharges in Tier 2 and those in Tier 3 that discharge greater than 1,500 gpd that overlay</w:t>
      </w:r>
      <w:r w:rsidRPr="00CA1F25">
        <w:rPr>
          <w:szCs w:val="24"/>
        </w:rPr>
        <w:t xml:space="preserve"> </w:t>
      </w:r>
      <w:r w:rsidRPr="006008DB">
        <w:rPr>
          <w:szCs w:val="24"/>
        </w:rPr>
        <w:t>nitrate</w:t>
      </w:r>
      <w:r>
        <w:rPr>
          <w:szCs w:val="24"/>
        </w:rPr>
        <w:noBreakHyphen/>
      </w:r>
      <w:r w:rsidRPr="006008DB">
        <w:rPr>
          <w:szCs w:val="24"/>
        </w:rPr>
        <w:t xml:space="preserve">impacted groundwater </w:t>
      </w:r>
      <w:r w:rsidR="00A03731" w:rsidRPr="00A03731">
        <w:rPr>
          <w:szCs w:val="24"/>
        </w:rPr>
        <w:t>(</w:t>
      </w:r>
      <w:r w:rsidR="00A03731">
        <w:rPr>
          <w:b/>
          <w:szCs w:val="24"/>
        </w:rPr>
        <w:t>Figure</w:t>
      </w:r>
      <w:r w:rsidR="00EF0288">
        <w:rPr>
          <w:b/>
          <w:szCs w:val="24"/>
        </w:rPr>
        <w:t>s</w:t>
      </w:r>
      <w:r w:rsidR="00A03731">
        <w:rPr>
          <w:b/>
          <w:szCs w:val="24"/>
        </w:rPr>
        <w:t xml:space="preserve"> 3</w:t>
      </w:r>
      <w:r w:rsidR="00EF0288">
        <w:rPr>
          <w:b/>
          <w:szCs w:val="24"/>
        </w:rPr>
        <w:t xml:space="preserve"> </w:t>
      </w:r>
      <w:r w:rsidR="00C5026D">
        <w:rPr>
          <w:szCs w:val="24"/>
        </w:rPr>
        <w:t>through</w:t>
      </w:r>
      <w:r w:rsidR="00C5026D">
        <w:rPr>
          <w:b/>
          <w:szCs w:val="24"/>
        </w:rPr>
        <w:t xml:space="preserve"> 5</w:t>
      </w:r>
      <w:r w:rsidR="00A03731">
        <w:rPr>
          <w:b/>
          <w:szCs w:val="24"/>
        </w:rPr>
        <w:t xml:space="preserve"> </w:t>
      </w:r>
      <w:r w:rsidR="00A03731" w:rsidRPr="005555B5">
        <w:rPr>
          <w:szCs w:val="24"/>
        </w:rPr>
        <w:t>in</w:t>
      </w:r>
      <w:r w:rsidR="00A03731">
        <w:rPr>
          <w:b/>
          <w:szCs w:val="24"/>
        </w:rPr>
        <w:t xml:space="preserve"> </w:t>
      </w:r>
      <w:r w:rsidR="00A03731" w:rsidRPr="00A03731">
        <w:rPr>
          <w:b/>
          <w:szCs w:val="24"/>
        </w:rPr>
        <w:t>Attachment J</w:t>
      </w:r>
      <w:r>
        <w:rPr>
          <w:szCs w:val="24"/>
        </w:rPr>
        <w:t>), the following applies:</w:t>
      </w:r>
    </w:p>
    <w:p w14:paraId="64BDF354" w14:textId="2046073C" w:rsidR="00CA1F25" w:rsidRDefault="00063478" w:rsidP="00362D97">
      <w:pPr>
        <w:pStyle w:val="ListParagraph"/>
        <w:numPr>
          <w:ilvl w:val="0"/>
          <w:numId w:val="72"/>
        </w:numPr>
        <w:spacing w:after="120"/>
        <w:ind w:hanging="180"/>
      </w:pPr>
      <w:r w:rsidRPr="00CA1F25">
        <w:t>N</w:t>
      </w:r>
      <w:r w:rsidR="003361AE" w:rsidRPr="00CA1F25">
        <w:t>itrate as n</w:t>
      </w:r>
      <w:r w:rsidRPr="00CA1F25">
        <w:t xml:space="preserve">itrogen is an effluent limitation </w:t>
      </w:r>
      <w:r w:rsidR="00CA1F25" w:rsidRPr="00CA1F25">
        <w:t xml:space="preserve">per </w:t>
      </w:r>
      <w:r w:rsidR="00F6686F">
        <w:rPr>
          <w:b/>
        </w:rPr>
        <w:t>Table 6</w:t>
      </w:r>
      <w:r w:rsidR="003B0746" w:rsidRPr="00CA1F25">
        <w:t xml:space="preserve">. </w:t>
      </w:r>
    </w:p>
    <w:p w14:paraId="565B803F" w14:textId="52EB0767" w:rsidR="00CA1F25" w:rsidRPr="00CA1F25" w:rsidRDefault="00CA1F25" w:rsidP="00362D97">
      <w:pPr>
        <w:pStyle w:val="OrderItem"/>
        <w:numPr>
          <w:ilvl w:val="0"/>
          <w:numId w:val="72"/>
        </w:numPr>
        <w:ind w:hanging="180"/>
        <w:rPr>
          <w:szCs w:val="24"/>
        </w:rPr>
      </w:pPr>
      <w:r>
        <w:rPr>
          <w:szCs w:val="24"/>
        </w:rPr>
        <w:t>Nitrate as nitrogen effluent limitation is 10 mg/L where the depth to groundwater is less than five feet in the discharge area.</w:t>
      </w:r>
    </w:p>
    <w:p w14:paraId="030D22D5" w14:textId="59E79982" w:rsidR="00CA1F25" w:rsidRDefault="00CA1F25" w:rsidP="00362D97">
      <w:pPr>
        <w:pStyle w:val="ListParagraph"/>
        <w:numPr>
          <w:ilvl w:val="0"/>
          <w:numId w:val="72"/>
        </w:numPr>
        <w:spacing w:after="120"/>
        <w:ind w:hanging="180"/>
        <w:contextualSpacing w:val="0"/>
      </w:pPr>
      <w:r>
        <w:t xml:space="preserve">Nitrate as nitrogen </w:t>
      </w:r>
      <w:r w:rsidRPr="00CA1F25">
        <w:t xml:space="preserve">effluent </w:t>
      </w:r>
      <w:r>
        <w:t xml:space="preserve">limitation </w:t>
      </w:r>
      <w:r w:rsidRPr="00CA1F25">
        <w:t xml:space="preserve">is 12.5 mg/L </w:t>
      </w:r>
      <w:r>
        <w:t>f</w:t>
      </w:r>
      <w:r w:rsidRPr="00CA1F25">
        <w:t xml:space="preserve">or </w:t>
      </w:r>
      <w:r>
        <w:t>dischargers</w:t>
      </w:r>
      <w:r w:rsidRPr="00CA1F25">
        <w:t xml:space="preserve"> that do not have actively managed vegetation</w:t>
      </w:r>
      <w:r>
        <w:t xml:space="preserve"> or crops in the discharge area and the depth to groundwater is greater than five feet.</w:t>
      </w:r>
    </w:p>
    <w:p w14:paraId="4FBA733C" w14:textId="274F108E" w:rsidR="00CA1F25" w:rsidRDefault="00CA1F25" w:rsidP="00362D97">
      <w:pPr>
        <w:pStyle w:val="ListParagraph"/>
        <w:numPr>
          <w:ilvl w:val="0"/>
          <w:numId w:val="72"/>
        </w:numPr>
        <w:ind w:hanging="180"/>
        <w:contextualSpacing w:val="0"/>
      </w:pPr>
      <w:r>
        <w:t xml:space="preserve">Nitrate as nitrogen </w:t>
      </w:r>
      <w:r w:rsidRPr="00CA1F25">
        <w:t xml:space="preserve">effluent </w:t>
      </w:r>
      <w:r>
        <w:t xml:space="preserve">limitation </w:t>
      </w:r>
      <w:r w:rsidRPr="00CA1F25">
        <w:t xml:space="preserve">is </w:t>
      </w:r>
      <w:r>
        <w:t>20</w:t>
      </w:r>
      <w:r w:rsidRPr="00CA1F25">
        <w:t xml:space="preserve"> mg/L </w:t>
      </w:r>
      <w:r>
        <w:t>f</w:t>
      </w:r>
      <w:r w:rsidRPr="00CA1F25">
        <w:t xml:space="preserve">or </w:t>
      </w:r>
      <w:r>
        <w:t>dischargers that</w:t>
      </w:r>
      <w:r w:rsidRPr="00CA1F25">
        <w:t xml:space="preserve"> have actively managed vegetation</w:t>
      </w:r>
      <w:r>
        <w:t xml:space="preserve"> or crops in the discharge area and the depth to groundwater is greater than five feet.</w:t>
      </w:r>
    </w:p>
    <w:p w14:paraId="1F3AF0D4" w14:textId="77777777" w:rsidR="00CA1F25" w:rsidRPr="00CA1F25" w:rsidRDefault="00CA1F25" w:rsidP="00CA1F25">
      <w:pPr>
        <w:pStyle w:val="ListParagraph"/>
        <w:ind w:left="1440"/>
        <w:contextualSpacing w:val="0"/>
      </w:pPr>
    </w:p>
    <w:p w14:paraId="1B85D21F" w14:textId="40D330C0" w:rsidR="00CA1F25" w:rsidRDefault="003B0746" w:rsidP="00362D97">
      <w:pPr>
        <w:pStyle w:val="ListParagraph"/>
        <w:numPr>
          <w:ilvl w:val="0"/>
          <w:numId w:val="29"/>
        </w:numPr>
        <w:spacing w:after="120"/>
        <w:ind w:left="1080"/>
        <w:contextualSpacing w:val="0"/>
        <w:rPr>
          <w:szCs w:val="24"/>
        </w:rPr>
      </w:pPr>
      <w:r>
        <w:rPr>
          <w:szCs w:val="24"/>
        </w:rPr>
        <w:t xml:space="preserve">For </w:t>
      </w:r>
      <w:r w:rsidR="00CA1F25" w:rsidRPr="006008DB">
        <w:rPr>
          <w:szCs w:val="24"/>
        </w:rPr>
        <w:t xml:space="preserve">subsurface and land surface discharges </w:t>
      </w:r>
      <w:r>
        <w:rPr>
          <w:szCs w:val="24"/>
        </w:rPr>
        <w:t xml:space="preserve">in Tier 2 and those in Tier 3 that discharge </w:t>
      </w:r>
      <w:r w:rsidR="00CA1F25">
        <w:rPr>
          <w:szCs w:val="24"/>
        </w:rPr>
        <w:t>greater</w:t>
      </w:r>
      <w:r>
        <w:rPr>
          <w:szCs w:val="24"/>
        </w:rPr>
        <w:t xml:space="preserve"> than 1,500 gpd</w:t>
      </w:r>
      <w:r w:rsidR="00CA1F25">
        <w:rPr>
          <w:szCs w:val="24"/>
        </w:rPr>
        <w:t xml:space="preserve"> outside of nitrate-impacted groundwater areas</w:t>
      </w:r>
      <w:r w:rsidR="00063478" w:rsidRPr="006008DB">
        <w:rPr>
          <w:szCs w:val="24"/>
        </w:rPr>
        <w:t xml:space="preserve">, </w:t>
      </w:r>
      <w:r w:rsidR="00CA1F25">
        <w:rPr>
          <w:szCs w:val="24"/>
        </w:rPr>
        <w:t xml:space="preserve">the following applies: </w:t>
      </w:r>
    </w:p>
    <w:p w14:paraId="41FB1838" w14:textId="51178264" w:rsidR="00063478" w:rsidRDefault="00CA1F25" w:rsidP="00362D97">
      <w:pPr>
        <w:pStyle w:val="ListParagraph"/>
        <w:numPr>
          <w:ilvl w:val="0"/>
          <w:numId w:val="71"/>
        </w:numPr>
        <w:spacing w:after="120"/>
        <w:ind w:left="1454" w:hanging="187"/>
        <w:contextualSpacing w:val="0"/>
      </w:pPr>
      <w:r>
        <w:t>N</w:t>
      </w:r>
      <w:r w:rsidR="00063478" w:rsidRPr="00CA1F25">
        <w:t>itrate as nitrogen is a numeric action level</w:t>
      </w:r>
      <w:r w:rsidRPr="00CA1F25">
        <w:t xml:space="preserve"> per </w:t>
      </w:r>
      <w:r w:rsidR="00F6686F">
        <w:rPr>
          <w:b/>
        </w:rPr>
        <w:t>Table 7</w:t>
      </w:r>
      <w:r w:rsidR="00063478" w:rsidRPr="00CA1F25">
        <w:t>, which</w:t>
      </w:r>
      <w:r w:rsidR="00DB1559" w:rsidRPr="00CA1F25">
        <w:t>,</w:t>
      </w:r>
      <w:r w:rsidR="00063478" w:rsidRPr="00CA1F25">
        <w:t xml:space="preserve"> if exceeded, leads to req</w:t>
      </w:r>
      <w:r w:rsidR="00EC046D" w:rsidRPr="00CA1F25">
        <w:t>uired actions as described</w:t>
      </w:r>
      <w:r w:rsidR="00063478" w:rsidRPr="00CA1F25">
        <w:t xml:space="preserve"> in</w:t>
      </w:r>
      <w:r w:rsidR="00EC046D" w:rsidRPr="00CA1F25">
        <w:t xml:space="preserve"> this Order section</w:t>
      </w:r>
      <w:r w:rsidR="00063478" w:rsidRPr="00CA1F25">
        <w:t xml:space="preserve"> </w:t>
      </w:r>
      <w:r w:rsidRPr="00CA1F25">
        <w:t>I</w:t>
      </w:r>
      <w:r w:rsidR="00EC046D" w:rsidRPr="00CA1F25">
        <w:t xml:space="preserve">V. Effluent Limitations and Numeric Action Levels </w:t>
      </w:r>
      <w:r w:rsidR="002B1210">
        <w:t>B.5</w:t>
      </w:r>
      <w:r w:rsidR="00063478" w:rsidRPr="00CA1F25">
        <w:t>.</w:t>
      </w:r>
    </w:p>
    <w:p w14:paraId="3C23EEE8" w14:textId="3D5A99FF" w:rsidR="00CA1F25" w:rsidRDefault="00CA1F25" w:rsidP="00362D97">
      <w:pPr>
        <w:pStyle w:val="ListParagraph"/>
        <w:numPr>
          <w:ilvl w:val="0"/>
          <w:numId w:val="71"/>
        </w:numPr>
        <w:spacing w:after="120"/>
        <w:ind w:left="1440" w:hanging="180"/>
        <w:contextualSpacing w:val="0"/>
      </w:pPr>
      <w:r>
        <w:t xml:space="preserve">Nitrate as nitrogen </w:t>
      </w:r>
      <w:r w:rsidRPr="003B0746">
        <w:rPr>
          <w:szCs w:val="24"/>
        </w:rPr>
        <w:t xml:space="preserve">numeric action level </w:t>
      </w:r>
      <w:r w:rsidRPr="00CA1F25">
        <w:t xml:space="preserve">is 12.5 mg/L </w:t>
      </w:r>
      <w:r>
        <w:t>f</w:t>
      </w:r>
      <w:r w:rsidRPr="00CA1F25">
        <w:t xml:space="preserve">or </w:t>
      </w:r>
      <w:r>
        <w:t>dischargers</w:t>
      </w:r>
      <w:r w:rsidRPr="00CA1F25">
        <w:t xml:space="preserve"> that do not have actively managed vegetation</w:t>
      </w:r>
      <w:r>
        <w:t xml:space="preserve"> or crops in the discharge area.</w:t>
      </w:r>
    </w:p>
    <w:p w14:paraId="49911279" w14:textId="70863634" w:rsidR="00CA1F25" w:rsidRDefault="00CA1F25" w:rsidP="00362D97">
      <w:pPr>
        <w:pStyle w:val="ListParagraph"/>
        <w:numPr>
          <w:ilvl w:val="0"/>
          <w:numId w:val="71"/>
        </w:numPr>
        <w:ind w:left="1440" w:hanging="180"/>
        <w:contextualSpacing w:val="0"/>
      </w:pPr>
      <w:r>
        <w:t xml:space="preserve">Nitrate as nitrogen </w:t>
      </w:r>
      <w:r w:rsidRPr="003B0746">
        <w:rPr>
          <w:szCs w:val="24"/>
        </w:rPr>
        <w:t xml:space="preserve">numeric action level </w:t>
      </w:r>
      <w:r w:rsidRPr="00CA1F25">
        <w:t xml:space="preserve">is </w:t>
      </w:r>
      <w:r>
        <w:t>20</w:t>
      </w:r>
      <w:r w:rsidRPr="00CA1F25">
        <w:t xml:space="preserve"> mg/L </w:t>
      </w:r>
      <w:r>
        <w:t>f</w:t>
      </w:r>
      <w:r w:rsidRPr="00CA1F25">
        <w:t xml:space="preserve">or </w:t>
      </w:r>
      <w:r>
        <w:t>dischargers that</w:t>
      </w:r>
      <w:r w:rsidRPr="00CA1F25">
        <w:t xml:space="preserve"> have actively managed vegetation</w:t>
      </w:r>
      <w:r>
        <w:t xml:space="preserve"> or crops in the discharge area.</w:t>
      </w:r>
    </w:p>
    <w:p w14:paraId="5267C35A" w14:textId="77777777" w:rsidR="00CA1F25" w:rsidRPr="00CA1F25" w:rsidRDefault="00CA1F25" w:rsidP="00CA1F25">
      <w:pPr>
        <w:pStyle w:val="ListParagraph"/>
        <w:ind w:left="1440"/>
      </w:pPr>
    </w:p>
    <w:p w14:paraId="7BF0788C" w14:textId="67275CD5" w:rsidR="00B01B0A" w:rsidRPr="00B01B0A" w:rsidRDefault="00063478" w:rsidP="00362D97">
      <w:pPr>
        <w:pStyle w:val="ListParagraph"/>
        <w:numPr>
          <w:ilvl w:val="0"/>
          <w:numId w:val="29"/>
        </w:numPr>
        <w:rPr>
          <w:szCs w:val="24"/>
        </w:rPr>
      </w:pPr>
      <w:r w:rsidRPr="006008DB">
        <w:t xml:space="preserve">Exceeding the applicable </w:t>
      </w:r>
      <w:r w:rsidRPr="003361AE">
        <w:t>numeric action level</w:t>
      </w:r>
      <w:r w:rsidR="00A03731">
        <w:t xml:space="preserve"> stated</w:t>
      </w:r>
      <w:r w:rsidRPr="006008DB">
        <w:t xml:space="preserve"> in</w:t>
      </w:r>
      <w:r w:rsidR="00CA1F25">
        <w:t xml:space="preserve"> </w:t>
      </w:r>
      <w:r w:rsidR="00F6686F">
        <w:rPr>
          <w:b/>
        </w:rPr>
        <w:t>Table 7</w:t>
      </w:r>
      <w:r w:rsidRPr="006008DB">
        <w:t xml:space="preserve"> </w:t>
      </w:r>
      <w:r w:rsidRPr="00B01B0A">
        <w:rPr>
          <w:b/>
        </w:rPr>
        <w:t>three times</w:t>
      </w:r>
      <w:r w:rsidRPr="006008DB">
        <w:t xml:space="preserve"> during a rolling </w:t>
      </w:r>
      <w:r w:rsidRPr="00B01B0A">
        <w:rPr>
          <w:b/>
        </w:rPr>
        <w:t>12-month period</w:t>
      </w:r>
      <w:r w:rsidRPr="006008DB">
        <w:t>, triggers the requirement to conduct, submit, and implement a Nitroge</w:t>
      </w:r>
      <w:r w:rsidR="00A03731">
        <w:t>n Assessment and Management Plan</w:t>
      </w:r>
      <w:r w:rsidRPr="006008DB">
        <w:t xml:space="preserve">, the details of which are provided in </w:t>
      </w:r>
      <w:r w:rsidRPr="00B01B0A">
        <w:rPr>
          <w:b/>
        </w:rPr>
        <w:t>Attachment F</w:t>
      </w:r>
      <w:r w:rsidRPr="006008DB">
        <w:t>.</w:t>
      </w:r>
      <w:r w:rsidR="00B01B0A">
        <w:t xml:space="preserve"> </w:t>
      </w:r>
      <w:r w:rsidR="00B01B0A" w:rsidRPr="00B01B0A">
        <w:rPr>
          <w:szCs w:val="24"/>
        </w:rPr>
        <w:t>If the Discharger does not implement the required adaptive management actions, then they have violated the terms and conditions of this Order.</w:t>
      </w:r>
    </w:p>
    <w:p w14:paraId="52DF4F64" w14:textId="6AEDC714" w:rsidR="00063478" w:rsidRPr="006008DB" w:rsidRDefault="00063478" w:rsidP="00F6686F">
      <w:pPr>
        <w:pStyle w:val="ListParagraph"/>
        <w:ind w:left="1080"/>
        <w:contextualSpacing w:val="0"/>
        <w:rPr>
          <w:szCs w:val="24"/>
        </w:rPr>
      </w:pPr>
    </w:p>
    <w:p w14:paraId="5BF592C2" w14:textId="77777777" w:rsidR="00063478" w:rsidRPr="006008DB" w:rsidRDefault="00063478" w:rsidP="00362D97">
      <w:pPr>
        <w:pStyle w:val="OrderItem"/>
        <w:numPr>
          <w:ilvl w:val="0"/>
          <w:numId w:val="29"/>
        </w:numPr>
        <w:ind w:left="1080"/>
        <w:rPr>
          <w:szCs w:val="24"/>
        </w:rPr>
      </w:pPr>
      <w:r w:rsidRPr="006008DB">
        <w:rPr>
          <w:szCs w:val="24"/>
        </w:rPr>
        <w:t>Following the third exceedance of the nitrate as nitrogen numeric action level, the Discharger shall take the following actions:</w:t>
      </w:r>
    </w:p>
    <w:p w14:paraId="770BF7BC" w14:textId="7F157BDD" w:rsidR="00063478" w:rsidRPr="006008DB" w:rsidRDefault="00063478" w:rsidP="005202D4">
      <w:pPr>
        <w:pStyle w:val="OrderItem"/>
        <w:numPr>
          <w:ilvl w:val="0"/>
          <w:numId w:val="82"/>
        </w:numPr>
        <w:ind w:left="1440" w:hanging="180"/>
        <w:rPr>
          <w:szCs w:val="24"/>
        </w:rPr>
      </w:pPr>
      <w:r w:rsidRPr="006008DB">
        <w:rPr>
          <w:szCs w:val="24"/>
        </w:rPr>
        <w:t>Notify Regional Water Board staff via email or verbally when the third exceedance of the Numeric Action Level has occurred.</w:t>
      </w:r>
    </w:p>
    <w:p w14:paraId="212BF0A5" w14:textId="72120172" w:rsidR="00063478" w:rsidRPr="006008DB" w:rsidRDefault="00063478" w:rsidP="005202D4">
      <w:pPr>
        <w:pStyle w:val="OrderItem"/>
        <w:numPr>
          <w:ilvl w:val="0"/>
          <w:numId w:val="82"/>
        </w:numPr>
        <w:ind w:left="1440" w:hanging="180"/>
        <w:rPr>
          <w:szCs w:val="24"/>
        </w:rPr>
      </w:pPr>
      <w:r w:rsidRPr="006008DB">
        <w:rPr>
          <w:szCs w:val="24"/>
        </w:rPr>
        <w:t xml:space="preserve">Submit a Nitrogen Assessment and Management </w:t>
      </w:r>
      <w:r w:rsidR="00C43B0A">
        <w:rPr>
          <w:szCs w:val="24"/>
        </w:rPr>
        <w:t xml:space="preserve">Plan to the </w:t>
      </w:r>
      <w:r w:rsidRPr="006008DB">
        <w:rPr>
          <w:szCs w:val="24"/>
        </w:rPr>
        <w:t xml:space="preserve">Regional Water Board within </w:t>
      </w:r>
      <w:r w:rsidRPr="0094383D">
        <w:rPr>
          <w:b/>
          <w:szCs w:val="24"/>
        </w:rPr>
        <w:t>six months</w:t>
      </w:r>
      <w:r w:rsidRPr="006008DB">
        <w:rPr>
          <w:szCs w:val="24"/>
        </w:rPr>
        <w:t xml:space="preserve"> of the third occurrence. </w:t>
      </w:r>
    </w:p>
    <w:p w14:paraId="2DBB9B78" w14:textId="3AE27183" w:rsidR="00063478" w:rsidRDefault="00DB1559" w:rsidP="005202D4">
      <w:pPr>
        <w:pStyle w:val="OrderItem"/>
        <w:numPr>
          <w:ilvl w:val="0"/>
          <w:numId w:val="82"/>
        </w:numPr>
        <w:ind w:left="1440" w:hanging="180"/>
        <w:rPr>
          <w:szCs w:val="24"/>
        </w:rPr>
      </w:pPr>
      <w:r>
        <w:rPr>
          <w:szCs w:val="24"/>
        </w:rPr>
        <w:t xml:space="preserve">Not more than sixty </w:t>
      </w:r>
      <w:r w:rsidR="00063478" w:rsidRPr="006008DB">
        <w:rPr>
          <w:szCs w:val="24"/>
        </w:rPr>
        <w:t>days later, having incorporated</w:t>
      </w:r>
      <w:r w:rsidR="00C43B0A">
        <w:rPr>
          <w:szCs w:val="24"/>
        </w:rPr>
        <w:t xml:space="preserve"> any comments received from </w:t>
      </w:r>
      <w:r w:rsidR="00063478" w:rsidRPr="006008DB">
        <w:rPr>
          <w:szCs w:val="24"/>
        </w:rPr>
        <w:t>Region</w:t>
      </w:r>
      <w:r w:rsidR="00C43B0A">
        <w:rPr>
          <w:szCs w:val="24"/>
        </w:rPr>
        <w:t>al Water Board staff</w:t>
      </w:r>
      <w:r w:rsidR="00063478" w:rsidRPr="006008DB">
        <w:rPr>
          <w:szCs w:val="24"/>
        </w:rPr>
        <w:t>, implement any management practice and system configuration changes specified in the Nitrogen Assessment and Management Plan.</w:t>
      </w:r>
    </w:p>
    <w:p w14:paraId="66628657" w14:textId="483EE809" w:rsidR="009843EF" w:rsidRPr="009843EF" w:rsidRDefault="009843EF" w:rsidP="009843EF">
      <w:pPr>
        <w:pStyle w:val="Caption"/>
      </w:pPr>
      <w:bookmarkStart w:id="54" w:name="_Toc487107731"/>
      <w:r>
        <w:t xml:space="preserve">Table </w:t>
      </w:r>
      <w:r w:rsidR="00D35F67">
        <w:fldChar w:fldCharType="begin"/>
      </w:r>
      <w:r w:rsidR="00D35F67">
        <w:instrText xml:space="preserve"> SEQ Table \* ARABIC </w:instrText>
      </w:r>
      <w:r w:rsidR="00D35F67">
        <w:fldChar w:fldCharType="separate"/>
      </w:r>
      <w:r w:rsidR="00512EAC">
        <w:rPr>
          <w:noProof/>
        </w:rPr>
        <w:t>6</w:t>
      </w:r>
      <w:r w:rsidR="00D35F67">
        <w:rPr>
          <w:noProof/>
        </w:rPr>
        <w:fldChar w:fldCharType="end"/>
      </w:r>
      <w:r>
        <w:t xml:space="preserve">: </w:t>
      </w:r>
      <w:r w:rsidRPr="009843EF">
        <w:t>Effluent Limitations for Tiers 2 and 3 facilities that discharge in nitrate</w:t>
      </w:r>
      <w:r w:rsidRPr="009843EF">
        <w:noBreakHyphen/>
        <w:t>impacted groundwater areas</w:t>
      </w:r>
      <w:bookmarkEnd w:id="54"/>
    </w:p>
    <w:tbl>
      <w:tblPr>
        <w:tblStyle w:val="TableGrid"/>
        <w:tblW w:w="4719"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55"/>
        <w:gridCol w:w="3510"/>
        <w:gridCol w:w="990"/>
        <w:gridCol w:w="1351"/>
      </w:tblGrid>
      <w:tr w:rsidR="00CE6ED3" w:rsidRPr="006008DB" w14:paraId="0EE1DED7" w14:textId="77777777" w:rsidTr="00DA3520">
        <w:trPr>
          <w:jc w:val="center"/>
        </w:trPr>
        <w:tc>
          <w:tcPr>
            <w:tcW w:w="1678" w:type="pct"/>
            <w:tcBorders>
              <w:top w:val="double" w:sz="4" w:space="0" w:color="auto"/>
              <w:bottom w:val="double" w:sz="4" w:space="0" w:color="auto"/>
            </w:tcBorders>
            <w:vAlign w:val="center"/>
          </w:tcPr>
          <w:p w14:paraId="41674293" w14:textId="479AD5FD" w:rsidR="00CE6ED3" w:rsidRPr="006008DB" w:rsidRDefault="00CE6ED3" w:rsidP="00CA1F25">
            <w:pPr>
              <w:ind w:left="0"/>
              <w:jc w:val="center"/>
              <w:rPr>
                <w:b/>
                <w:i/>
              </w:rPr>
            </w:pPr>
            <w:r>
              <w:rPr>
                <w:b/>
              </w:rPr>
              <w:t>Tier</w:t>
            </w:r>
          </w:p>
        </w:tc>
        <w:tc>
          <w:tcPr>
            <w:tcW w:w="1993" w:type="pct"/>
            <w:tcBorders>
              <w:top w:val="double" w:sz="4" w:space="0" w:color="auto"/>
              <w:bottom w:val="double" w:sz="4" w:space="0" w:color="auto"/>
            </w:tcBorders>
            <w:vAlign w:val="center"/>
          </w:tcPr>
          <w:p w14:paraId="3171DF4A" w14:textId="77777777" w:rsidR="00CE6ED3" w:rsidRPr="006008DB" w:rsidRDefault="00CE6ED3" w:rsidP="00CA1F25">
            <w:pPr>
              <w:ind w:left="0"/>
              <w:jc w:val="center"/>
              <w:rPr>
                <w:b/>
              </w:rPr>
            </w:pPr>
            <w:r w:rsidRPr="006008DB">
              <w:rPr>
                <w:b/>
              </w:rPr>
              <w:t>Constituent</w:t>
            </w:r>
          </w:p>
        </w:tc>
        <w:tc>
          <w:tcPr>
            <w:tcW w:w="562" w:type="pct"/>
            <w:tcBorders>
              <w:top w:val="double" w:sz="4" w:space="0" w:color="auto"/>
              <w:bottom w:val="double" w:sz="4" w:space="0" w:color="auto"/>
            </w:tcBorders>
            <w:vAlign w:val="center"/>
          </w:tcPr>
          <w:p w14:paraId="788FE435" w14:textId="77777777" w:rsidR="00CE6ED3" w:rsidRPr="006008DB" w:rsidRDefault="00CE6ED3" w:rsidP="00CA1F25">
            <w:pPr>
              <w:ind w:left="0"/>
              <w:jc w:val="center"/>
              <w:rPr>
                <w:b/>
              </w:rPr>
            </w:pPr>
            <w:r w:rsidRPr="006008DB">
              <w:rPr>
                <w:b/>
              </w:rPr>
              <w:t>Unit</w:t>
            </w:r>
          </w:p>
        </w:tc>
        <w:tc>
          <w:tcPr>
            <w:tcW w:w="767" w:type="pct"/>
            <w:tcBorders>
              <w:top w:val="double" w:sz="4" w:space="0" w:color="auto"/>
              <w:bottom w:val="double" w:sz="4" w:space="0" w:color="auto"/>
            </w:tcBorders>
            <w:vAlign w:val="center"/>
          </w:tcPr>
          <w:p w14:paraId="4332CCA6" w14:textId="77777777" w:rsidR="00CE6ED3" w:rsidRPr="006008DB" w:rsidRDefault="00CE6ED3" w:rsidP="00CA1F25">
            <w:pPr>
              <w:ind w:left="0"/>
              <w:jc w:val="center"/>
              <w:rPr>
                <w:b/>
              </w:rPr>
            </w:pPr>
            <w:r w:rsidRPr="006008DB">
              <w:rPr>
                <w:b/>
              </w:rPr>
              <w:t>Discharge Limitation</w:t>
            </w:r>
          </w:p>
        </w:tc>
      </w:tr>
      <w:tr w:rsidR="003361AE" w:rsidRPr="006008DB" w14:paraId="2EB7EF87" w14:textId="77777777" w:rsidTr="00DA3520">
        <w:trPr>
          <w:trHeight w:val="782"/>
          <w:jc w:val="center"/>
        </w:trPr>
        <w:tc>
          <w:tcPr>
            <w:tcW w:w="1678" w:type="pct"/>
            <w:vAlign w:val="center"/>
          </w:tcPr>
          <w:p w14:paraId="501B00E7" w14:textId="77777777" w:rsidR="003361AE" w:rsidRDefault="003361AE" w:rsidP="003361AE">
            <w:pPr>
              <w:ind w:left="0"/>
              <w:jc w:val="center"/>
              <w:rPr>
                <w:sz w:val="22"/>
                <w:szCs w:val="22"/>
              </w:rPr>
            </w:pPr>
            <w:r>
              <w:rPr>
                <w:sz w:val="22"/>
                <w:szCs w:val="22"/>
              </w:rPr>
              <w:t xml:space="preserve">Tier 2 and </w:t>
            </w:r>
          </w:p>
          <w:p w14:paraId="5A62D1C1" w14:textId="36FE8D0A" w:rsidR="003361AE" w:rsidRDefault="003361AE" w:rsidP="003361AE">
            <w:pPr>
              <w:ind w:left="0"/>
              <w:jc w:val="center"/>
              <w:rPr>
                <w:sz w:val="22"/>
                <w:szCs w:val="22"/>
              </w:rPr>
            </w:pPr>
            <w:r>
              <w:rPr>
                <w:sz w:val="22"/>
                <w:szCs w:val="22"/>
              </w:rPr>
              <w:t>Tier 3 discharging &gt;1,500 gpd</w:t>
            </w:r>
          </w:p>
        </w:tc>
        <w:tc>
          <w:tcPr>
            <w:tcW w:w="1993" w:type="pct"/>
            <w:vAlign w:val="center"/>
          </w:tcPr>
          <w:p w14:paraId="5E757A6B" w14:textId="5D13757F" w:rsidR="003361AE" w:rsidRPr="00DE04F7" w:rsidRDefault="003361AE" w:rsidP="003361AE">
            <w:pPr>
              <w:ind w:left="0"/>
              <w:jc w:val="center"/>
              <w:rPr>
                <w:b/>
                <w:sz w:val="22"/>
                <w:szCs w:val="22"/>
              </w:rPr>
            </w:pPr>
            <w:r w:rsidRPr="00DE04F7">
              <w:rPr>
                <w:b/>
                <w:sz w:val="22"/>
                <w:szCs w:val="22"/>
              </w:rPr>
              <w:t>Nitrate</w:t>
            </w:r>
          </w:p>
          <w:p w14:paraId="1C15D26D" w14:textId="5BE64724" w:rsidR="003361AE" w:rsidRPr="00DE04F7" w:rsidRDefault="003361AE" w:rsidP="003361AE">
            <w:pPr>
              <w:ind w:left="0"/>
              <w:jc w:val="center"/>
              <w:rPr>
                <w:b/>
                <w:sz w:val="22"/>
                <w:szCs w:val="22"/>
              </w:rPr>
            </w:pPr>
            <w:r>
              <w:rPr>
                <w:sz w:val="22"/>
                <w:szCs w:val="22"/>
              </w:rPr>
              <w:t>D</w:t>
            </w:r>
            <w:r w:rsidRPr="00BF2B01">
              <w:rPr>
                <w:sz w:val="22"/>
                <w:szCs w:val="22"/>
              </w:rPr>
              <w:t xml:space="preserve">epth to groundwater </w:t>
            </w:r>
            <w:r>
              <w:rPr>
                <w:sz w:val="22"/>
                <w:szCs w:val="22"/>
              </w:rPr>
              <w:t>less</w:t>
            </w:r>
            <w:r w:rsidRPr="00BF2B01">
              <w:rPr>
                <w:sz w:val="22"/>
                <w:szCs w:val="22"/>
              </w:rPr>
              <w:t xml:space="preserve"> than 5 feet</w:t>
            </w:r>
          </w:p>
        </w:tc>
        <w:tc>
          <w:tcPr>
            <w:tcW w:w="562" w:type="pct"/>
            <w:vAlign w:val="center"/>
          </w:tcPr>
          <w:p w14:paraId="0C365600" w14:textId="2C441BFA" w:rsidR="003361AE" w:rsidRPr="00DE04F7" w:rsidRDefault="003361AE" w:rsidP="003361AE">
            <w:pPr>
              <w:ind w:left="0"/>
              <w:jc w:val="center"/>
              <w:rPr>
                <w:sz w:val="22"/>
                <w:szCs w:val="22"/>
              </w:rPr>
            </w:pPr>
            <w:r w:rsidRPr="00DE04F7">
              <w:rPr>
                <w:sz w:val="22"/>
                <w:szCs w:val="22"/>
              </w:rPr>
              <w:t>mg/L-N</w:t>
            </w:r>
          </w:p>
        </w:tc>
        <w:tc>
          <w:tcPr>
            <w:tcW w:w="767" w:type="pct"/>
            <w:vAlign w:val="center"/>
          </w:tcPr>
          <w:p w14:paraId="1B8DEC88" w14:textId="4BF20EE0" w:rsidR="003361AE" w:rsidRPr="00DE04F7" w:rsidRDefault="003361AE" w:rsidP="003361AE">
            <w:pPr>
              <w:ind w:left="0"/>
              <w:jc w:val="center"/>
              <w:rPr>
                <w:sz w:val="22"/>
                <w:szCs w:val="22"/>
              </w:rPr>
            </w:pPr>
            <w:r>
              <w:rPr>
                <w:sz w:val="22"/>
                <w:szCs w:val="22"/>
              </w:rPr>
              <w:t>10</w:t>
            </w:r>
          </w:p>
        </w:tc>
      </w:tr>
      <w:tr w:rsidR="003361AE" w:rsidRPr="006008DB" w14:paraId="2B439E06" w14:textId="77777777" w:rsidTr="00DA3520">
        <w:trPr>
          <w:trHeight w:val="782"/>
          <w:jc w:val="center"/>
        </w:trPr>
        <w:tc>
          <w:tcPr>
            <w:tcW w:w="1678" w:type="pct"/>
            <w:vAlign w:val="center"/>
          </w:tcPr>
          <w:p w14:paraId="184A8FE6" w14:textId="59F84AF4" w:rsidR="003361AE" w:rsidRDefault="003361AE" w:rsidP="003361AE">
            <w:pPr>
              <w:ind w:left="0"/>
              <w:jc w:val="center"/>
              <w:rPr>
                <w:sz w:val="22"/>
                <w:szCs w:val="22"/>
              </w:rPr>
            </w:pPr>
            <w:r>
              <w:rPr>
                <w:sz w:val="22"/>
                <w:szCs w:val="22"/>
              </w:rPr>
              <w:t xml:space="preserve">Tier 2 and </w:t>
            </w:r>
          </w:p>
          <w:p w14:paraId="4AF6A9D8" w14:textId="108788F6" w:rsidR="003361AE" w:rsidRPr="00DE04F7" w:rsidRDefault="003361AE" w:rsidP="003361AE">
            <w:pPr>
              <w:ind w:left="0"/>
              <w:jc w:val="center"/>
              <w:rPr>
                <w:sz w:val="22"/>
                <w:szCs w:val="22"/>
              </w:rPr>
            </w:pPr>
            <w:r>
              <w:rPr>
                <w:sz w:val="22"/>
                <w:szCs w:val="22"/>
              </w:rPr>
              <w:t>Tier 3 discharging &gt;1,500 gpd</w:t>
            </w:r>
          </w:p>
        </w:tc>
        <w:tc>
          <w:tcPr>
            <w:tcW w:w="1993" w:type="pct"/>
            <w:vAlign w:val="center"/>
          </w:tcPr>
          <w:p w14:paraId="73DE9CB5" w14:textId="406DAFBD" w:rsidR="003361AE" w:rsidRPr="00DE04F7" w:rsidRDefault="003361AE" w:rsidP="003361AE">
            <w:pPr>
              <w:ind w:left="0"/>
              <w:jc w:val="center"/>
              <w:rPr>
                <w:b/>
                <w:sz w:val="22"/>
                <w:szCs w:val="22"/>
              </w:rPr>
            </w:pPr>
            <w:r w:rsidRPr="00DE04F7">
              <w:rPr>
                <w:b/>
                <w:sz w:val="22"/>
                <w:szCs w:val="22"/>
              </w:rPr>
              <w:t>Nitrate</w:t>
            </w:r>
          </w:p>
          <w:p w14:paraId="3E2EB268" w14:textId="77777777" w:rsidR="003361AE" w:rsidRPr="00BF2B01" w:rsidRDefault="003361AE" w:rsidP="003361AE">
            <w:pPr>
              <w:ind w:left="0"/>
              <w:jc w:val="center"/>
              <w:rPr>
                <w:sz w:val="22"/>
                <w:szCs w:val="22"/>
              </w:rPr>
            </w:pPr>
            <w:r w:rsidRPr="00BF2B01">
              <w:rPr>
                <w:sz w:val="22"/>
                <w:szCs w:val="22"/>
              </w:rPr>
              <w:t xml:space="preserve">No vegetation </w:t>
            </w:r>
            <w:r w:rsidRPr="00BF2B01">
              <w:rPr>
                <w:sz w:val="22"/>
                <w:szCs w:val="22"/>
                <w:u w:val="single"/>
              </w:rPr>
              <w:t xml:space="preserve">and </w:t>
            </w:r>
            <w:r w:rsidRPr="00BF2B01">
              <w:rPr>
                <w:sz w:val="22"/>
                <w:szCs w:val="22"/>
              </w:rPr>
              <w:t>depth to groundwater greater than 5 feet</w:t>
            </w:r>
          </w:p>
        </w:tc>
        <w:tc>
          <w:tcPr>
            <w:tcW w:w="562" w:type="pct"/>
            <w:vAlign w:val="center"/>
          </w:tcPr>
          <w:p w14:paraId="207F13EE" w14:textId="77777777" w:rsidR="003361AE" w:rsidRPr="00DE04F7" w:rsidRDefault="003361AE" w:rsidP="003361AE">
            <w:pPr>
              <w:ind w:left="0"/>
              <w:jc w:val="center"/>
              <w:rPr>
                <w:sz w:val="22"/>
                <w:szCs w:val="22"/>
              </w:rPr>
            </w:pPr>
            <w:r w:rsidRPr="00DE04F7">
              <w:rPr>
                <w:sz w:val="22"/>
                <w:szCs w:val="22"/>
              </w:rPr>
              <w:t>mg/L-N</w:t>
            </w:r>
          </w:p>
        </w:tc>
        <w:tc>
          <w:tcPr>
            <w:tcW w:w="767" w:type="pct"/>
            <w:vAlign w:val="center"/>
          </w:tcPr>
          <w:p w14:paraId="462C4443" w14:textId="77777777" w:rsidR="003361AE" w:rsidRPr="00DE04F7" w:rsidRDefault="003361AE" w:rsidP="003361AE">
            <w:pPr>
              <w:ind w:left="0"/>
              <w:jc w:val="center"/>
              <w:rPr>
                <w:sz w:val="22"/>
                <w:szCs w:val="22"/>
              </w:rPr>
            </w:pPr>
            <w:r w:rsidRPr="00DE04F7">
              <w:rPr>
                <w:sz w:val="22"/>
                <w:szCs w:val="22"/>
              </w:rPr>
              <w:t>12.5</w:t>
            </w:r>
          </w:p>
        </w:tc>
      </w:tr>
      <w:tr w:rsidR="003361AE" w:rsidRPr="006008DB" w14:paraId="12404D96" w14:textId="77777777" w:rsidTr="00DA3520">
        <w:trPr>
          <w:trHeight w:val="791"/>
          <w:jc w:val="center"/>
        </w:trPr>
        <w:tc>
          <w:tcPr>
            <w:tcW w:w="1678" w:type="pct"/>
            <w:vAlign w:val="center"/>
          </w:tcPr>
          <w:p w14:paraId="3E12C2B4" w14:textId="77777777" w:rsidR="003361AE" w:rsidRDefault="003361AE" w:rsidP="003361AE">
            <w:pPr>
              <w:ind w:left="0"/>
              <w:jc w:val="center"/>
              <w:rPr>
                <w:sz w:val="22"/>
                <w:szCs w:val="22"/>
              </w:rPr>
            </w:pPr>
            <w:r>
              <w:rPr>
                <w:sz w:val="22"/>
                <w:szCs w:val="22"/>
              </w:rPr>
              <w:t xml:space="preserve">Tier 2 and </w:t>
            </w:r>
          </w:p>
          <w:p w14:paraId="148D9451" w14:textId="70C45A6A" w:rsidR="003361AE" w:rsidRPr="00DE04F7" w:rsidRDefault="003361AE" w:rsidP="003361AE">
            <w:pPr>
              <w:ind w:left="0"/>
              <w:jc w:val="center"/>
              <w:rPr>
                <w:sz w:val="22"/>
                <w:szCs w:val="22"/>
              </w:rPr>
            </w:pPr>
            <w:r>
              <w:rPr>
                <w:sz w:val="22"/>
                <w:szCs w:val="22"/>
              </w:rPr>
              <w:t>Tier 3 discharging &gt;1,500 gpd</w:t>
            </w:r>
          </w:p>
        </w:tc>
        <w:tc>
          <w:tcPr>
            <w:tcW w:w="1993" w:type="pct"/>
            <w:vAlign w:val="center"/>
          </w:tcPr>
          <w:p w14:paraId="167FAD09" w14:textId="7DAA904C" w:rsidR="003361AE" w:rsidRPr="00DE04F7" w:rsidRDefault="003361AE" w:rsidP="003361AE">
            <w:pPr>
              <w:ind w:left="0"/>
              <w:jc w:val="center"/>
              <w:rPr>
                <w:b/>
                <w:sz w:val="22"/>
                <w:szCs w:val="22"/>
              </w:rPr>
            </w:pPr>
            <w:r w:rsidRPr="00DE04F7">
              <w:rPr>
                <w:b/>
                <w:sz w:val="22"/>
                <w:szCs w:val="22"/>
              </w:rPr>
              <w:t>Nitrate</w:t>
            </w:r>
          </w:p>
          <w:p w14:paraId="3B1E024B" w14:textId="77777777" w:rsidR="003361AE" w:rsidRPr="00DE04F7" w:rsidRDefault="003361AE" w:rsidP="003361AE">
            <w:pPr>
              <w:ind w:left="0"/>
              <w:jc w:val="center"/>
              <w:rPr>
                <w:b/>
                <w:sz w:val="22"/>
                <w:szCs w:val="22"/>
              </w:rPr>
            </w:pPr>
            <w:r>
              <w:rPr>
                <w:sz w:val="22"/>
                <w:szCs w:val="22"/>
              </w:rPr>
              <w:t>V</w:t>
            </w:r>
            <w:r w:rsidRPr="00BF2B01">
              <w:rPr>
                <w:sz w:val="22"/>
                <w:szCs w:val="22"/>
              </w:rPr>
              <w:t xml:space="preserve">egetation </w:t>
            </w:r>
            <w:r w:rsidRPr="00BF2B01">
              <w:rPr>
                <w:sz w:val="22"/>
                <w:szCs w:val="22"/>
                <w:u w:val="single"/>
              </w:rPr>
              <w:t xml:space="preserve">and </w:t>
            </w:r>
            <w:r w:rsidRPr="00BF2B01">
              <w:rPr>
                <w:sz w:val="22"/>
                <w:szCs w:val="22"/>
              </w:rPr>
              <w:t>depth to groundwater greater than 5 feet</w:t>
            </w:r>
          </w:p>
        </w:tc>
        <w:tc>
          <w:tcPr>
            <w:tcW w:w="562" w:type="pct"/>
            <w:vAlign w:val="center"/>
          </w:tcPr>
          <w:p w14:paraId="094AD0CA" w14:textId="77777777" w:rsidR="003361AE" w:rsidRPr="00DE04F7" w:rsidRDefault="003361AE" w:rsidP="003361AE">
            <w:pPr>
              <w:ind w:left="0"/>
              <w:jc w:val="center"/>
              <w:rPr>
                <w:sz w:val="22"/>
                <w:szCs w:val="22"/>
              </w:rPr>
            </w:pPr>
            <w:r w:rsidRPr="00DE04F7">
              <w:rPr>
                <w:sz w:val="22"/>
                <w:szCs w:val="22"/>
              </w:rPr>
              <w:t>mg/L-N</w:t>
            </w:r>
          </w:p>
        </w:tc>
        <w:tc>
          <w:tcPr>
            <w:tcW w:w="767" w:type="pct"/>
            <w:vAlign w:val="center"/>
          </w:tcPr>
          <w:p w14:paraId="16388B2F" w14:textId="77777777" w:rsidR="003361AE" w:rsidRPr="00DE04F7" w:rsidRDefault="003361AE" w:rsidP="003361AE">
            <w:pPr>
              <w:ind w:left="0"/>
              <w:jc w:val="center"/>
              <w:rPr>
                <w:sz w:val="22"/>
                <w:szCs w:val="22"/>
              </w:rPr>
            </w:pPr>
            <w:r w:rsidRPr="00DE04F7">
              <w:rPr>
                <w:sz w:val="22"/>
                <w:szCs w:val="22"/>
              </w:rPr>
              <w:t>20</w:t>
            </w:r>
          </w:p>
        </w:tc>
      </w:tr>
    </w:tbl>
    <w:p w14:paraId="4FC2B46F" w14:textId="7D4B7618" w:rsidR="00CE6ED3" w:rsidRDefault="00CE6ED3" w:rsidP="00CE6ED3">
      <w:pPr>
        <w:pStyle w:val="OrderItem"/>
        <w:ind w:left="0" w:firstLine="0"/>
        <w:rPr>
          <w:szCs w:val="24"/>
        </w:rPr>
      </w:pPr>
    </w:p>
    <w:p w14:paraId="554E5550" w14:textId="3B18D351" w:rsidR="009843EF" w:rsidRDefault="009843EF" w:rsidP="009843EF">
      <w:pPr>
        <w:pStyle w:val="Caption"/>
        <w:keepNext/>
      </w:pPr>
      <w:bookmarkStart w:id="55" w:name="_Toc487107732"/>
      <w:r>
        <w:t xml:space="preserve">Table </w:t>
      </w:r>
      <w:r w:rsidR="00D35F67">
        <w:fldChar w:fldCharType="begin"/>
      </w:r>
      <w:r w:rsidR="00D35F67">
        <w:instrText xml:space="preserve"> SEQ Table \* ARABIC </w:instrText>
      </w:r>
      <w:r w:rsidR="00D35F67">
        <w:fldChar w:fldCharType="separate"/>
      </w:r>
      <w:r w:rsidR="00512EAC">
        <w:rPr>
          <w:noProof/>
        </w:rPr>
        <w:t>7</w:t>
      </w:r>
      <w:r w:rsidR="00D35F67">
        <w:rPr>
          <w:noProof/>
        </w:rPr>
        <w:fldChar w:fldCharType="end"/>
      </w:r>
      <w:r w:rsidR="00A31D68" w:rsidRPr="009843EF">
        <w:t>: Numeric Action Levels for Tiers 2 and 3 facilities that do not discharge to nitrate impacted groundwater areas</w:t>
      </w:r>
      <w:bookmarkEnd w:id="55"/>
    </w:p>
    <w:tbl>
      <w:tblPr>
        <w:tblStyle w:val="TableGrid"/>
        <w:tblW w:w="4526"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44"/>
        <w:gridCol w:w="2252"/>
        <w:gridCol w:w="1079"/>
        <w:gridCol w:w="2071"/>
      </w:tblGrid>
      <w:tr w:rsidR="003361AE" w:rsidRPr="006008DB" w14:paraId="7CCE76E0" w14:textId="77777777" w:rsidTr="00DA3520">
        <w:trPr>
          <w:jc w:val="center"/>
        </w:trPr>
        <w:tc>
          <w:tcPr>
            <w:tcW w:w="1802" w:type="pct"/>
            <w:tcBorders>
              <w:top w:val="double" w:sz="4" w:space="0" w:color="auto"/>
              <w:bottom w:val="double" w:sz="4" w:space="0" w:color="auto"/>
            </w:tcBorders>
            <w:vAlign w:val="center"/>
          </w:tcPr>
          <w:p w14:paraId="2822E416" w14:textId="77777777" w:rsidR="003361AE" w:rsidRPr="006008DB" w:rsidRDefault="003361AE" w:rsidP="00CA1F25">
            <w:pPr>
              <w:ind w:left="0"/>
              <w:jc w:val="center"/>
              <w:rPr>
                <w:b/>
                <w:i/>
              </w:rPr>
            </w:pPr>
            <w:r>
              <w:rPr>
                <w:b/>
              </w:rPr>
              <w:t>Tier</w:t>
            </w:r>
          </w:p>
        </w:tc>
        <w:tc>
          <w:tcPr>
            <w:tcW w:w="1333" w:type="pct"/>
            <w:tcBorders>
              <w:top w:val="double" w:sz="4" w:space="0" w:color="auto"/>
              <w:bottom w:val="double" w:sz="4" w:space="0" w:color="auto"/>
            </w:tcBorders>
            <w:vAlign w:val="center"/>
          </w:tcPr>
          <w:p w14:paraId="5D94D723" w14:textId="77777777" w:rsidR="003361AE" w:rsidRPr="006008DB" w:rsidRDefault="003361AE" w:rsidP="00CA1F25">
            <w:pPr>
              <w:ind w:left="0"/>
              <w:jc w:val="center"/>
              <w:rPr>
                <w:b/>
              </w:rPr>
            </w:pPr>
            <w:r w:rsidRPr="006008DB">
              <w:rPr>
                <w:b/>
              </w:rPr>
              <w:t>Constituent</w:t>
            </w:r>
          </w:p>
        </w:tc>
        <w:tc>
          <w:tcPr>
            <w:tcW w:w="639" w:type="pct"/>
            <w:tcBorders>
              <w:top w:val="double" w:sz="4" w:space="0" w:color="auto"/>
              <w:bottom w:val="double" w:sz="4" w:space="0" w:color="auto"/>
            </w:tcBorders>
            <w:vAlign w:val="center"/>
          </w:tcPr>
          <w:p w14:paraId="320E4DEE" w14:textId="77777777" w:rsidR="003361AE" w:rsidRPr="006008DB" w:rsidRDefault="003361AE" w:rsidP="00CA1F25">
            <w:pPr>
              <w:ind w:left="0"/>
              <w:jc w:val="center"/>
              <w:rPr>
                <w:b/>
              </w:rPr>
            </w:pPr>
            <w:r w:rsidRPr="006008DB">
              <w:rPr>
                <w:b/>
              </w:rPr>
              <w:t>Unit</w:t>
            </w:r>
          </w:p>
        </w:tc>
        <w:tc>
          <w:tcPr>
            <w:tcW w:w="1226" w:type="pct"/>
            <w:tcBorders>
              <w:top w:val="double" w:sz="4" w:space="0" w:color="auto"/>
              <w:bottom w:val="double" w:sz="4" w:space="0" w:color="auto"/>
            </w:tcBorders>
            <w:vAlign w:val="center"/>
          </w:tcPr>
          <w:p w14:paraId="69D072BC" w14:textId="4A143EBB" w:rsidR="003361AE" w:rsidRPr="006008DB" w:rsidRDefault="00DA3520" w:rsidP="00CA1F25">
            <w:pPr>
              <w:ind w:left="0"/>
              <w:jc w:val="center"/>
              <w:rPr>
                <w:b/>
              </w:rPr>
            </w:pPr>
            <w:r>
              <w:rPr>
                <w:b/>
              </w:rPr>
              <w:t>Numeric Action Level</w:t>
            </w:r>
          </w:p>
        </w:tc>
      </w:tr>
      <w:tr w:rsidR="003361AE" w:rsidRPr="006008DB" w14:paraId="04BE3E20" w14:textId="77777777" w:rsidTr="00CA1F25">
        <w:trPr>
          <w:trHeight w:val="537"/>
          <w:jc w:val="center"/>
        </w:trPr>
        <w:tc>
          <w:tcPr>
            <w:tcW w:w="1802" w:type="pct"/>
            <w:tcBorders>
              <w:bottom w:val="single" w:sz="4" w:space="0" w:color="auto"/>
            </w:tcBorders>
            <w:vAlign w:val="center"/>
          </w:tcPr>
          <w:p w14:paraId="64509C3E" w14:textId="77777777" w:rsidR="003361AE" w:rsidRDefault="003361AE" w:rsidP="00CA1F25">
            <w:pPr>
              <w:ind w:left="0"/>
              <w:jc w:val="center"/>
              <w:rPr>
                <w:sz w:val="22"/>
                <w:szCs w:val="22"/>
              </w:rPr>
            </w:pPr>
            <w:r>
              <w:rPr>
                <w:sz w:val="22"/>
                <w:szCs w:val="22"/>
              </w:rPr>
              <w:t xml:space="preserve">Tier 2 and </w:t>
            </w:r>
          </w:p>
          <w:p w14:paraId="0386D78F" w14:textId="77777777" w:rsidR="003361AE" w:rsidRPr="00DE04F7" w:rsidRDefault="003361AE" w:rsidP="00CA1F25">
            <w:pPr>
              <w:ind w:left="0"/>
              <w:jc w:val="center"/>
              <w:rPr>
                <w:sz w:val="22"/>
                <w:szCs w:val="22"/>
              </w:rPr>
            </w:pPr>
            <w:r>
              <w:rPr>
                <w:sz w:val="22"/>
                <w:szCs w:val="22"/>
              </w:rPr>
              <w:t>Tier 3 discharging &gt;1,500 gpd</w:t>
            </w:r>
          </w:p>
        </w:tc>
        <w:tc>
          <w:tcPr>
            <w:tcW w:w="1333" w:type="pct"/>
            <w:tcBorders>
              <w:bottom w:val="single" w:sz="4" w:space="0" w:color="auto"/>
            </w:tcBorders>
            <w:vAlign w:val="center"/>
          </w:tcPr>
          <w:p w14:paraId="6708450A" w14:textId="77777777" w:rsidR="003361AE" w:rsidRPr="00DE04F7" w:rsidRDefault="003361AE" w:rsidP="00CA1F25">
            <w:pPr>
              <w:ind w:left="0"/>
              <w:jc w:val="center"/>
              <w:rPr>
                <w:b/>
                <w:sz w:val="22"/>
                <w:szCs w:val="22"/>
              </w:rPr>
            </w:pPr>
            <w:r w:rsidRPr="00DE04F7">
              <w:rPr>
                <w:b/>
                <w:sz w:val="22"/>
                <w:szCs w:val="22"/>
              </w:rPr>
              <w:t>Nitrate</w:t>
            </w:r>
          </w:p>
          <w:p w14:paraId="434D8466" w14:textId="7E2E7E1A" w:rsidR="003361AE" w:rsidRPr="00BF2B01" w:rsidRDefault="003361AE" w:rsidP="003361AE">
            <w:pPr>
              <w:ind w:left="0"/>
              <w:jc w:val="center"/>
              <w:rPr>
                <w:sz w:val="22"/>
                <w:szCs w:val="22"/>
              </w:rPr>
            </w:pPr>
            <w:r w:rsidRPr="00BF2B01">
              <w:rPr>
                <w:sz w:val="22"/>
                <w:szCs w:val="22"/>
              </w:rPr>
              <w:t>No vegetation</w:t>
            </w:r>
          </w:p>
        </w:tc>
        <w:tc>
          <w:tcPr>
            <w:tcW w:w="639" w:type="pct"/>
            <w:tcBorders>
              <w:bottom w:val="single" w:sz="4" w:space="0" w:color="auto"/>
            </w:tcBorders>
            <w:vAlign w:val="center"/>
          </w:tcPr>
          <w:p w14:paraId="0FDD08E3" w14:textId="77777777" w:rsidR="003361AE" w:rsidRPr="00DE04F7" w:rsidRDefault="003361AE" w:rsidP="00CA1F25">
            <w:pPr>
              <w:ind w:left="0"/>
              <w:jc w:val="center"/>
              <w:rPr>
                <w:sz w:val="22"/>
                <w:szCs w:val="22"/>
              </w:rPr>
            </w:pPr>
            <w:r w:rsidRPr="00DE04F7">
              <w:rPr>
                <w:sz w:val="22"/>
                <w:szCs w:val="22"/>
              </w:rPr>
              <w:t>mg/L-N</w:t>
            </w:r>
          </w:p>
        </w:tc>
        <w:tc>
          <w:tcPr>
            <w:tcW w:w="1226" w:type="pct"/>
            <w:tcBorders>
              <w:bottom w:val="single" w:sz="4" w:space="0" w:color="auto"/>
            </w:tcBorders>
            <w:vAlign w:val="center"/>
          </w:tcPr>
          <w:p w14:paraId="2DAA990C" w14:textId="77777777" w:rsidR="003361AE" w:rsidRPr="00DE04F7" w:rsidRDefault="003361AE" w:rsidP="00CA1F25">
            <w:pPr>
              <w:ind w:left="0"/>
              <w:jc w:val="center"/>
              <w:rPr>
                <w:sz w:val="22"/>
                <w:szCs w:val="22"/>
              </w:rPr>
            </w:pPr>
            <w:r w:rsidRPr="00DE04F7">
              <w:rPr>
                <w:sz w:val="22"/>
                <w:szCs w:val="22"/>
              </w:rPr>
              <w:t>12.5</w:t>
            </w:r>
          </w:p>
        </w:tc>
      </w:tr>
      <w:tr w:rsidR="003361AE" w:rsidRPr="006008DB" w14:paraId="28FF6DCC" w14:textId="77777777" w:rsidTr="00CA1F25">
        <w:trPr>
          <w:trHeight w:val="611"/>
          <w:jc w:val="center"/>
        </w:trPr>
        <w:tc>
          <w:tcPr>
            <w:tcW w:w="1802" w:type="pct"/>
            <w:tcBorders>
              <w:top w:val="single" w:sz="4" w:space="0" w:color="auto"/>
              <w:bottom w:val="double" w:sz="4" w:space="0" w:color="auto"/>
            </w:tcBorders>
            <w:vAlign w:val="center"/>
          </w:tcPr>
          <w:p w14:paraId="11620029" w14:textId="77777777" w:rsidR="003361AE" w:rsidRDefault="003361AE" w:rsidP="00CA1F25">
            <w:pPr>
              <w:ind w:left="0"/>
              <w:jc w:val="center"/>
              <w:rPr>
                <w:sz w:val="22"/>
                <w:szCs w:val="22"/>
              </w:rPr>
            </w:pPr>
            <w:r>
              <w:rPr>
                <w:sz w:val="22"/>
                <w:szCs w:val="22"/>
              </w:rPr>
              <w:t xml:space="preserve">Tier 2 and </w:t>
            </w:r>
          </w:p>
          <w:p w14:paraId="77ACD0A6" w14:textId="77777777" w:rsidR="003361AE" w:rsidRPr="00DE04F7" w:rsidRDefault="003361AE" w:rsidP="00CA1F25">
            <w:pPr>
              <w:ind w:left="0"/>
              <w:jc w:val="center"/>
              <w:rPr>
                <w:sz w:val="22"/>
                <w:szCs w:val="22"/>
              </w:rPr>
            </w:pPr>
            <w:r>
              <w:rPr>
                <w:sz w:val="22"/>
                <w:szCs w:val="22"/>
              </w:rPr>
              <w:t>Tier 3 discharging &gt;1,500 gpd</w:t>
            </w:r>
          </w:p>
        </w:tc>
        <w:tc>
          <w:tcPr>
            <w:tcW w:w="1333" w:type="pct"/>
            <w:tcBorders>
              <w:top w:val="single" w:sz="4" w:space="0" w:color="auto"/>
              <w:bottom w:val="double" w:sz="4" w:space="0" w:color="auto"/>
            </w:tcBorders>
            <w:vAlign w:val="center"/>
          </w:tcPr>
          <w:p w14:paraId="3BCD7381" w14:textId="77777777" w:rsidR="003361AE" w:rsidRPr="00DE04F7" w:rsidRDefault="003361AE" w:rsidP="00CA1F25">
            <w:pPr>
              <w:ind w:left="0"/>
              <w:jc w:val="center"/>
              <w:rPr>
                <w:b/>
                <w:sz w:val="22"/>
                <w:szCs w:val="22"/>
              </w:rPr>
            </w:pPr>
            <w:r w:rsidRPr="00DE04F7">
              <w:rPr>
                <w:b/>
                <w:sz w:val="22"/>
                <w:szCs w:val="22"/>
              </w:rPr>
              <w:t>Nitrate</w:t>
            </w:r>
          </w:p>
          <w:p w14:paraId="53D4F7CD" w14:textId="46565E31" w:rsidR="003361AE" w:rsidRPr="00DE04F7" w:rsidRDefault="003361AE" w:rsidP="003361AE">
            <w:pPr>
              <w:ind w:left="0"/>
              <w:jc w:val="center"/>
              <w:rPr>
                <w:b/>
                <w:sz w:val="22"/>
                <w:szCs w:val="22"/>
              </w:rPr>
            </w:pPr>
            <w:r>
              <w:rPr>
                <w:sz w:val="22"/>
                <w:szCs w:val="22"/>
              </w:rPr>
              <w:t>V</w:t>
            </w:r>
            <w:r w:rsidRPr="00BF2B01">
              <w:rPr>
                <w:sz w:val="22"/>
                <w:szCs w:val="22"/>
              </w:rPr>
              <w:t xml:space="preserve">egetation </w:t>
            </w:r>
          </w:p>
        </w:tc>
        <w:tc>
          <w:tcPr>
            <w:tcW w:w="639" w:type="pct"/>
            <w:tcBorders>
              <w:top w:val="single" w:sz="4" w:space="0" w:color="auto"/>
              <w:bottom w:val="double" w:sz="4" w:space="0" w:color="auto"/>
            </w:tcBorders>
            <w:vAlign w:val="center"/>
          </w:tcPr>
          <w:p w14:paraId="2C334871" w14:textId="77777777" w:rsidR="003361AE" w:rsidRPr="00DE04F7" w:rsidRDefault="003361AE" w:rsidP="00CA1F25">
            <w:pPr>
              <w:ind w:left="0"/>
              <w:jc w:val="center"/>
              <w:rPr>
                <w:sz w:val="22"/>
                <w:szCs w:val="22"/>
              </w:rPr>
            </w:pPr>
            <w:r w:rsidRPr="00DE04F7">
              <w:rPr>
                <w:sz w:val="22"/>
                <w:szCs w:val="22"/>
              </w:rPr>
              <w:t>mg/L-N</w:t>
            </w:r>
          </w:p>
        </w:tc>
        <w:tc>
          <w:tcPr>
            <w:tcW w:w="1226" w:type="pct"/>
            <w:tcBorders>
              <w:top w:val="single" w:sz="4" w:space="0" w:color="auto"/>
              <w:bottom w:val="double" w:sz="4" w:space="0" w:color="auto"/>
            </w:tcBorders>
            <w:vAlign w:val="center"/>
          </w:tcPr>
          <w:p w14:paraId="466EF024" w14:textId="77777777" w:rsidR="003361AE" w:rsidRPr="00DE04F7" w:rsidRDefault="003361AE" w:rsidP="00CA1F25">
            <w:pPr>
              <w:ind w:left="0"/>
              <w:jc w:val="center"/>
              <w:rPr>
                <w:sz w:val="22"/>
                <w:szCs w:val="22"/>
              </w:rPr>
            </w:pPr>
            <w:r w:rsidRPr="00DE04F7">
              <w:rPr>
                <w:sz w:val="22"/>
                <w:szCs w:val="22"/>
              </w:rPr>
              <w:t>20</w:t>
            </w:r>
          </w:p>
        </w:tc>
      </w:tr>
    </w:tbl>
    <w:p w14:paraId="13E658D9" w14:textId="77777777" w:rsidR="003361AE" w:rsidRPr="006008DB" w:rsidRDefault="003361AE" w:rsidP="003B0746">
      <w:pPr>
        <w:pStyle w:val="OrderItem"/>
        <w:spacing w:after="0"/>
        <w:ind w:left="0" w:firstLine="0"/>
        <w:rPr>
          <w:szCs w:val="24"/>
        </w:rPr>
      </w:pPr>
    </w:p>
    <w:p w14:paraId="114826E9" w14:textId="43A8F767" w:rsidR="00063478" w:rsidRDefault="00B9305D" w:rsidP="00362D97">
      <w:pPr>
        <w:pStyle w:val="ListParagraph"/>
        <w:numPr>
          <w:ilvl w:val="0"/>
          <w:numId w:val="53"/>
        </w:numPr>
        <w:spacing w:after="120"/>
        <w:ind w:left="720"/>
        <w:rPr>
          <w:b/>
        </w:rPr>
      </w:pPr>
      <w:r w:rsidRPr="00B9305D">
        <w:rPr>
          <w:b/>
        </w:rPr>
        <w:t xml:space="preserve">Chloride </w:t>
      </w:r>
      <w:r w:rsidRPr="002B1210">
        <w:rPr>
          <w:b/>
          <w:u w:val="single"/>
        </w:rPr>
        <w:t>Numeric Action Level</w:t>
      </w:r>
      <w:r w:rsidR="002B1210">
        <w:rPr>
          <w:b/>
        </w:rPr>
        <w:t xml:space="preserve"> – Tiers 2 and 3</w:t>
      </w:r>
    </w:p>
    <w:p w14:paraId="5C04D607" w14:textId="77777777" w:rsidR="00B9305D" w:rsidRPr="00B9305D" w:rsidRDefault="00B9305D" w:rsidP="00B9305D">
      <w:pPr>
        <w:pStyle w:val="ListParagraph"/>
        <w:spacing w:after="120"/>
        <w:rPr>
          <w:b/>
        </w:rPr>
      </w:pPr>
    </w:p>
    <w:p w14:paraId="180963BB" w14:textId="21CD7CCA" w:rsidR="00063478" w:rsidRDefault="008F39D8" w:rsidP="00362D97">
      <w:pPr>
        <w:pStyle w:val="ListParagraph"/>
        <w:numPr>
          <w:ilvl w:val="0"/>
          <w:numId w:val="66"/>
        </w:numPr>
        <w:spacing w:after="120"/>
        <w:ind w:left="1080"/>
        <w:contextualSpacing w:val="0"/>
        <w:rPr>
          <w:szCs w:val="24"/>
        </w:rPr>
      </w:pPr>
      <w:r>
        <w:rPr>
          <w:szCs w:val="24"/>
        </w:rPr>
        <w:t>Wineries</w:t>
      </w:r>
      <w:r w:rsidR="002B1210">
        <w:rPr>
          <w:szCs w:val="24"/>
        </w:rPr>
        <w:t xml:space="preserve"> in Tier 2 and Tier 3 that discharge greater than 1,500 gallons per day</w:t>
      </w:r>
      <w:r w:rsidR="00063478" w:rsidRPr="006008DB">
        <w:rPr>
          <w:szCs w:val="24"/>
        </w:rPr>
        <w:t xml:space="preserve">, </w:t>
      </w:r>
      <w:r>
        <w:rPr>
          <w:szCs w:val="24"/>
        </w:rPr>
        <w:t xml:space="preserve">shall meet </w:t>
      </w:r>
      <w:r w:rsidR="00063478" w:rsidRPr="006008DB">
        <w:rPr>
          <w:szCs w:val="24"/>
        </w:rPr>
        <w:t xml:space="preserve">the </w:t>
      </w:r>
      <w:r>
        <w:rPr>
          <w:szCs w:val="24"/>
        </w:rPr>
        <w:t>chloride numeric action level of</w:t>
      </w:r>
      <w:r w:rsidR="00063478" w:rsidRPr="006008DB">
        <w:rPr>
          <w:szCs w:val="24"/>
        </w:rPr>
        <w:t xml:space="preserve"> </w:t>
      </w:r>
      <w:r w:rsidR="00063478" w:rsidRPr="003B0746">
        <w:rPr>
          <w:b/>
          <w:szCs w:val="24"/>
        </w:rPr>
        <w:t>250 mg/L</w:t>
      </w:r>
      <w:r>
        <w:rPr>
          <w:b/>
          <w:szCs w:val="24"/>
        </w:rPr>
        <w:t xml:space="preserve"> </w:t>
      </w:r>
      <w:r w:rsidRPr="008F39D8">
        <w:rPr>
          <w:szCs w:val="24"/>
        </w:rPr>
        <w:t xml:space="preserve">as stated in </w:t>
      </w:r>
      <w:r>
        <w:rPr>
          <w:b/>
          <w:szCs w:val="24"/>
        </w:rPr>
        <w:t>Table 8</w:t>
      </w:r>
      <w:r w:rsidR="00063478" w:rsidRPr="006008DB">
        <w:rPr>
          <w:szCs w:val="24"/>
        </w:rPr>
        <w:t xml:space="preserve">. Exceeding of the chloride numeric action level </w:t>
      </w:r>
      <w:r w:rsidR="00063478" w:rsidRPr="00232A98">
        <w:rPr>
          <w:b/>
          <w:szCs w:val="24"/>
        </w:rPr>
        <w:t>three times</w:t>
      </w:r>
      <w:r w:rsidR="00063478" w:rsidRPr="006008DB">
        <w:rPr>
          <w:szCs w:val="24"/>
        </w:rPr>
        <w:t xml:space="preserve"> during a rolling </w:t>
      </w:r>
      <w:r w:rsidR="00063478" w:rsidRPr="00232A98">
        <w:rPr>
          <w:b/>
          <w:szCs w:val="24"/>
        </w:rPr>
        <w:t>12-month period</w:t>
      </w:r>
      <w:r w:rsidR="00063478" w:rsidRPr="006008DB">
        <w:rPr>
          <w:szCs w:val="24"/>
        </w:rPr>
        <w:t xml:space="preserve"> triggers the requirement to conduct, submit, and implement a Chloride Assessment and Management Plan, the details of which are provided in </w:t>
      </w:r>
      <w:r w:rsidR="00063478" w:rsidRPr="00EC046D">
        <w:rPr>
          <w:b/>
          <w:szCs w:val="24"/>
        </w:rPr>
        <w:t>Attachment G</w:t>
      </w:r>
      <w:r w:rsidR="00063478" w:rsidRPr="006008DB">
        <w:rPr>
          <w:szCs w:val="24"/>
        </w:rPr>
        <w:t>.</w:t>
      </w:r>
    </w:p>
    <w:p w14:paraId="3B43C16B" w14:textId="77777777" w:rsidR="00063478" w:rsidRPr="006008DB" w:rsidRDefault="00063478" w:rsidP="00362D97">
      <w:pPr>
        <w:pStyle w:val="OrderItem"/>
        <w:numPr>
          <w:ilvl w:val="0"/>
          <w:numId w:val="66"/>
        </w:numPr>
        <w:ind w:left="1080"/>
        <w:rPr>
          <w:szCs w:val="24"/>
        </w:rPr>
      </w:pPr>
      <w:r w:rsidRPr="006008DB">
        <w:rPr>
          <w:szCs w:val="24"/>
        </w:rPr>
        <w:t xml:space="preserve">Following the </w:t>
      </w:r>
      <w:r w:rsidRPr="00232A98">
        <w:rPr>
          <w:b/>
          <w:szCs w:val="24"/>
        </w:rPr>
        <w:t>third exceedance</w:t>
      </w:r>
      <w:r w:rsidRPr="006008DB">
        <w:rPr>
          <w:szCs w:val="24"/>
        </w:rPr>
        <w:t xml:space="preserve"> of the chloride numeric action level, the Discharger shall take the following actions:</w:t>
      </w:r>
    </w:p>
    <w:p w14:paraId="31600076" w14:textId="118F3A97" w:rsidR="00063478" w:rsidRPr="006008DB" w:rsidRDefault="00063478" w:rsidP="005202D4">
      <w:pPr>
        <w:pStyle w:val="OrderItem"/>
        <w:numPr>
          <w:ilvl w:val="0"/>
          <w:numId w:val="83"/>
        </w:numPr>
        <w:ind w:left="1440" w:hanging="180"/>
        <w:rPr>
          <w:szCs w:val="24"/>
        </w:rPr>
      </w:pPr>
      <w:r w:rsidRPr="006008DB">
        <w:rPr>
          <w:szCs w:val="24"/>
        </w:rPr>
        <w:t>Notify Regional Water Board staff via email or verbally when the third exceedance of the Numeric Action Level has occurred.</w:t>
      </w:r>
    </w:p>
    <w:p w14:paraId="4AFE797F" w14:textId="683D01A4" w:rsidR="00063478" w:rsidRPr="006008DB" w:rsidRDefault="00063478" w:rsidP="005202D4">
      <w:pPr>
        <w:pStyle w:val="OrderItem"/>
        <w:numPr>
          <w:ilvl w:val="0"/>
          <w:numId w:val="83"/>
        </w:numPr>
        <w:ind w:left="1440" w:hanging="180"/>
        <w:rPr>
          <w:szCs w:val="24"/>
        </w:rPr>
      </w:pPr>
      <w:r w:rsidRPr="006008DB">
        <w:rPr>
          <w:szCs w:val="24"/>
        </w:rPr>
        <w:t xml:space="preserve">Submit a </w:t>
      </w:r>
      <w:r w:rsidRPr="003B0746">
        <w:rPr>
          <w:b/>
          <w:szCs w:val="24"/>
        </w:rPr>
        <w:t>Chloride Assessment and Management Plan</w:t>
      </w:r>
      <w:r w:rsidR="00C43B0A">
        <w:rPr>
          <w:szCs w:val="24"/>
        </w:rPr>
        <w:t xml:space="preserve"> to the</w:t>
      </w:r>
      <w:r w:rsidRPr="006008DB">
        <w:rPr>
          <w:szCs w:val="24"/>
        </w:rPr>
        <w:t xml:space="preserve"> Regional Water Board within </w:t>
      </w:r>
      <w:r w:rsidRPr="00C43B0A">
        <w:rPr>
          <w:b/>
          <w:szCs w:val="24"/>
        </w:rPr>
        <w:t>six months</w:t>
      </w:r>
      <w:r w:rsidRPr="006008DB">
        <w:rPr>
          <w:szCs w:val="24"/>
        </w:rPr>
        <w:t xml:space="preserve"> of the third occurrence. </w:t>
      </w:r>
    </w:p>
    <w:p w14:paraId="1F87D3AE" w14:textId="7CB0D48C" w:rsidR="00063478" w:rsidRDefault="003B0746" w:rsidP="005202D4">
      <w:pPr>
        <w:pStyle w:val="OrderItem"/>
        <w:numPr>
          <w:ilvl w:val="0"/>
          <w:numId w:val="83"/>
        </w:numPr>
        <w:ind w:left="1440" w:hanging="180"/>
        <w:rPr>
          <w:szCs w:val="24"/>
        </w:rPr>
      </w:pPr>
      <w:r>
        <w:rPr>
          <w:szCs w:val="24"/>
        </w:rPr>
        <w:t>Sixty</w:t>
      </w:r>
      <w:r w:rsidR="00063478" w:rsidRPr="006008DB">
        <w:rPr>
          <w:szCs w:val="24"/>
        </w:rPr>
        <w:t xml:space="preserve"> days later, having incorporated</w:t>
      </w:r>
      <w:r w:rsidR="00C43B0A">
        <w:rPr>
          <w:szCs w:val="24"/>
        </w:rPr>
        <w:t xml:space="preserve"> any comments received from </w:t>
      </w:r>
      <w:r w:rsidR="00063478" w:rsidRPr="006008DB">
        <w:rPr>
          <w:szCs w:val="24"/>
        </w:rPr>
        <w:t>Region</w:t>
      </w:r>
      <w:r w:rsidR="00C43B0A">
        <w:rPr>
          <w:szCs w:val="24"/>
        </w:rPr>
        <w:t>al Water Board staff</w:t>
      </w:r>
      <w:r w:rsidR="00063478" w:rsidRPr="006008DB">
        <w:rPr>
          <w:szCs w:val="24"/>
        </w:rPr>
        <w:t>, implement any management practice and system configuration changes specified in the Chloride Assessment and Management Plan.</w:t>
      </w:r>
    </w:p>
    <w:p w14:paraId="5F3B7599" w14:textId="3537C17D" w:rsidR="00A31D68" w:rsidRDefault="00A31D68" w:rsidP="00A31D68">
      <w:pPr>
        <w:pStyle w:val="Caption"/>
        <w:keepNext/>
      </w:pPr>
      <w:bookmarkStart w:id="56" w:name="_Toc487107733"/>
      <w:r>
        <w:t xml:space="preserve">Table </w:t>
      </w:r>
      <w:r w:rsidR="00D35F67">
        <w:fldChar w:fldCharType="begin"/>
      </w:r>
      <w:r w:rsidR="00D35F67">
        <w:instrText xml:space="preserve"> SEQ Table \* ARABIC </w:instrText>
      </w:r>
      <w:r w:rsidR="00D35F67">
        <w:fldChar w:fldCharType="separate"/>
      </w:r>
      <w:r w:rsidR="00512EAC">
        <w:rPr>
          <w:noProof/>
        </w:rPr>
        <w:t>8</w:t>
      </w:r>
      <w:r w:rsidR="00D35F67">
        <w:rPr>
          <w:noProof/>
        </w:rPr>
        <w:fldChar w:fldCharType="end"/>
      </w:r>
      <w:r>
        <w:t xml:space="preserve">: Chloride </w:t>
      </w:r>
      <w:r w:rsidRPr="003361AE">
        <w:t xml:space="preserve">Numeric </w:t>
      </w:r>
      <w:r>
        <w:t>Action Level</w:t>
      </w:r>
      <w:bookmarkEnd w:id="56"/>
    </w:p>
    <w:tbl>
      <w:tblPr>
        <w:tblStyle w:val="TableGrid"/>
        <w:tblW w:w="4526"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44"/>
        <w:gridCol w:w="2252"/>
        <w:gridCol w:w="1079"/>
        <w:gridCol w:w="2071"/>
      </w:tblGrid>
      <w:tr w:rsidR="00DA3520" w:rsidRPr="006008DB" w14:paraId="6D10675B" w14:textId="77777777" w:rsidTr="00CA1F25">
        <w:trPr>
          <w:jc w:val="center"/>
        </w:trPr>
        <w:tc>
          <w:tcPr>
            <w:tcW w:w="1802" w:type="pct"/>
            <w:tcBorders>
              <w:top w:val="double" w:sz="4" w:space="0" w:color="auto"/>
              <w:bottom w:val="double" w:sz="4" w:space="0" w:color="auto"/>
            </w:tcBorders>
            <w:vAlign w:val="center"/>
          </w:tcPr>
          <w:p w14:paraId="06DC4CC2" w14:textId="77777777" w:rsidR="00DA3520" w:rsidRPr="006008DB" w:rsidRDefault="00DA3520" w:rsidP="00CA1F25">
            <w:pPr>
              <w:ind w:left="0"/>
              <w:jc w:val="center"/>
              <w:rPr>
                <w:b/>
                <w:i/>
              </w:rPr>
            </w:pPr>
            <w:r>
              <w:rPr>
                <w:b/>
              </w:rPr>
              <w:t>Tier</w:t>
            </w:r>
          </w:p>
        </w:tc>
        <w:tc>
          <w:tcPr>
            <w:tcW w:w="1333" w:type="pct"/>
            <w:tcBorders>
              <w:top w:val="double" w:sz="4" w:space="0" w:color="auto"/>
              <w:bottom w:val="double" w:sz="4" w:space="0" w:color="auto"/>
            </w:tcBorders>
            <w:vAlign w:val="center"/>
          </w:tcPr>
          <w:p w14:paraId="4C7956DD" w14:textId="77777777" w:rsidR="00DA3520" w:rsidRPr="006008DB" w:rsidRDefault="00DA3520" w:rsidP="00CA1F25">
            <w:pPr>
              <w:ind w:left="0"/>
              <w:jc w:val="center"/>
              <w:rPr>
                <w:b/>
              </w:rPr>
            </w:pPr>
            <w:r w:rsidRPr="006008DB">
              <w:rPr>
                <w:b/>
              </w:rPr>
              <w:t>Constituent</w:t>
            </w:r>
          </w:p>
        </w:tc>
        <w:tc>
          <w:tcPr>
            <w:tcW w:w="639" w:type="pct"/>
            <w:tcBorders>
              <w:top w:val="double" w:sz="4" w:space="0" w:color="auto"/>
              <w:bottom w:val="double" w:sz="4" w:space="0" w:color="auto"/>
            </w:tcBorders>
            <w:vAlign w:val="center"/>
          </w:tcPr>
          <w:p w14:paraId="66063273" w14:textId="77777777" w:rsidR="00DA3520" w:rsidRPr="006008DB" w:rsidRDefault="00DA3520" w:rsidP="00CA1F25">
            <w:pPr>
              <w:ind w:left="0"/>
              <w:jc w:val="center"/>
              <w:rPr>
                <w:b/>
              </w:rPr>
            </w:pPr>
            <w:r w:rsidRPr="006008DB">
              <w:rPr>
                <w:b/>
              </w:rPr>
              <w:t>Unit</w:t>
            </w:r>
          </w:p>
        </w:tc>
        <w:tc>
          <w:tcPr>
            <w:tcW w:w="1226" w:type="pct"/>
            <w:tcBorders>
              <w:top w:val="double" w:sz="4" w:space="0" w:color="auto"/>
              <w:bottom w:val="double" w:sz="4" w:space="0" w:color="auto"/>
            </w:tcBorders>
            <w:vAlign w:val="center"/>
          </w:tcPr>
          <w:p w14:paraId="16CA61A3" w14:textId="77777777" w:rsidR="00DA3520" w:rsidRPr="006008DB" w:rsidRDefault="00DA3520" w:rsidP="00CA1F25">
            <w:pPr>
              <w:ind w:left="0"/>
              <w:jc w:val="center"/>
              <w:rPr>
                <w:b/>
              </w:rPr>
            </w:pPr>
            <w:r>
              <w:rPr>
                <w:b/>
              </w:rPr>
              <w:t>Numeric Action Level</w:t>
            </w:r>
          </w:p>
        </w:tc>
      </w:tr>
      <w:tr w:rsidR="00DA3520" w:rsidRPr="006008DB" w14:paraId="1ADCEC5C" w14:textId="77777777" w:rsidTr="008F39D8">
        <w:trPr>
          <w:trHeight w:val="600"/>
          <w:jc w:val="center"/>
        </w:trPr>
        <w:tc>
          <w:tcPr>
            <w:tcW w:w="1802" w:type="pct"/>
            <w:vAlign w:val="center"/>
          </w:tcPr>
          <w:p w14:paraId="211D4D4F" w14:textId="77777777" w:rsidR="002B1210" w:rsidRDefault="002B1210" w:rsidP="002B1210">
            <w:pPr>
              <w:ind w:left="0"/>
              <w:jc w:val="center"/>
              <w:rPr>
                <w:sz w:val="22"/>
                <w:szCs w:val="22"/>
              </w:rPr>
            </w:pPr>
            <w:r>
              <w:rPr>
                <w:sz w:val="22"/>
                <w:szCs w:val="22"/>
              </w:rPr>
              <w:t xml:space="preserve">Tier 2 and </w:t>
            </w:r>
          </w:p>
          <w:p w14:paraId="7A6425D0" w14:textId="7C2B9E5F" w:rsidR="00DA3520" w:rsidRPr="00DE04F7" w:rsidRDefault="002B1210" w:rsidP="002B1210">
            <w:pPr>
              <w:ind w:left="0"/>
              <w:jc w:val="center"/>
              <w:rPr>
                <w:sz w:val="22"/>
                <w:szCs w:val="22"/>
              </w:rPr>
            </w:pPr>
            <w:r>
              <w:rPr>
                <w:sz w:val="22"/>
                <w:szCs w:val="22"/>
              </w:rPr>
              <w:t>Tier 3 discharging &gt;1,500 gpd</w:t>
            </w:r>
          </w:p>
        </w:tc>
        <w:tc>
          <w:tcPr>
            <w:tcW w:w="1333" w:type="pct"/>
            <w:vAlign w:val="center"/>
          </w:tcPr>
          <w:p w14:paraId="2C55F3D8" w14:textId="4B1142EE" w:rsidR="00DA3520" w:rsidRPr="00BF2B01" w:rsidRDefault="00DA3520" w:rsidP="00CA1F25">
            <w:pPr>
              <w:ind w:left="0"/>
              <w:jc w:val="center"/>
              <w:rPr>
                <w:sz w:val="22"/>
                <w:szCs w:val="22"/>
              </w:rPr>
            </w:pPr>
            <w:r>
              <w:rPr>
                <w:b/>
                <w:sz w:val="22"/>
                <w:szCs w:val="22"/>
              </w:rPr>
              <w:t>Chloride</w:t>
            </w:r>
          </w:p>
        </w:tc>
        <w:tc>
          <w:tcPr>
            <w:tcW w:w="639" w:type="pct"/>
            <w:vAlign w:val="center"/>
          </w:tcPr>
          <w:p w14:paraId="787874D1" w14:textId="37A97C90" w:rsidR="00DA3520" w:rsidRPr="00DE04F7" w:rsidRDefault="00DA3520" w:rsidP="008F39D8">
            <w:pPr>
              <w:spacing w:after="40"/>
              <w:ind w:left="0"/>
              <w:jc w:val="center"/>
              <w:rPr>
                <w:sz w:val="22"/>
                <w:szCs w:val="22"/>
              </w:rPr>
            </w:pPr>
            <w:r w:rsidRPr="00DE04F7">
              <w:rPr>
                <w:sz w:val="22"/>
                <w:szCs w:val="22"/>
              </w:rPr>
              <w:t>mg/</w:t>
            </w:r>
            <w:r>
              <w:rPr>
                <w:sz w:val="22"/>
                <w:szCs w:val="22"/>
              </w:rPr>
              <w:t>L</w:t>
            </w:r>
          </w:p>
        </w:tc>
        <w:tc>
          <w:tcPr>
            <w:tcW w:w="1226" w:type="pct"/>
            <w:vAlign w:val="center"/>
          </w:tcPr>
          <w:p w14:paraId="40265D7A" w14:textId="12AF7492" w:rsidR="00DA3520" w:rsidRPr="00DE04F7" w:rsidRDefault="00DA3520" w:rsidP="00CA1F25">
            <w:pPr>
              <w:ind w:left="0"/>
              <w:jc w:val="center"/>
              <w:rPr>
                <w:sz w:val="22"/>
                <w:szCs w:val="22"/>
              </w:rPr>
            </w:pPr>
            <w:r>
              <w:rPr>
                <w:sz w:val="22"/>
                <w:szCs w:val="22"/>
              </w:rPr>
              <w:t>250</w:t>
            </w:r>
          </w:p>
        </w:tc>
      </w:tr>
    </w:tbl>
    <w:p w14:paraId="27B37038" w14:textId="77777777" w:rsidR="003361AE" w:rsidRPr="006008DB" w:rsidRDefault="003361AE" w:rsidP="003361AE">
      <w:pPr>
        <w:pStyle w:val="OrderItem"/>
        <w:rPr>
          <w:szCs w:val="24"/>
        </w:rPr>
      </w:pPr>
    </w:p>
    <w:p w14:paraId="62B769B3" w14:textId="5D41C6AD" w:rsidR="00B9305D" w:rsidRDefault="00B9305D" w:rsidP="00362D97">
      <w:pPr>
        <w:pStyle w:val="ListParagraph"/>
        <w:numPr>
          <w:ilvl w:val="0"/>
          <w:numId w:val="53"/>
        </w:numPr>
        <w:spacing w:after="120"/>
        <w:ind w:left="720"/>
        <w:rPr>
          <w:b/>
        </w:rPr>
      </w:pPr>
      <w:proofErr w:type="spellStart"/>
      <w:r w:rsidRPr="00B9305D">
        <w:rPr>
          <w:b/>
        </w:rPr>
        <w:t>Sodicity</w:t>
      </w:r>
      <w:proofErr w:type="spellEnd"/>
      <w:r w:rsidRPr="00B9305D">
        <w:rPr>
          <w:b/>
        </w:rPr>
        <w:t xml:space="preserve"> </w:t>
      </w:r>
      <w:r w:rsidRPr="002B1210">
        <w:rPr>
          <w:b/>
          <w:u w:val="single"/>
        </w:rPr>
        <w:t>Numeric Action Level</w:t>
      </w:r>
      <w:r w:rsidRPr="00B9305D">
        <w:rPr>
          <w:b/>
        </w:rPr>
        <w:t xml:space="preserve"> that Applies to </w:t>
      </w:r>
      <w:r w:rsidR="00B21E6D">
        <w:rPr>
          <w:b/>
        </w:rPr>
        <w:t xml:space="preserve">Tier 2 and Tier 3 </w:t>
      </w:r>
      <w:r w:rsidRPr="00B9305D">
        <w:rPr>
          <w:b/>
        </w:rPr>
        <w:t xml:space="preserve">Facilities that Discharge </w:t>
      </w:r>
      <w:r w:rsidR="00CA1F25">
        <w:rPr>
          <w:b/>
        </w:rPr>
        <w:t xml:space="preserve">to Land </w:t>
      </w:r>
      <w:r w:rsidRPr="00B9305D">
        <w:rPr>
          <w:b/>
        </w:rPr>
        <w:t>by Surface Application or Irrigation</w:t>
      </w:r>
    </w:p>
    <w:p w14:paraId="339EB5FA" w14:textId="4DBC00D2" w:rsidR="00063478" w:rsidRDefault="00063478" w:rsidP="00362D97">
      <w:pPr>
        <w:pStyle w:val="OrderItem"/>
        <w:numPr>
          <w:ilvl w:val="0"/>
          <w:numId w:val="67"/>
        </w:numPr>
        <w:rPr>
          <w:szCs w:val="24"/>
        </w:rPr>
      </w:pPr>
      <w:r w:rsidRPr="006008DB">
        <w:rPr>
          <w:szCs w:val="24"/>
        </w:rPr>
        <w:t xml:space="preserve">The </w:t>
      </w:r>
      <w:proofErr w:type="spellStart"/>
      <w:r w:rsidRPr="006008DB">
        <w:rPr>
          <w:szCs w:val="24"/>
        </w:rPr>
        <w:t>Sodicity</w:t>
      </w:r>
      <w:proofErr w:type="spellEnd"/>
      <w:r w:rsidRPr="006008DB">
        <w:rPr>
          <w:szCs w:val="24"/>
        </w:rPr>
        <w:t xml:space="preserve"> Numeric Action Level, as measured by the combination of the Sodium Adsorption Ratio and Electrical</w:t>
      </w:r>
      <w:r w:rsidR="00CE2147">
        <w:rPr>
          <w:szCs w:val="24"/>
        </w:rPr>
        <w:t xml:space="preserve"> Conductivity as depicted </w:t>
      </w:r>
      <w:r w:rsidRPr="006008DB">
        <w:rPr>
          <w:szCs w:val="24"/>
        </w:rPr>
        <w:t xml:space="preserve">in </w:t>
      </w:r>
      <w:r w:rsidR="008F39D8">
        <w:rPr>
          <w:b/>
          <w:szCs w:val="24"/>
        </w:rPr>
        <w:t>Table 9</w:t>
      </w:r>
      <w:r w:rsidRPr="006008DB">
        <w:rPr>
          <w:szCs w:val="24"/>
        </w:rPr>
        <w:t xml:space="preserve">, applies to facilities </w:t>
      </w:r>
      <w:r w:rsidR="00B21E6D">
        <w:rPr>
          <w:szCs w:val="24"/>
        </w:rPr>
        <w:t xml:space="preserve">in Tier 2 and Tier 3 that discharge greater than 1,500 gpd on a monthly average </w:t>
      </w:r>
      <w:r w:rsidRPr="006008DB">
        <w:rPr>
          <w:szCs w:val="24"/>
        </w:rPr>
        <w:t xml:space="preserve">that discharge by </w:t>
      </w:r>
      <w:r w:rsidR="00CA1F25">
        <w:rPr>
          <w:szCs w:val="24"/>
        </w:rPr>
        <w:t xml:space="preserve">land </w:t>
      </w:r>
      <w:r w:rsidRPr="006008DB">
        <w:rPr>
          <w:szCs w:val="24"/>
        </w:rPr>
        <w:t xml:space="preserve">surface application, irrigation, or shallow subsurface irrigation (such as buried drip irrigation). The </w:t>
      </w:r>
      <w:proofErr w:type="spellStart"/>
      <w:r w:rsidRPr="006008DB">
        <w:rPr>
          <w:szCs w:val="24"/>
        </w:rPr>
        <w:t>Sodicity</w:t>
      </w:r>
      <w:proofErr w:type="spellEnd"/>
      <w:r w:rsidRPr="006008DB">
        <w:rPr>
          <w:szCs w:val="24"/>
        </w:rPr>
        <w:t xml:space="preserve"> Numeric Action Level does not apply to faciliti</w:t>
      </w:r>
      <w:r w:rsidR="001738FE">
        <w:rPr>
          <w:szCs w:val="24"/>
        </w:rPr>
        <w:t xml:space="preserve">es that discharge through </w:t>
      </w:r>
      <w:proofErr w:type="spellStart"/>
      <w:r w:rsidR="001738FE">
        <w:rPr>
          <w:szCs w:val="24"/>
        </w:rPr>
        <w:t>leach</w:t>
      </w:r>
      <w:r w:rsidRPr="006008DB">
        <w:rPr>
          <w:szCs w:val="24"/>
        </w:rPr>
        <w:t>fields</w:t>
      </w:r>
      <w:proofErr w:type="spellEnd"/>
      <w:r w:rsidRPr="006008DB">
        <w:rPr>
          <w:szCs w:val="24"/>
        </w:rPr>
        <w:t>.</w:t>
      </w:r>
    </w:p>
    <w:p w14:paraId="754D6CF9" w14:textId="4C6CD54D" w:rsidR="00CA1F25" w:rsidRPr="00CA1F25" w:rsidRDefault="00B9305D" w:rsidP="00362D97">
      <w:pPr>
        <w:pStyle w:val="OrderItem"/>
        <w:numPr>
          <w:ilvl w:val="0"/>
          <w:numId w:val="67"/>
        </w:numPr>
        <w:rPr>
          <w:szCs w:val="24"/>
        </w:rPr>
      </w:pPr>
      <w:r w:rsidRPr="006008DB">
        <w:rPr>
          <w:szCs w:val="24"/>
        </w:rPr>
        <w:t xml:space="preserve">The Discharger shall monitor and report the </w:t>
      </w:r>
      <w:r w:rsidR="00CA1F25" w:rsidRPr="006008DB">
        <w:rPr>
          <w:szCs w:val="24"/>
        </w:rPr>
        <w:t>Sodium Adsorption Ratio</w:t>
      </w:r>
      <w:r w:rsidRPr="006008DB">
        <w:rPr>
          <w:szCs w:val="24"/>
        </w:rPr>
        <w:t xml:space="preserve"> and electrical conductivity measurements in accordance with the</w:t>
      </w:r>
      <w:r w:rsidR="006323AF">
        <w:rPr>
          <w:szCs w:val="24"/>
        </w:rPr>
        <w:t xml:space="preserve"> schedule in the Monitoring Program</w:t>
      </w:r>
      <w:r w:rsidRPr="006008DB">
        <w:rPr>
          <w:szCs w:val="24"/>
        </w:rPr>
        <w:t xml:space="preserve"> </w:t>
      </w:r>
      <w:r w:rsidRPr="00CA1F25">
        <w:rPr>
          <w:szCs w:val="24"/>
        </w:rPr>
        <w:t>(</w:t>
      </w:r>
      <w:r w:rsidRPr="00CA1F25">
        <w:rPr>
          <w:b/>
        </w:rPr>
        <w:t>Attachment A</w:t>
      </w:r>
      <w:r w:rsidRPr="00CA1F25">
        <w:rPr>
          <w:szCs w:val="24"/>
        </w:rPr>
        <w:t>).</w:t>
      </w:r>
    </w:p>
    <w:p w14:paraId="23B09462" w14:textId="06F6C7E9" w:rsidR="00B9305D" w:rsidRPr="00CA1F25" w:rsidRDefault="00B9305D" w:rsidP="00362D97">
      <w:pPr>
        <w:pStyle w:val="OrderItem"/>
        <w:numPr>
          <w:ilvl w:val="0"/>
          <w:numId w:val="67"/>
        </w:numPr>
        <w:rPr>
          <w:szCs w:val="24"/>
        </w:rPr>
      </w:pPr>
      <w:r w:rsidRPr="00CA1F25">
        <w:rPr>
          <w:szCs w:val="24"/>
        </w:rPr>
        <w:t xml:space="preserve">Per </w:t>
      </w:r>
      <w:r w:rsidR="008F39D8">
        <w:rPr>
          <w:b/>
          <w:szCs w:val="24"/>
        </w:rPr>
        <w:t>Table 9</w:t>
      </w:r>
      <w:r w:rsidRPr="00CA1F25">
        <w:rPr>
          <w:szCs w:val="24"/>
        </w:rPr>
        <w:t xml:space="preserve">, a range of Sodium Adsorption Ratio values in correspondence with Electrical Conductivity values constitute a </w:t>
      </w:r>
      <w:proofErr w:type="spellStart"/>
      <w:r w:rsidRPr="00CA1F25">
        <w:rPr>
          <w:szCs w:val="24"/>
        </w:rPr>
        <w:t>Sodicity</w:t>
      </w:r>
      <w:proofErr w:type="spellEnd"/>
      <w:r w:rsidRPr="00CA1F25">
        <w:rPr>
          <w:szCs w:val="24"/>
        </w:rPr>
        <w:t xml:space="preserve"> NAL exceedance.</w:t>
      </w:r>
      <w:r w:rsidR="00CA1F25" w:rsidRPr="00CA1F25">
        <w:rPr>
          <w:rStyle w:val="FootnoteReference"/>
          <w:szCs w:val="24"/>
        </w:rPr>
        <w:t xml:space="preserve"> </w:t>
      </w:r>
      <w:r w:rsidR="00CA1F25" w:rsidRPr="00CA1F25">
        <w:rPr>
          <w:rStyle w:val="FootnoteReference"/>
          <w:szCs w:val="24"/>
        </w:rPr>
        <w:footnoteReference w:id="7"/>
      </w:r>
      <w:r w:rsidRPr="00CA1F25">
        <w:rPr>
          <w:szCs w:val="24"/>
        </w:rPr>
        <w:t xml:space="preserve"> </w:t>
      </w:r>
      <w:r w:rsidRPr="00B21E6D">
        <w:rPr>
          <w:b/>
          <w:szCs w:val="24"/>
        </w:rPr>
        <w:t>Three</w:t>
      </w:r>
      <w:r w:rsidRPr="00CA1F25">
        <w:rPr>
          <w:szCs w:val="24"/>
        </w:rPr>
        <w:t xml:space="preserve"> exceedances of the </w:t>
      </w:r>
      <w:proofErr w:type="spellStart"/>
      <w:r w:rsidRPr="00CA1F25">
        <w:rPr>
          <w:szCs w:val="24"/>
        </w:rPr>
        <w:t>Sodicity</w:t>
      </w:r>
      <w:proofErr w:type="spellEnd"/>
      <w:r w:rsidRPr="00CA1F25">
        <w:rPr>
          <w:szCs w:val="24"/>
        </w:rPr>
        <w:t xml:space="preserve"> NAL in a rolling 12-month period triggers the requirement </w:t>
      </w:r>
      <w:r w:rsidR="00B21E6D">
        <w:rPr>
          <w:szCs w:val="24"/>
        </w:rPr>
        <w:t>that the Discharger shall prepare</w:t>
      </w:r>
      <w:r w:rsidRPr="00CA1F25">
        <w:rPr>
          <w:szCs w:val="24"/>
        </w:rPr>
        <w:t xml:space="preserve">, submit, and implement a </w:t>
      </w:r>
      <w:proofErr w:type="spellStart"/>
      <w:r w:rsidRPr="00CA1F25">
        <w:rPr>
          <w:szCs w:val="24"/>
        </w:rPr>
        <w:t>Sodicity</w:t>
      </w:r>
      <w:proofErr w:type="spellEnd"/>
      <w:r w:rsidRPr="00CA1F25">
        <w:rPr>
          <w:szCs w:val="24"/>
        </w:rPr>
        <w:t xml:space="preserve"> </w:t>
      </w:r>
      <w:r w:rsidR="00B21E6D">
        <w:rPr>
          <w:szCs w:val="24"/>
        </w:rPr>
        <w:t xml:space="preserve">Assessment and </w:t>
      </w:r>
      <w:r w:rsidRPr="00CA1F25">
        <w:rPr>
          <w:szCs w:val="24"/>
        </w:rPr>
        <w:t>Management Plan</w:t>
      </w:r>
      <w:r w:rsidR="00B21E6D">
        <w:rPr>
          <w:szCs w:val="24"/>
        </w:rPr>
        <w:t xml:space="preserve">. </w:t>
      </w:r>
      <w:r w:rsidR="00B21E6D" w:rsidRPr="00B21E6D">
        <w:rPr>
          <w:b/>
          <w:szCs w:val="24"/>
        </w:rPr>
        <w:t>Attachment H</w:t>
      </w:r>
      <w:r w:rsidR="00B21E6D">
        <w:rPr>
          <w:szCs w:val="24"/>
        </w:rPr>
        <w:t xml:space="preserve"> </w:t>
      </w:r>
      <w:r w:rsidRPr="00CA1F25">
        <w:rPr>
          <w:szCs w:val="24"/>
        </w:rPr>
        <w:t xml:space="preserve">specifies the information that the Discharger shall </w:t>
      </w:r>
      <w:r w:rsidR="00B21E6D">
        <w:rPr>
          <w:szCs w:val="24"/>
        </w:rPr>
        <w:t>include</w:t>
      </w:r>
      <w:r w:rsidRPr="00CA1F25">
        <w:rPr>
          <w:szCs w:val="24"/>
        </w:rPr>
        <w:t xml:space="preserve"> in the </w:t>
      </w:r>
      <w:proofErr w:type="spellStart"/>
      <w:r w:rsidRPr="00CA1F25">
        <w:rPr>
          <w:szCs w:val="24"/>
        </w:rPr>
        <w:t>Sodicity</w:t>
      </w:r>
      <w:proofErr w:type="spellEnd"/>
      <w:r w:rsidRPr="00CA1F25">
        <w:rPr>
          <w:szCs w:val="24"/>
        </w:rPr>
        <w:t xml:space="preserve"> Assessment and Management Plan.</w:t>
      </w:r>
    </w:p>
    <w:p w14:paraId="3FA5EB8A" w14:textId="6D5AEED0" w:rsidR="00B9305D" w:rsidRPr="00B9305D" w:rsidRDefault="00B9305D" w:rsidP="00362D97">
      <w:pPr>
        <w:pStyle w:val="OrderItem"/>
        <w:numPr>
          <w:ilvl w:val="0"/>
          <w:numId w:val="67"/>
        </w:numPr>
        <w:rPr>
          <w:szCs w:val="24"/>
        </w:rPr>
      </w:pPr>
      <w:r w:rsidRPr="006008DB">
        <w:rPr>
          <w:szCs w:val="24"/>
        </w:rPr>
        <w:t>Following the third occurrence, the Discharger shall take the following actions:</w:t>
      </w:r>
    </w:p>
    <w:p w14:paraId="24EFE2F9" w14:textId="77777777" w:rsidR="00B9305D" w:rsidRDefault="00B9305D" w:rsidP="00362D97">
      <w:pPr>
        <w:pStyle w:val="ListParagraph"/>
        <w:numPr>
          <w:ilvl w:val="0"/>
          <w:numId w:val="68"/>
        </w:numPr>
        <w:spacing w:after="120"/>
        <w:ind w:left="1440" w:hanging="180"/>
        <w:contextualSpacing w:val="0"/>
      </w:pPr>
      <w:r w:rsidRPr="006008DB">
        <w:t>Notify Regional Water Board staff via email or verbally when the third encounter of the Numeric Action Level has occurred.</w:t>
      </w:r>
    </w:p>
    <w:p w14:paraId="25183551" w14:textId="77777777" w:rsidR="00B9305D" w:rsidRDefault="00B9305D" w:rsidP="00362D97">
      <w:pPr>
        <w:pStyle w:val="ListParagraph"/>
        <w:numPr>
          <w:ilvl w:val="0"/>
          <w:numId w:val="68"/>
        </w:numPr>
        <w:spacing w:after="120"/>
        <w:ind w:left="1440" w:hanging="180"/>
        <w:contextualSpacing w:val="0"/>
      </w:pPr>
      <w:r w:rsidRPr="006008DB">
        <w:t xml:space="preserve">Submit a </w:t>
      </w:r>
      <w:proofErr w:type="spellStart"/>
      <w:r w:rsidRPr="006008DB">
        <w:t>Sodicity</w:t>
      </w:r>
      <w:proofErr w:type="spellEnd"/>
      <w:r w:rsidRPr="006008DB">
        <w:t xml:space="preserve"> Assessment and Management Plan to the Regional Water Board within </w:t>
      </w:r>
      <w:r w:rsidRPr="00CA1F25">
        <w:rPr>
          <w:b/>
        </w:rPr>
        <w:t>six months</w:t>
      </w:r>
      <w:r w:rsidRPr="006008DB">
        <w:t xml:space="preserve"> via email or mail following the third occurrence. </w:t>
      </w:r>
    </w:p>
    <w:p w14:paraId="754CAE92" w14:textId="4070A142" w:rsidR="00B9305D" w:rsidRDefault="00B9305D" w:rsidP="00362D97">
      <w:pPr>
        <w:pStyle w:val="ListParagraph"/>
        <w:numPr>
          <w:ilvl w:val="0"/>
          <w:numId w:val="68"/>
        </w:numPr>
        <w:ind w:left="1454" w:hanging="187"/>
      </w:pPr>
      <w:r>
        <w:t>Not more than sixty</w:t>
      </w:r>
      <w:r w:rsidRPr="006008DB">
        <w:t xml:space="preserve"> days later, having incorporated</w:t>
      </w:r>
      <w:r w:rsidR="00C43B0A">
        <w:t xml:space="preserve"> any comments received from </w:t>
      </w:r>
      <w:r w:rsidRPr="006008DB">
        <w:t>Regional Water Board</w:t>
      </w:r>
      <w:r w:rsidR="00C43B0A">
        <w:t xml:space="preserve"> staff</w:t>
      </w:r>
      <w:r w:rsidRPr="006008DB">
        <w:t xml:space="preserve">, implement any management practice and system configuration changes specified in the </w:t>
      </w:r>
      <w:proofErr w:type="spellStart"/>
      <w:r w:rsidRPr="006008DB">
        <w:t>Sodicity</w:t>
      </w:r>
      <w:proofErr w:type="spellEnd"/>
      <w:r w:rsidRPr="006008DB">
        <w:t xml:space="preserve"> Assessment and Management Plan.</w:t>
      </w:r>
    </w:p>
    <w:p w14:paraId="48C96B9D" w14:textId="77777777" w:rsidR="00B9305D" w:rsidRDefault="00B9305D" w:rsidP="00B9305D">
      <w:pPr>
        <w:pStyle w:val="ListParagraph"/>
        <w:ind w:left="1454"/>
      </w:pPr>
    </w:p>
    <w:p w14:paraId="33C9E0F0" w14:textId="375D41C9" w:rsidR="00A31D68" w:rsidRDefault="00A31D68" w:rsidP="00A31D68">
      <w:pPr>
        <w:pStyle w:val="Caption"/>
        <w:keepNext/>
      </w:pPr>
      <w:bookmarkStart w:id="57" w:name="_Toc487107734"/>
      <w:r>
        <w:t xml:space="preserve">Table </w:t>
      </w:r>
      <w:r w:rsidR="00D35F67">
        <w:fldChar w:fldCharType="begin"/>
      </w:r>
      <w:r w:rsidR="00D35F67">
        <w:instrText xml:space="preserve"> SEQ Table \* ARABIC </w:instrText>
      </w:r>
      <w:r w:rsidR="00D35F67">
        <w:fldChar w:fldCharType="separate"/>
      </w:r>
      <w:r w:rsidR="00512EAC">
        <w:rPr>
          <w:noProof/>
        </w:rPr>
        <w:t>9</w:t>
      </w:r>
      <w:r w:rsidR="00D35F67">
        <w:rPr>
          <w:noProof/>
        </w:rPr>
        <w:fldChar w:fldCharType="end"/>
      </w:r>
      <w:r w:rsidRPr="009843EF">
        <w:t xml:space="preserve">: Sodium Adsorption Ratio and Electrical Conductivity </w:t>
      </w:r>
      <w:proofErr w:type="spellStart"/>
      <w:r w:rsidRPr="009843EF">
        <w:t>Sodicity</w:t>
      </w:r>
      <w:proofErr w:type="spellEnd"/>
      <w:r w:rsidRPr="009843EF">
        <w:t xml:space="preserve"> Numeric Action Level</w:t>
      </w:r>
      <w:r>
        <w:t xml:space="preserve"> (NAL) </w:t>
      </w:r>
      <w:r w:rsidRPr="009843EF">
        <w:t>Matrix</w:t>
      </w:r>
      <w:bookmarkEnd w:id="57"/>
    </w:p>
    <w:tbl>
      <w:tblPr>
        <w:tblStyle w:val="TableGrid"/>
        <w:tblW w:w="0" w:type="auto"/>
        <w:tblCellMar>
          <w:left w:w="29" w:type="dxa"/>
          <w:right w:w="29" w:type="dxa"/>
        </w:tblCellMar>
        <w:tblLook w:val="04A0" w:firstRow="1" w:lastRow="0" w:firstColumn="1" w:lastColumn="0" w:noHBand="0" w:noVBand="1"/>
      </w:tblPr>
      <w:tblGrid>
        <w:gridCol w:w="1469"/>
        <w:gridCol w:w="961"/>
        <w:gridCol w:w="2097"/>
        <w:gridCol w:w="2409"/>
        <w:gridCol w:w="2409"/>
      </w:tblGrid>
      <w:tr w:rsidR="005A3CE8" w:rsidRPr="006008DB" w14:paraId="21D401B9" w14:textId="77777777" w:rsidTr="001965DD">
        <w:trPr>
          <w:trHeight w:val="377"/>
        </w:trPr>
        <w:tc>
          <w:tcPr>
            <w:tcW w:w="1469" w:type="dxa"/>
            <w:tcBorders>
              <w:top w:val="nil"/>
              <w:left w:val="nil"/>
              <w:bottom w:val="nil"/>
              <w:right w:val="nil"/>
            </w:tcBorders>
          </w:tcPr>
          <w:p w14:paraId="5F131FDD" w14:textId="77777777" w:rsidR="00063478" w:rsidRPr="006008DB" w:rsidRDefault="00063478" w:rsidP="00F04A0A"/>
        </w:tc>
        <w:tc>
          <w:tcPr>
            <w:tcW w:w="961" w:type="dxa"/>
            <w:tcBorders>
              <w:top w:val="nil"/>
              <w:left w:val="nil"/>
              <w:bottom w:val="nil"/>
              <w:right w:val="double" w:sz="4" w:space="0" w:color="auto"/>
            </w:tcBorders>
          </w:tcPr>
          <w:p w14:paraId="7BBA3D5E" w14:textId="77777777" w:rsidR="00063478" w:rsidRPr="006008DB" w:rsidRDefault="00063478" w:rsidP="00F04A0A"/>
        </w:tc>
        <w:tc>
          <w:tcPr>
            <w:tcW w:w="6915" w:type="dxa"/>
            <w:gridSpan w:val="3"/>
            <w:tcBorders>
              <w:top w:val="double" w:sz="4" w:space="0" w:color="auto"/>
              <w:left w:val="double" w:sz="4" w:space="0" w:color="auto"/>
              <w:right w:val="double" w:sz="4" w:space="0" w:color="auto"/>
            </w:tcBorders>
            <w:vAlign w:val="center"/>
          </w:tcPr>
          <w:p w14:paraId="32D1486B" w14:textId="77777777" w:rsidR="00063478" w:rsidRPr="006008DB" w:rsidRDefault="00063478" w:rsidP="00F04A0A">
            <w:pPr>
              <w:jc w:val="center"/>
              <w:rPr>
                <w:b/>
              </w:rPr>
            </w:pPr>
            <w:r w:rsidRPr="006008DB">
              <w:rPr>
                <w:b/>
              </w:rPr>
              <w:t>Electrical Conductivity</w:t>
            </w:r>
          </w:p>
        </w:tc>
      </w:tr>
      <w:tr w:rsidR="005A3CE8" w:rsidRPr="006008DB" w14:paraId="2912C15B" w14:textId="77777777" w:rsidTr="001965DD">
        <w:tc>
          <w:tcPr>
            <w:tcW w:w="1469" w:type="dxa"/>
            <w:tcBorders>
              <w:top w:val="nil"/>
              <w:left w:val="nil"/>
              <w:bottom w:val="nil"/>
              <w:right w:val="nil"/>
            </w:tcBorders>
          </w:tcPr>
          <w:p w14:paraId="5D52C94F" w14:textId="77777777" w:rsidR="00063478" w:rsidRPr="006008DB" w:rsidRDefault="00063478" w:rsidP="00F04A0A"/>
        </w:tc>
        <w:tc>
          <w:tcPr>
            <w:tcW w:w="961" w:type="dxa"/>
            <w:tcBorders>
              <w:top w:val="nil"/>
              <w:left w:val="nil"/>
              <w:bottom w:val="nil"/>
              <w:right w:val="double" w:sz="4" w:space="0" w:color="auto"/>
            </w:tcBorders>
          </w:tcPr>
          <w:p w14:paraId="4C01B0E4" w14:textId="77777777" w:rsidR="00063478" w:rsidRPr="006008DB" w:rsidRDefault="00063478" w:rsidP="00F04A0A"/>
        </w:tc>
        <w:tc>
          <w:tcPr>
            <w:tcW w:w="2097" w:type="dxa"/>
            <w:tcBorders>
              <w:left w:val="double" w:sz="4" w:space="0" w:color="auto"/>
              <w:bottom w:val="nil"/>
            </w:tcBorders>
            <w:vAlign w:val="center"/>
          </w:tcPr>
          <w:p w14:paraId="77EC08D2" w14:textId="77777777" w:rsidR="00063478" w:rsidRPr="006008DB" w:rsidRDefault="00063478" w:rsidP="00EC046D">
            <w:pPr>
              <w:rPr>
                <w:b/>
              </w:rPr>
            </w:pPr>
            <w:r w:rsidRPr="006008DB">
              <w:rPr>
                <w:b/>
              </w:rPr>
              <w:t>&lt; 0.3</w:t>
            </w:r>
          </w:p>
        </w:tc>
        <w:tc>
          <w:tcPr>
            <w:tcW w:w="0" w:type="auto"/>
            <w:tcBorders>
              <w:bottom w:val="nil"/>
            </w:tcBorders>
            <w:vAlign w:val="center"/>
          </w:tcPr>
          <w:p w14:paraId="351B5301" w14:textId="7FB48B8E" w:rsidR="00063478" w:rsidRPr="006008DB" w:rsidRDefault="00EC046D" w:rsidP="00EC046D">
            <w:pPr>
              <w:rPr>
                <w:b/>
              </w:rPr>
            </w:pPr>
            <w:r>
              <w:rPr>
                <w:b/>
              </w:rPr>
              <w:t>0.3 to</w:t>
            </w:r>
            <w:r w:rsidR="00063478" w:rsidRPr="006008DB">
              <w:rPr>
                <w:b/>
              </w:rPr>
              <w:t xml:space="preserve"> 0.5</w:t>
            </w:r>
          </w:p>
        </w:tc>
        <w:tc>
          <w:tcPr>
            <w:tcW w:w="0" w:type="auto"/>
            <w:tcBorders>
              <w:bottom w:val="nil"/>
              <w:right w:val="double" w:sz="4" w:space="0" w:color="auto"/>
            </w:tcBorders>
            <w:vAlign w:val="center"/>
          </w:tcPr>
          <w:p w14:paraId="744C2ACC" w14:textId="5FDA4CF5" w:rsidR="00063478" w:rsidRPr="006008DB" w:rsidRDefault="00063478" w:rsidP="00EC046D">
            <w:pPr>
              <w:rPr>
                <w:b/>
              </w:rPr>
            </w:pPr>
            <w:r w:rsidRPr="006008DB">
              <w:rPr>
                <w:b/>
              </w:rPr>
              <w:t>0.5</w:t>
            </w:r>
            <w:r w:rsidR="001965DD">
              <w:rPr>
                <w:b/>
              </w:rPr>
              <w:t xml:space="preserve"> to 1.3</w:t>
            </w:r>
          </w:p>
        </w:tc>
      </w:tr>
      <w:tr w:rsidR="005A3CE8" w:rsidRPr="006008DB" w14:paraId="537F46DF" w14:textId="77777777" w:rsidTr="001965DD">
        <w:tc>
          <w:tcPr>
            <w:tcW w:w="1469" w:type="dxa"/>
            <w:tcBorders>
              <w:top w:val="nil"/>
              <w:left w:val="nil"/>
              <w:bottom w:val="double" w:sz="4" w:space="0" w:color="auto"/>
              <w:right w:val="nil"/>
            </w:tcBorders>
          </w:tcPr>
          <w:p w14:paraId="4F909374" w14:textId="77777777" w:rsidR="00063478" w:rsidRPr="006008DB" w:rsidRDefault="00063478" w:rsidP="00F04A0A"/>
        </w:tc>
        <w:tc>
          <w:tcPr>
            <w:tcW w:w="961" w:type="dxa"/>
            <w:tcBorders>
              <w:top w:val="nil"/>
              <w:left w:val="nil"/>
              <w:bottom w:val="double" w:sz="4" w:space="0" w:color="auto"/>
              <w:right w:val="double" w:sz="4" w:space="0" w:color="auto"/>
            </w:tcBorders>
          </w:tcPr>
          <w:p w14:paraId="7875A958" w14:textId="77777777" w:rsidR="00063478" w:rsidRPr="006008DB" w:rsidRDefault="00063478" w:rsidP="00F04A0A"/>
        </w:tc>
        <w:tc>
          <w:tcPr>
            <w:tcW w:w="2097" w:type="dxa"/>
            <w:tcBorders>
              <w:top w:val="nil"/>
              <w:left w:val="double" w:sz="4" w:space="0" w:color="auto"/>
              <w:bottom w:val="double" w:sz="4" w:space="0" w:color="auto"/>
            </w:tcBorders>
          </w:tcPr>
          <w:p w14:paraId="54EE9DDD" w14:textId="77777777" w:rsidR="00063478" w:rsidRPr="006008DB" w:rsidRDefault="00063478" w:rsidP="00EC046D">
            <w:proofErr w:type="spellStart"/>
            <w:r w:rsidRPr="006008DB">
              <w:t>dS</w:t>
            </w:r>
            <w:proofErr w:type="spellEnd"/>
            <w:r w:rsidRPr="006008DB">
              <w:t>/m</w:t>
            </w:r>
            <w:r w:rsidRPr="006008DB">
              <w:rPr>
                <w:rStyle w:val="FootnoteReference"/>
                <w:rFonts w:eastAsiaTheme="majorEastAsia"/>
              </w:rPr>
              <w:footnoteReference w:id="8"/>
            </w:r>
          </w:p>
        </w:tc>
        <w:tc>
          <w:tcPr>
            <w:tcW w:w="0" w:type="auto"/>
            <w:tcBorders>
              <w:top w:val="nil"/>
              <w:bottom w:val="double" w:sz="4" w:space="0" w:color="auto"/>
            </w:tcBorders>
          </w:tcPr>
          <w:p w14:paraId="612AFBBA" w14:textId="77777777" w:rsidR="00063478" w:rsidRPr="006008DB" w:rsidRDefault="00063478" w:rsidP="00EC046D">
            <w:proofErr w:type="spellStart"/>
            <w:r w:rsidRPr="006008DB">
              <w:t>dS</w:t>
            </w:r>
            <w:proofErr w:type="spellEnd"/>
            <w:r w:rsidRPr="006008DB">
              <w:t>/m</w:t>
            </w:r>
          </w:p>
        </w:tc>
        <w:tc>
          <w:tcPr>
            <w:tcW w:w="0" w:type="auto"/>
            <w:tcBorders>
              <w:top w:val="nil"/>
              <w:bottom w:val="double" w:sz="4" w:space="0" w:color="auto"/>
              <w:right w:val="double" w:sz="4" w:space="0" w:color="auto"/>
            </w:tcBorders>
          </w:tcPr>
          <w:p w14:paraId="4908039C" w14:textId="77777777" w:rsidR="00063478" w:rsidRPr="006008DB" w:rsidRDefault="00063478" w:rsidP="00EC046D">
            <w:proofErr w:type="spellStart"/>
            <w:r w:rsidRPr="006008DB">
              <w:t>dS</w:t>
            </w:r>
            <w:proofErr w:type="spellEnd"/>
            <w:r w:rsidRPr="006008DB">
              <w:t>/m</w:t>
            </w:r>
          </w:p>
        </w:tc>
      </w:tr>
      <w:tr w:rsidR="005A3CE8" w:rsidRPr="006008DB" w14:paraId="3D0BB7FA" w14:textId="77777777" w:rsidTr="001965DD">
        <w:trPr>
          <w:trHeight w:val="402"/>
        </w:trPr>
        <w:tc>
          <w:tcPr>
            <w:tcW w:w="1469" w:type="dxa"/>
            <w:vMerge w:val="restart"/>
            <w:tcBorders>
              <w:top w:val="double" w:sz="4" w:space="0" w:color="auto"/>
              <w:left w:val="double" w:sz="4" w:space="0" w:color="auto"/>
            </w:tcBorders>
            <w:vAlign w:val="center"/>
          </w:tcPr>
          <w:p w14:paraId="54CEB2A0" w14:textId="77777777" w:rsidR="00063478" w:rsidRPr="006008DB" w:rsidRDefault="00063478" w:rsidP="00710BEF">
            <w:pPr>
              <w:ind w:left="0"/>
              <w:rPr>
                <w:b/>
              </w:rPr>
            </w:pPr>
            <w:r w:rsidRPr="006008DB">
              <w:rPr>
                <w:b/>
              </w:rPr>
              <w:t>Sodium Adsorption Ratio (SAR)</w:t>
            </w:r>
          </w:p>
        </w:tc>
        <w:tc>
          <w:tcPr>
            <w:tcW w:w="961" w:type="dxa"/>
            <w:tcBorders>
              <w:top w:val="double" w:sz="4" w:space="0" w:color="auto"/>
            </w:tcBorders>
            <w:vAlign w:val="center"/>
          </w:tcPr>
          <w:p w14:paraId="18A78742" w14:textId="77777777" w:rsidR="00063478" w:rsidRPr="006008DB" w:rsidRDefault="00063478" w:rsidP="00710BEF">
            <w:pPr>
              <w:ind w:left="0"/>
              <w:jc w:val="center"/>
              <w:rPr>
                <w:b/>
              </w:rPr>
            </w:pPr>
            <w:r w:rsidRPr="006008DB">
              <w:rPr>
                <w:b/>
              </w:rPr>
              <w:t>&lt; 3</w:t>
            </w:r>
          </w:p>
        </w:tc>
        <w:tc>
          <w:tcPr>
            <w:tcW w:w="2097" w:type="dxa"/>
            <w:tcBorders>
              <w:top w:val="double" w:sz="4" w:space="0" w:color="auto"/>
              <w:bottom w:val="single" w:sz="4" w:space="0" w:color="auto"/>
            </w:tcBorders>
            <w:vAlign w:val="center"/>
          </w:tcPr>
          <w:p w14:paraId="6DFCAE5D" w14:textId="01A57C47" w:rsidR="00063478" w:rsidRPr="00EC046D" w:rsidRDefault="00AF0DDF" w:rsidP="00EC046D">
            <w:pPr>
              <w:ind w:left="0"/>
              <w:rPr>
                <w:sz w:val="22"/>
                <w:szCs w:val="22"/>
              </w:rPr>
            </w:pPr>
            <w:r w:rsidRPr="00EC046D">
              <w:rPr>
                <w:sz w:val="22"/>
                <w:szCs w:val="22"/>
              </w:rPr>
              <w:t>No</w:t>
            </w:r>
            <w:r w:rsidR="00EC046D" w:rsidRPr="00EC046D">
              <w:rPr>
                <w:sz w:val="22"/>
                <w:szCs w:val="22"/>
              </w:rPr>
              <w:t>t an Exceedance</w:t>
            </w:r>
          </w:p>
        </w:tc>
        <w:tc>
          <w:tcPr>
            <w:tcW w:w="0" w:type="auto"/>
            <w:tcBorders>
              <w:top w:val="double" w:sz="4" w:space="0" w:color="auto"/>
            </w:tcBorders>
            <w:vAlign w:val="center"/>
          </w:tcPr>
          <w:p w14:paraId="11BA1941" w14:textId="0E5542C0" w:rsidR="00063478" w:rsidRPr="006008DB" w:rsidRDefault="00EC046D" w:rsidP="005A3CE8">
            <w:pPr>
              <w:ind w:left="0"/>
            </w:pPr>
            <w:r w:rsidRPr="00EC046D">
              <w:rPr>
                <w:sz w:val="22"/>
                <w:szCs w:val="22"/>
              </w:rPr>
              <w:t>Not an Exceedance</w:t>
            </w:r>
          </w:p>
        </w:tc>
        <w:tc>
          <w:tcPr>
            <w:tcW w:w="0" w:type="auto"/>
            <w:tcBorders>
              <w:top w:val="double" w:sz="4" w:space="0" w:color="auto"/>
              <w:right w:val="double" w:sz="4" w:space="0" w:color="auto"/>
            </w:tcBorders>
            <w:vAlign w:val="center"/>
          </w:tcPr>
          <w:p w14:paraId="2B6782A5" w14:textId="313C3190" w:rsidR="00063478" w:rsidRPr="006008DB" w:rsidRDefault="00EC046D" w:rsidP="0058704F">
            <w:pPr>
              <w:ind w:left="0"/>
            </w:pPr>
            <w:r w:rsidRPr="00EC046D">
              <w:rPr>
                <w:sz w:val="22"/>
                <w:szCs w:val="22"/>
              </w:rPr>
              <w:t>Not an Exceedance</w:t>
            </w:r>
          </w:p>
        </w:tc>
      </w:tr>
      <w:tr w:rsidR="00710BEF" w:rsidRPr="006008DB" w14:paraId="197E33D5" w14:textId="77777777" w:rsidTr="001965DD">
        <w:tc>
          <w:tcPr>
            <w:tcW w:w="1469" w:type="dxa"/>
            <w:vMerge/>
            <w:tcBorders>
              <w:left w:val="double" w:sz="4" w:space="0" w:color="auto"/>
            </w:tcBorders>
          </w:tcPr>
          <w:p w14:paraId="059DC8F7" w14:textId="77777777" w:rsidR="00063478" w:rsidRPr="006008DB" w:rsidRDefault="00063478">
            <w:pPr>
              <w:ind w:left="0"/>
            </w:pPr>
          </w:p>
        </w:tc>
        <w:tc>
          <w:tcPr>
            <w:tcW w:w="961" w:type="dxa"/>
            <w:vAlign w:val="center"/>
          </w:tcPr>
          <w:p w14:paraId="113368BA" w14:textId="77777777" w:rsidR="00063478" w:rsidRPr="006008DB" w:rsidRDefault="00063478" w:rsidP="00710BEF">
            <w:pPr>
              <w:ind w:left="0"/>
              <w:jc w:val="center"/>
              <w:rPr>
                <w:b/>
              </w:rPr>
            </w:pPr>
            <w:r w:rsidRPr="006008DB">
              <w:rPr>
                <w:b/>
              </w:rPr>
              <w:t>3 - 6</w:t>
            </w:r>
          </w:p>
        </w:tc>
        <w:tc>
          <w:tcPr>
            <w:tcW w:w="2097" w:type="dxa"/>
            <w:tcBorders>
              <w:bottom w:val="single" w:sz="4" w:space="0" w:color="auto"/>
            </w:tcBorders>
            <w:shd w:val="clear" w:color="auto" w:fill="DBE5F1" w:themeFill="accent1" w:themeFillTint="33"/>
            <w:vAlign w:val="center"/>
          </w:tcPr>
          <w:p w14:paraId="7C45557F" w14:textId="77777777" w:rsidR="00063478" w:rsidRPr="006008DB" w:rsidRDefault="00063478" w:rsidP="00710BEF">
            <w:pPr>
              <w:ind w:left="0"/>
            </w:pPr>
            <w:proofErr w:type="spellStart"/>
            <w:r w:rsidRPr="006008DB">
              <w:t>Sodicity</w:t>
            </w:r>
            <w:proofErr w:type="spellEnd"/>
            <w:r w:rsidRPr="006008DB">
              <w:t xml:space="preserve"> NAL Exceedance</w:t>
            </w:r>
          </w:p>
        </w:tc>
        <w:tc>
          <w:tcPr>
            <w:tcW w:w="0" w:type="auto"/>
            <w:tcBorders>
              <w:bottom w:val="single" w:sz="4" w:space="0" w:color="auto"/>
            </w:tcBorders>
            <w:vAlign w:val="center"/>
          </w:tcPr>
          <w:p w14:paraId="0AEDF69B" w14:textId="4E3CA134" w:rsidR="00063478" w:rsidRPr="006008DB" w:rsidRDefault="00EC046D" w:rsidP="005A3CE8">
            <w:pPr>
              <w:ind w:left="0"/>
            </w:pPr>
            <w:r w:rsidRPr="00EC046D">
              <w:rPr>
                <w:sz w:val="22"/>
                <w:szCs w:val="22"/>
              </w:rPr>
              <w:t>Not an Exceedance</w:t>
            </w:r>
          </w:p>
        </w:tc>
        <w:tc>
          <w:tcPr>
            <w:tcW w:w="0" w:type="auto"/>
            <w:tcBorders>
              <w:right w:val="double" w:sz="4" w:space="0" w:color="auto"/>
            </w:tcBorders>
            <w:vAlign w:val="center"/>
          </w:tcPr>
          <w:p w14:paraId="661A4962" w14:textId="56248854" w:rsidR="00063478" w:rsidRPr="006008DB" w:rsidRDefault="00EC046D" w:rsidP="0058704F">
            <w:pPr>
              <w:ind w:left="0"/>
            </w:pPr>
            <w:r w:rsidRPr="00EC046D">
              <w:rPr>
                <w:sz w:val="22"/>
                <w:szCs w:val="22"/>
              </w:rPr>
              <w:t>Not an Exceedance</w:t>
            </w:r>
          </w:p>
        </w:tc>
      </w:tr>
      <w:tr w:rsidR="00710BEF" w:rsidRPr="006008DB" w14:paraId="0B05CE5C" w14:textId="77777777" w:rsidTr="001965DD">
        <w:tc>
          <w:tcPr>
            <w:tcW w:w="1469" w:type="dxa"/>
            <w:vMerge/>
            <w:tcBorders>
              <w:left w:val="double" w:sz="4" w:space="0" w:color="auto"/>
            </w:tcBorders>
          </w:tcPr>
          <w:p w14:paraId="19973631" w14:textId="77777777" w:rsidR="00063478" w:rsidRPr="006008DB" w:rsidRDefault="00063478">
            <w:pPr>
              <w:ind w:left="0"/>
            </w:pPr>
          </w:p>
        </w:tc>
        <w:tc>
          <w:tcPr>
            <w:tcW w:w="961" w:type="dxa"/>
            <w:vAlign w:val="center"/>
          </w:tcPr>
          <w:p w14:paraId="5906B809" w14:textId="63C03241" w:rsidR="00063478" w:rsidRPr="006008DB" w:rsidRDefault="001965DD" w:rsidP="00710BEF">
            <w:pPr>
              <w:ind w:left="0"/>
              <w:jc w:val="center"/>
              <w:rPr>
                <w:b/>
              </w:rPr>
            </w:pPr>
            <w:r>
              <w:rPr>
                <w:b/>
              </w:rPr>
              <w:t>6 - 12</w:t>
            </w:r>
          </w:p>
        </w:tc>
        <w:tc>
          <w:tcPr>
            <w:tcW w:w="2097" w:type="dxa"/>
            <w:shd w:val="clear" w:color="auto" w:fill="DBE5F1" w:themeFill="accent1" w:themeFillTint="33"/>
            <w:vAlign w:val="center"/>
          </w:tcPr>
          <w:p w14:paraId="71CF20FC" w14:textId="77777777" w:rsidR="00063478" w:rsidRPr="006008DB" w:rsidRDefault="00063478" w:rsidP="00710BEF">
            <w:pPr>
              <w:ind w:left="0"/>
            </w:pPr>
            <w:proofErr w:type="spellStart"/>
            <w:r w:rsidRPr="006008DB">
              <w:t>Sodicity</w:t>
            </w:r>
            <w:proofErr w:type="spellEnd"/>
            <w:r w:rsidRPr="006008DB">
              <w:t xml:space="preserve"> NAL Exceedance</w:t>
            </w:r>
          </w:p>
        </w:tc>
        <w:tc>
          <w:tcPr>
            <w:tcW w:w="0" w:type="auto"/>
            <w:shd w:val="clear" w:color="auto" w:fill="DBE5F1" w:themeFill="accent1" w:themeFillTint="33"/>
            <w:vAlign w:val="center"/>
          </w:tcPr>
          <w:p w14:paraId="32315D15" w14:textId="77777777" w:rsidR="00063478" w:rsidRPr="006008DB" w:rsidRDefault="00063478" w:rsidP="00710BEF">
            <w:pPr>
              <w:ind w:left="0"/>
            </w:pPr>
            <w:proofErr w:type="spellStart"/>
            <w:r w:rsidRPr="006008DB">
              <w:t>Sodicity</w:t>
            </w:r>
            <w:proofErr w:type="spellEnd"/>
            <w:r w:rsidRPr="006008DB">
              <w:t xml:space="preserve"> NAL Exceedance</w:t>
            </w:r>
          </w:p>
        </w:tc>
        <w:tc>
          <w:tcPr>
            <w:tcW w:w="0" w:type="auto"/>
            <w:tcBorders>
              <w:right w:val="double" w:sz="4" w:space="0" w:color="auto"/>
            </w:tcBorders>
            <w:vAlign w:val="center"/>
          </w:tcPr>
          <w:p w14:paraId="2ACCB9EF" w14:textId="674E211E" w:rsidR="00063478" w:rsidRPr="006008DB" w:rsidRDefault="00EC046D" w:rsidP="005A3CE8">
            <w:pPr>
              <w:ind w:left="0"/>
            </w:pPr>
            <w:r w:rsidRPr="00EC046D">
              <w:rPr>
                <w:sz w:val="22"/>
                <w:szCs w:val="22"/>
              </w:rPr>
              <w:t>Not an Exceedance</w:t>
            </w:r>
          </w:p>
        </w:tc>
      </w:tr>
      <w:tr w:rsidR="005A3CE8" w:rsidRPr="006008DB" w14:paraId="20B89C2B" w14:textId="77777777" w:rsidTr="001965DD">
        <w:tc>
          <w:tcPr>
            <w:tcW w:w="1469" w:type="dxa"/>
            <w:vMerge/>
            <w:tcBorders>
              <w:left w:val="double" w:sz="4" w:space="0" w:color="auto"/>
            </w:tcBorders>
          </w:tcPr>
          <w:p w14:paraId="78CA4C4D" w14:textId="77777777" w:rsidR="00063478" w:rsidRPr="006008DB" w:rsidRDefault="00063478">
            <w:pPr>
              <w:ind w:left="0"/>
            </w:pPr>
          </w:p>
        </w:tc>
        <w:tc>
          <w:tcPr>
            <w:tcW w:w="961" w:type="dxa"/>
            <w:vAlign w:val="center"/>
          </w:tcPr>
          <w:p w14:paraId="03DE1E9C" w14:textId="1069D1E4" w:rsidR="00063478" w:rsidRPr="006008DB" w:rsidRDefault="001965DD" w:rsidP="00710BEF">
            <w:pPr>
              <w:ind w:left="0"/>
              <w:jc w:val="center"/>
              <w:rPr>
                <w:b/>
              </w:rPr>
            </w:pPr>
            <w:r>
              <w:rPr>
                <w:b/>
              </w:rPr>
              <w:t>12 - 20</w:t>
            </w:r>
          </w:p>
        </w:tc>
        <w:tc>
          <w:tcPr>
            <w:tcW w:w="2097" w:type="dxa"/>
            <w:shd w:val="clear" w:color="auto" w:fill="DBE5F1" w:themeFill="accent1" w:themeFillTint="33"/>
            <w:vAlign w:val="center"/>
          </w:tcPr>
          <w:p w14:paraId="7B490B14" w14:textId="77777777" w:rsidR="00063478" w:rsidRPr="006008DB" w:rsidRDefault="00063478" w:rsidP="00710BEF">
            <w:pPr>
              <w:ind w:left="0"/>
            </w:pPr>
            <w:proofErr w:type="spellStart"/>
            <w:r w:rsidRPr="006008DB">
              <w:t>Sodicity</w:t>
            </w:r>
            <w:proofErr w:type="spellEnd"/>
            <w:r w:rsidRPr="006008DB">
              <w:t xml:space="preserve"> NAL Exceedance</w:t>
            </w:r>
          </w:p>
        </w:tc>
        <w:tc>
          <w:tcPr>
            <w:tcW w:w="0" w:type="auto"/>
            <w:shd w:val="clear" w:color="auto" w:fill="DBE5F1" w:themeFill="accent1" w:themeFillTint="33"/>
            <w:vAlign w:val="center"/>
          </w:tcPr>
          <w:p w14:paraId="3C3AF840" w14:textId="77777777" w:rsidR="00063478" w:rsidRPr="006008DB" w:rsidRDefault="00063478" w:rsidP="00710BEF">
            <w:pPr>
              <w:ind w:left="0"/>
            </w:pPr>
            <w:proofErr w:type="spellStart"/>
            <w:r w:rsidRPr="006008DB">
              <w:t>Sodicity</w:t>
            </w:r>
            <w:proofErr w:type="spellEnd"/>
            <w:r w:rsidRPr="006008DB">
              <w:t xml:space="preserve"> NAL Exceedance</w:t>
            </w:r>
          </w:p>
        </w:tc>
        <w:tc>
          <w:tcPr>
            <w:tcW w:w="0" w:type="auto"/>
            <w:tcBorders>
              <w:right w:val="double" w:sz="4" w:space="0" w:color="auto"/>
            </w:tcBorders>
            <w:shd w:val="clear" w:color="auto" w:fill="DBE5F1" w:themeFill="accent1" w:themeFillTint="33"/>
            <w:vAlign w:val="center"/>
          </w:tcPr>
          <w:p w14:paraId="3D527E00" w14:textId="77777777" w:rsidR="00063478" w:rsidRPr="006008DB" w:rsidRDefault="00063478" w:rsidP="00710BEF">
            <w:pPr>
              <w:ind w:left="0"/>
            </w:pPr>
            <w:proofErr w:type="spellStart"/>
            <w:r w:rsidRPr="006008DB">
              <w:t>Sodicity</w:t>
            </w:r>
            <w:proofErr w:type="spellEnd"/>
            <w:r w:rsidRPr="006008DB">
              <w:t xml:space="preserve"> NAL Exceedance</w:t>
            </w:r>
          </w:p>
        </w:tc>
      </w:tr>
    </w:tbl>
    <w:p w14:paraId="71EEED1D" w14:textId="2C7AEC62" w:rsidR="00EC046D" w:rsidRDefault="00EC046D" w:rsidP="00063478">
      <w:pPr>
        <w:pStyle w:val="ListParagraph"/>
        <w:ind w:left="360"/>
        <w:rPr>
          <w:szCs w:val="24"/>
        </w:rPr>
      </w:pPr>
    </w:p>
    <w:p w14:paraId="4F1D1E72" w14:textId="77777777" w:rsidR="00515E01" w:rsidRPr="00B9305D" w:rsidRDefault="00515E01" w:rsidP="00362D97">
      <w:pPr>
        <w:pStyle w:val="ListParagraph"/>
        <w:numPr>
          <w:ilvl w:val="0"/>
          <w:numId w:val="53"/>
        </w:numPr>
        <w:spacing w:after="120"/>
        <w:ind w:left="720"/>
        <w:contextualSpacing w:val="0"/>
        <w:rPr>
          <w:b/>
        </w:rPr>
      </w:pPr>
      <w:r w:rsidRPr="00B9305D">
        <w:rPr>
          <w:b/>
        </w:rPr>
        <w:t>Total Coliform Effluent Limitation that Applies to Discharges of Domestic Wastewater by Irrigation</w:t>
      </w:r>
    </w:p>
    <w:p w14:paraId="11350D02" w14:textId="5097C5D9" w:rsidR="00063478" w:rsidRPr="006008DB" w:rsidRDefault="00063478" w:rsidP="00362D97">
      <w:pPr>
        <w:pStyle w:val="OrderItem"/>
        <w:numPr>
          <w:ilvl w:val="0"/>
          <w:numId w:val="36"/>
        </w:numPr>
        <w:tabs>
          <w:tab w:val="clear" w:pos="720"/>
        </w:tabs>
        <w:ind w:left="1080"/>
        <w:rPr>
          <w:szCs w:val="24"/>
        </w:rPr>
      </w:pPr>
      <w:r w:rsidRPr="006008DB">
        <w:rPr>
          <w:szCs w:val="24"/>
        </w:rPr>
        <w:t>The total coliform effluent limitation</w:t>
      </w:r>
      <w:r w:rsidR="007744B1">
        <w:rPr>
          <w:szCs w:val="24"/>
        </w:rPr>
        <w:t>s</w:t>
      </w:r>
      <w:r w:rsidRPr="006008DB">
        <w:rPr>
          <w:szCs w:val="24"/>
        </w:rPr>
        <w:t xml:space="preserve"> </w:t>
      </w:r>
      <w:r w:rsidR="007744B1">
        <w:rPr>
          <w:szCs w:val="24"/>
        </w:rPr>
        <w:t xml:space="preserve">in </w:t>
      </w:r>
      <w:r w:rsidR="008F39D8">
        <w:rPr>
          <w:b/>
          <w:szCs w:val="24"/>
        </w:rPr>
        <w:t>Table 10</w:t>
      </w:r>
      <w:r w:rsidR="007744B1">
        <w:rPr>
          <w:szCs w:val="24"/>
        </w:rPr>
        <w:t xml:space="preserve"> apply</w:t>
      </w:r>
      <w:r w:rsidRPr="006008DB">
        <w:rPr>
          <w:szCs w:val="24"/>
        </w:rPr>
        <w:t xml:space="preserve"> to winery discharges of treated domestic wastewater (either separate or combined with winery wastewater) that are discharged by irrigation of crop plants such as vineyards. </w:t>
      </w:r>
    </w:p>
    <w:p w14:paraId="3B40B827" w14:textId="5865EEF6" w:rsidR="00063478" w:rsidRPr="00A2036C" w:rsidRDefault="00063478" w:rsidP="00362D97">
      <w:pPr>
        <w:pStyle w:val="OrderItem"/>
        <w:numPr>
          <w:ilvl w:val="0"/>
          <w:numId w:val="36"/>
        </w:numPr>
        <w:tabs>
          <w:tab w:val="clear" w:pos="720"/>
        </w:tabs>
        <w:ind w:left="1080"/>
        <w:rPr>
          <w:szCs w:val="24"/>
        </w:rPr>
      </w:pPr>
      <w:r w:rsidRPr="00A2036C">
        <w:rPr>
          <w:szCs w:val="24"/>
        </w:rPr>
        <w:t>Treated domestic wastewater (either separate or combined with winery wastewater) shall meet the following total coliform limit prior to irrigation</w:t>
      </w:r>
      <w:r w:rsidR="00C00753">
        <w:rPr>
          <w:szCs w:val="24"/>
        </w:rPr>
        <w:t xml:space="preserve"> when the wastewater is discharged to land</w:t>
      </w:r>
      <w:r w:rsidRPr="00A2036C">
        <w:rPr>
          <w:szCs w:val="24"/>
        </w:rPr>
        <w:t>:</w:t>
      </w:r>
    </w:p>
    <w:p w14:paraId="3CE59360" w14:textId="48E7F0C4" w:rsidR="00063478" w:rsidRPr="00A2036C" w:rsidRDefault="00063478" w:rsidP="00362D97">
      <w:pPr>
        <w:pStyle w:val="OrderItem"/>
        <w:numPr>
          <w:ilvl w:val="0"/>
          <w:numId w:val="69"/>
        </w:numPr>
        <w:ind w:left="1440" w:hanging="180"/>
        <w:rPr>
          <w:szCs w:val="24"/>
        </w:rPr>
      </w:pPr>
      <w:r w:rsidRPr="00A2036C">
        <w:rPr>
          <w:szCs w:val="24"/>
        </w:rPr>
        <w:t xml:space="preserve">After adequate contact with disinfectant, the number of total coliform organisms shall not exceed </w:t>
      </w:r>
      <w:r w:rsidR="00DB1559">
        <w:rPr>
          <w:szCs w:val="24"/>
        </w:rPr>
        <w:t xml:space="preserve">the </w:t>
      </w:r>
      <w:r w:rsidR="00CE0D77">
        <w:rPr>
          <w:szCs w:val="24"/>
        </w:rPr>
        <w:t>median value of 2.2 MPN/100 mL</w:t>
      </w:r>
      <w:r w:rsidRPr="00A2036C">
        <w:rPr>
          <w:szCs w:val="24"/>
        </w:rPr>
        <w:t xml:space="preserve"> as determined from the bacteriological results of the last seven days for which sample analyses have been completed, an</w:t>
      </w:r>
      <w:r w:rsidR="00CE0D77">
        <w:rPr>
          <w:szCs w:val="24"/>
        </w:rPr>
        <w:t>d maximum value of 23 MPN/100 mL</w:t>
      </w:r>
      <w:r w:rsidRPr="00A2036C">
        <w:rPr>
          <w:szCs w:val="24"/>
        </w:rPr>
        <w:t xml:space="preserve"> in more than one sample in any 30-day period.</w:t>
      </w:r>
    </w:p>
    <w:p w14:paraId="46E2A4DB" w14:textId="69E34D7E" w:rsidR="0092694A" w:rsidRPr="006C55EA" w:rsidRDefault="00063478" w:rsidP="00F6686F">
      <w:pPr>
        <w:pStyle w:val="OrderItem"/>
        <w:numPr>
          <w:ilvl w:val="0"/>
          <w:numId w:val="69"/>
        </w:numPr>
        <w:spacing w:after="0"/>
        <w:ind w:left="1454" w:hanging="187"/>
        <w:rPr>
          <w:szCs w:val="24"/>
        </w:rPr>
      </w:pPr>
      <w:r w:rsidRPr="00A2036C">
        <w:rPr>
          <w:szCs w:val="24"/>
        </w:rPr>
        <w:t>If treated domestic wastewater is used for irrigation, an engineering report</w:t>
      </w:r>
      <w:r w:rsidRPr="00A2036C">
        <w:rPr>
          <w:szCs w:val="24"/>
          <w:vertAlign w:val="superscript"/>
        </w:rPr>
        <w:footnoteReference w:id="9"/>
      </w:r>
      <w:r w:rsidRPr="00A2036C">
        <w:rPr>
          <w:szCs w:val="24"/>
        </w:rPr>
        <w:t xml:space="preserve"> shall be submitted to and approved by the Division of Drinking Water. The Division of Drinking Water contacts are based on the county that the winery is located within and can be found at </w:t>
      </w:r>
      <w:hyperlink r:id="rId15" w:history="1">
        <w:r w:rsidRPr="00A2036C">
          <w:rPr>
            <w:rStyle w:val="Hyperlink"/>
            <w:rFonts w:eastAsiaTheme="majorEastAsia"/>
            <w:szCs w:val="24"/>
          </w:rPr>
          <w:t>http://www.waterboards.ca.gov/drinking_water/programs/documents/ddwem/DDWdistrictofficesmap.pdf</w:t>
        </w:r>
      </w:hyperlink>
      <w:r w:rsidRPr="00A2036C">
        <w:rPr>
          <w:szCs w:val="24"/>
        </w:rPr>
        <w:t xml:space="preserve">. </w:t>
      </w:r>
    </w:p>
    <w:p w14:paraId="76303AE6" w14:textId="77777777" w:rsidR="00674E41" w:rsidRDefault="00674E41" w:rsidP="008F39D8">
      <w:pPr>
        <w:pStyle w:val="Caption"/>
        <w:spacing w:after="0"/>
      </w:pPr>
    </w:p>
    <w:p w14:paraId="45A5D0A5" w14:textId="226EDC6B" w:rsidR="00A31D68" w:rsidRDefault="00A31D68" w:rsidP="00A31D68">
      <w:pPr>
        <w:pStyle w:val="Caption"/>
        <w:keepNext/>
      </w:pPr>
      <w:bookmarkStart w:id="58" w:name="_Toc487107735"/>
      <w:r>
        <w:t xml:space="preserve">Table </w:t>
      </w:r>
      <w:r w:rsidR="00D35F67">
        <w:fldChar w:fldCharType="begin"/>
      </w:r>
      <w:r w:rsidR="00D35F67">
        <w:instrText xml:space="preserve"> SEQ Table \* ARABIC </w:instrText>
      </w:r>
      <w:r w:rsidR="00D35F67">
        <w:fldChar w:fldCharType="separate"/>
      </w:r>
      <w:r w:rsidR="00512EAC">
        <w:rPr>
          <w:noProof/>
        </w:rPr>
        <w:t>10</w:t>
      </w:r>
      <w:r w:rsidR="00D35F67">
        <w:rPr>
          <w:noProof/>
        </w:rPr>
        <w:fldChar w:fldCharType="end"/>
      </w:r>
      <w:r w:rsidRPr="009843EF">
        <w:t>: Total Coliform Effluent Limitations – All Tiers – Crop Irrigation</w:t>
      </w:r>
      <w:bookmarkEnd w:id="58"/>
    </w:p>
    <w:tbl>
      <w:tblPr>
        <w:tblStyle w:val="TableGrid"/>
        <w:tblW w:w="5000"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96"/>
        <w:gridCol w:w="1426"/>
        <w:gridCol w:w="1260"/>
        <w:gridCol w:w="2340"/>
        <w:gridCol w:w="1608"/>
      </w:tblGrid>
      <w:tr w:rsidR="00674E41" w:rsidRPr="006008DB" w14:paraId="1E851AA5" w14:textId="220DD09F" w:rsidTr="00A31D68">
        <w:trPr>
          <w:jc w:val="center"/>
        </w:trPr>
        <w:tc>
          <w:tcPr>
            <w:tcW w:w="1445" w:type="pct"/>
            <w:tcBorders>
              <w:top w:val="double" w:sz="4" w:space="0" w:color="auto"/>
              <w:bottom w:val="double" w:sz="4" w:space="0" w:color="auto"/>
            </w:tcBorders>
            <w:vAlign w:val="center"/>
          </w:tcPr>
          <w:p w14:paraId="43FACA56" w14:textId="50127A5A" w:rsidR="00674E41" w:rsidRPr="006008DB" w:rsidRDefault="00674E41" w:rsidP="00731573">
            <w:pPr>
              <w:ind w:left="0"/>
              <w:jc w:val="center"/>
              <w:rPr>
                <w:b/>
                <w:i/>
              </w:rPr>
            </w:pPr>
            <w:r>
              <w:rPr>
                <w:b/>
              </w:rPr>
              <w:t>Crop</w:t>
            </w:r>
          </w:p>
        </w:tc>
        <w:tc>
          <w:tcPr>
            <w:tcW w:w="764" w:type="pct"/>
            <w:tcBorders>
              <w:top w:val="double" w:sz="4" w:space="0" w:color="auto"/>
              <w:bottom w:val="double" w:sz="4" w:space="0" w:color="auto"/>
            </w:tcBorders>
            <w:vAlign w:val="center"/>
          </w:tcPr>
          <w:p w14:paraId="07310BAE" w14:textId="77777777" w:rsidR="00674E41" w:rsidRPr="006008DB" w:rsidRDefault="00674E41" w:rsidP="00731573">
            <w:pPr>
              <w:ind w:left="0"/>
              <w:jc w:val="center"/>
              <w:rPr>
                <w:b/>
              </w:rPr>
            </w:pPr>
            <w:r w:rsidRPr="006008DB">
              <w:rPr>
                <w:b/>
              </w:rPr>
              <w:t>Constituent</w:t>
            </w:r>
          </w:p>
        </w:tc>
        <w:tc>
          <w:tcPr>
            <w:tcW w:w="675" w:type="pct"/>
            <w:tcBorders>
              <w:top w:val="double" w:sz="4" w:space="0" w:color="auto"/>
              <w:bottom w:val="double" w:sz="4" w:space="0" w:color="auto"/>
            </w:tcBorders>
            <w:vAlign w:val="center"/>
          </w:tcPr>
          <w:p w14:paraId="7F99BBCB" w14:textId="77777777" w:rsidR="00674E41" w:rsidRPr="006008DB" w:rsidRDefault="00674E41" w:rsidP="00731573">
            <w:pPr>
              <w:ind w:left="0"/>
              <w:jc w:val="center"/>
              <w:rPr>
                <w:b/>
              </w:rPr>
            </w:pPr>
            <w:r w:rsidRPr="006008DB">
              <w:rPr>
                <w:b/>
              </w:rPr>
              <w:t>Unit</w:t>
            </w:r>
          </w:p>
        </w:tc>
        <w:tc>
          <w:tcPr>
            <w:tcW w:w="1254" w:type="pct"/>
            <w:tcBorders>
              <w:top w:val="double" w:sz="4" w:space="0" w:color="auto"/>
              <w:bottom w:val="double" w:sz="4" w:space="0" w:color="auto"/>
            </w:tcBorders>
            <w:vAlign w:val="center"/>
          </w:tcPr>
          <w:p w14:paraId="47C653AE" w14:textId="600A4ACC" w:rsidR="00674E41" w:rsidRPr="006008DB" w:rsidRDefault="00674E41" w:rsidP="00731573">
            <w:pPr>
              <w:ind w:left="0"/>
              <w:jc w:val="center"/>
              <w:rPr>
                <w:b/>
              </w:rPr>
            </w:pPr>
            <w:r>
              <w:rPr>
                <w:b/>
              </w:rPr>
              <w:t>Effluent Limitation</w:t>
            </w:r>
          </w:p>
        </w:tc>
        <w:tc>
          <w:tcPr>
            <w:tcW w:w="862" w:type="pct"/>
            <w:tcBorders>
              <w:top w:val="double" w:sz="4" w:space="0" w:color="auto"/>
              <w:bottom w:val="double" w:sz="4" w:space="0" w:color="auto"/>
            </w:tcBorders>
          </w:tcPr>
          <w:p w14:paraId="07091F55" w14:textId="5440FE5F" w:rsidR="00674E41" w:rsidRDefault="00674E41" w:rsidP="00731573">
            <w:pPr>
              <w:ind w:left="0"/>
              <w:jc w:val="center"/>
              <w:rPr>
                <w:b/>
              </w:rPr>
            </w:pPr>
            <w:r>
              <w:rPr>
                <w:b/>
              </w:rPr>
              <w:t>Treatment Level</w:t>
            </w:r>
          </w:p>
        </w:tc>
      </w:tr>
      <w:tr w:rsidR="00674E41" w:rsidRPr="006008DB" w14:paraId="188C7AB3" w14:textId="0403C2DE" w:rsidTr="00A31D68">
        <w:trPr>
          <w:trHeight w:val="708"/>
          <w:jc w:val="center"/>
        </w:trPr>
        <w:tc>
          <w:tcPr>
            <w:tcW w:w="1445" w:type="pct"/>
            <w:tcBorders>
              <w:bottom w:val="single" w:sz="4" w:space="0" w:color="auto"/>
            </w:tcBorders>
            <w:vAlign w:val="center"/>
          </w:tcPr>
          <w:p w14:paraId="735BFD03" w14:textId="04BE4710" w:rsidR="00674E41" w:rsidRPr="00DE04F7" w:rsidRDefault="00674E41" w:rsidP="007744B1">
            <w:pPr>
              <w:ind w:left="0"/>
              <w:rPr>
                <w:sz w:val="22"/>
                <w:szCs w:val="22"/>
              </w:rPr>
            </w:pPr>
            <w:r>
              <w:rPr>
                <w:sz w:val="22"/>
                <w:szCs w:val="22"/>
              </w:rPr>
              <w:t>Vineyard</w:t>
            </w:r>
          </w:p>
        </w:tc>
        <w:tc>
          <w:tcPr>
            <w:tcW w:w="764" w:type="pct"/>
            <w:tcBorders>
              <w:bottom w:val="single" w:sz="4" w:space="0" w:color="auto"/>
            </w:tcBorders>
            <w:vAlign w:val="center"/>
          </w:tcPr>
          <w:p w14:paraId="2B064A76" w14:textId="4452005D" w:rsidR="00674E41" w:rsidRPr="007744B1" w:rsidRDefault="00674E41" w:rsidP="00731573">
            <w:pPr>
              <w:ind w:left="0"/>
              <w:jc w:val="center"/>
              <w:rPr>
                <w:sz w:val="22"/>
                <w:szCs w:val="22"/>
              </w:rPr>
            </w:pPr>
            <w:r>
              <w:rPr>
                <w:sz w:val="22"/>
                <w:szCs w:val="22"/>
              </w:rPr>
              <w:t>t</w:t>
            </w:r>
            <w:r w:rsidRPr="007744B1">
              <w:rPr>
                <w:sz w:val="22"/>
                <w:szCs w:val="22"/>
              </w:rPr>
              <w:t>otal coliform</w:t>
            </w:r>
          </w:p>
        </w:tc>
        <w:tc>
          <w:tcPr>
            <w:tcW w:w="675" w:type="pct"/>
            <w:tcBorders>
              <w:bottom w:val="single" w:sz="4" w:space="0" w:color="auto"/>
            </w:tcBorders>
            <w:vAlign w:val="center"/>
          </w:tcPr>
          <w:p w14:paraId="2B6359C6" w14:textId="586B492B" w:rsidR="00674E41" w:rsidRPr="00DE04F7" w:rsidRDefault="00674E41" w:rsidP="00731573">
            <w:pPr>
              <w:ind w:left="0"/>
              <w:jc w:val="center"/>
              <w:rPr>
                <w:sz w:val="22"/>
                <w:szCs w:val="22"/>
              </w:rPr>
            </w:pPr>
            <w:r>
              <w:rPr>
                <w:sz w:val="22"/>
                <w:szCs w:val="22"/>
              </w:rPr>
              <w:t>MPN/100 mL</w:t>
            </w:r>
          </w:p>
        </w:tc>
        <w:tc>
          <w:tcPr>
            <w:tcW w:w="1254" w:type="pct"/>
            <w:tcBorders>
              <w:bottom w:val="single" w:sz="4" w:space="0" w:color="auto"/>
            </w:tcBorders>
            <w:tcMar>
              <w:left w:w="115" w:type="dxa"/>
              <w:right w:w="29" w:type="dxa"/>
            </w:tcMar>
            <w:vAlign w:val="center"/>
          </w:tcPr>
          <w:p w14:paraId="21A1F545" w14:textId="4DA3230C" w:rsidR="00674E41" w:rsidRPr="00674E41" w:rsidRDefault="00674E41" w:rsidP="0092694A">
            <w:pPr>
              <w:pStyle w:val="ListParagraph"/>
              <w:numPr>
                <w:ilvl w:val="1"/>
                <w:numId w:val="12"/>
              </w:numPr>
              <w:rPr>
                <w:sz w:val="22"/>
                <w:szCs w:val="22"/>
              </w:rPr>
            </w:pPr>
            <w:r w:rsidRPr="00674E41">
              <w:rPr>
                <w:sz w:val="22"/>
                <w:szCs w:val="22"/>
              </w:rPr>
              <w:t>(7-day average)</w:t>
            </w:r>
          </w:p>
          <w:p w14:paraId="1D77D0A8" w14:textId="4F6F9F60" w:rsidR="00674E41" w:rsidRPr="00674E41" w:rsidRDefault="00674E41" w:rsidP="0092694A">
            <w:pPr>
              <w:ind w:left="0"/>
              <w:rPr>
                <w:sz w:val="22"/>
                <w:szCs w:val="22"/>
              </w:rPr>
            </w:pPr>
            <w:r>
              <w:rPr>
                <w:sz w:val="22"/>
                <w:szCs w:val="22"/>
              </w:rPr>
              <w:t>23 (max within 30 days)</w:t>
            </w:r>
          </w:p>
        </w:tc>
        <w:tc>
          <w:tcPr>
            <w:tcW w:w="862" w:type="pct"/>
            <w:tcBorders>
              <w:bottom w:val="single" w:sz="4" w:space="0" w:color="auto"/>
            </w:tcBorders>
            <w:vAlign w:val="center"/>
          </w:tcPr>
          <w:p w14:paraId="1F5780F6" w14:textId="32AD6239" w:rsidR="00674E41" w:rsidRDefault="00674E41" w:rsidP="00674E41">
            <w:pPr>
              <w:ind w:left="0"/>
              <w:rPr>
                <w:sz w:val="22"/>
                <w:szCs w:val="22"/>
              </w:rPr>
            </w:pPr>
            <w:r>
              <w:rPr>
                <w:sz w:val="22"/>
                <w:szCs w:val="22"/>
              </w:rPr>
              <w:t>Disinfected secondary – 2.2</w:t>
            </w:r>
          </w:p>
        </w:tc>
      </w:tr>
      <w:tr w:rsidR="00674E41" w:rsidRPr="006008DB" w14:paraId="63512D96" w14:textId="7AFB2DB0" w:rsidTr="00A31D68">
        <w:trPr>
          <w:trHeight w:val="528"/>
          <w:jc w:val="center"/>
        </w:trPr>
        <w:tc>
          <w:tcPr>
            <w:tcW w:w="1445" w:type="pct"/>
            <w:tcBorders>
              <w:top w:val="single" w:sz="4" w:space="0" w:color="auto"/>
              <w:bottom w:val="double" w:sz="4" w:space="0" w:color="auto"/>
            </w:tcBorders>
            <w:vAlign w:val="center"/>
          </w:tcPr>
          <w:p w14:paraId="02B6AA83" w14:textId="1B192F3E" w:rsidR="00674E41" w:rsidRDefault="00674E41" w:rsidP="00674E41">
            <w:pPr>
              <w:ind w:left="0"/>
              <w:rPr>
                <w:sz w:val="22"/>
                <w:szCs w:val="22"/>
              </w:rPr>
            </w:pPr>
            <w:r>
              <w:rPr>
                <w:sz w:val="22"/>
                <w:szCs w:val="22"/>
              </w:rPr>
              <w:t>Food crops where recycled water contacts the edible portion of the crop, including root crops</w:t>
            </w:r>
          </w:p>
        </w:tc>
        <w:tc>
          <w:tcPr>
            <w:tcW w:w="764" w:type="pct"/>
            <w:tcBorders>
              <w:top w:val="single" w:sz="4" w:space="0" w:color="auto"/>
              <w:bottom w:val="double" w:sz="4" w:space="0" w:color="auto"/>
            </w:tcBorders>
            <w:vAlign w:val="center"/>
          </w:tcPr>
          <w:p w14:paraId="34B8108C" w14:textId="0FF28BF4" w:rsidR="00674E41" w:rsidRPr="007744B1" w:rsidRDefault="00674E41" w:rsidP="00674E41">
            <w:pPr>
              <w:ind w:left="0"/>
              <w:jc w:val="center"/>
              <w:rPr>
                <w:sz w:val="22"/>
                <w:szCs w:val="22"/>
              </w:rPr>
            </w:pPr>
            <w:r>
              <w:rPr>
                <w:sz w:val="22"/>
                <w:szCs w:val="22"/>
              </w:rPr>
              <w:t>t</w:t>
            </w:r>
            <w:r w:rsidRPr="007744B1">
              <w:rPr>
                <w:sz w:val="22"/>
                <w:szCs w:val="22"/>
              </w:rPr>
              <w:t>otal coliform</w:t>
            </w:r>
          </w:p>
        </w:tc>
        <w:tc>
          <w:tcPr>
            <w:tcW w:w="675" w:type="pct"/>
            <w:tcBorders>
              <w:top w:val="single" w:sz="4" w:space="0" w:color="auto"/>
              <w:bottom w:val="double" w:sz="4" w:space="0" w:color="auto"/>
            </w:tcBorders>
            <w:vAlign w:val="center"/>
          </w:tcPr>
          <w:p w14:paraId="145FA41B" w14:textId="66EFC8CF" w:rsidR="00674E41" w:rsidRDefault="00674E41" w:rsidP="00674E41">
            <w:pPr>
              <w:ind w:left="0"/>
              <w:jc w:val="center"/>
              <w:rPr>
                <w:sz w:val="22"/>
                <w:szCs w:val="22"/>
              </w:rPr>
            </w:pPr>
            <w:r>
              <w:rPr>
                <w:sz w:val="22"/>
                <w:szCs w:val="22"/>
              </w:rPr>
              <w:t>MPN/100 mL</w:t>
            </w:r>
          </w:p>
        </w:tc>
        <w:tc>
          <w:tcPr>
            <w:tcW w:w="1254" w:type="pct"/>
            <w:tcBorders>
              <w:top w:val="single" w:sz="4" w:space="0" w:color="auto"/>
              <w:bottom w:val="double" w:sz="4" w:space="0" w:color="auto"/>
            </w:tcBorders>
            <w:tcMar>
              <w:left w:w="115" w:type="dxa"/>
              <w:right w:w="29" w:type="dxa"/>
            </w:tcMar>
            <w:vAlign w:val="center"/>
          </w:tcPr>
          <w:p w14:paraId="3F845E13" w14:textId="4BCD2725" w:rsidR="0092694A" w:rsidRPr="0092694A" w:rsidRDefault="0092694A" w:rsidP="00362D97">
            <w:pPr>
              <w:pStyle w:val="ListParagraph"/>
              <w:numPr>
                <w:ilvl w:val="1"/>
                <w:numId w:val="78"/>
              </w:numPr>
              <w:rPr>
                <w:sz w:val="22"/>
                <w:szCs w:val="22"/>
              </w:rPr>
            </w:pPr>
            <w:r w:rsidRPr="0092694A">
              <w:rPr>
                <w:sz w:val="22"/>
                <w:szCs w:val="22"/>
              </w:rPr>
              <w:t>(7-day average)</w:t>
            </w:r>
          </w:p>
          <w:p w14:paraId="0FFC6F1F" w14:textId="77777777" w:rsidR="00674E41" w:rsidRDefault="0092694A" w:rsidP="0092694A">
            <w:pPr>
              <w:ind w:left="0"/>
              <w:rPr>
                <w:sz w:val="22"/>
                <w:szCs w:val="22"/>
              </w:rPr>
            </w:pPr>
            <w:r>
              <w:rPr>
                <w:sz w:val="22"/>
                <w:szCs w:val="22"/>
              </w:rPr>
              <w:t>23 (max within 30 days)</w:t>
            </w:r>
          </w:p>
          <w:p w14:paraId="342750BD" w14:textId="26E44DDD" w:rsidR="0092694A" w:rsidRDefault="0092694A" w:rsidP="0092694A">
            <w:pPr>
              <w:ind w:left="0"/>
              <w:rPr>
                <w:sz w:val="22"/>
                <w:szCs w:val="22"/>
              </w:rPr>
            </w:pPr>
            <w:r>
              <w:rPr>
                <w:sz w:val="22"/>
                <w:szCs w:val="22"/>
              </w:rPr>
              <w:t>240 (maximum)</w:t>
            </w:r>
          </w:p>
        </w:tc>
        <w:tc>
          <w:tcPr>
            <w:tcW w:w="862" w:type="pct"/>
            <w:tcBorders>
              <w:top w:val="single" w:sz="4" w:space="0" w:color="auto"/>
              <w:bottom w:val="double" w:sz="4" w:space="0" w:color="auto"/>
            </w:tcBorders>
            <w:vAlign w:val="center"/>
          </w:tcPr>
          <w:p w14:paraId="1114AE5A" w14:textId="7A53C592" w:rsidR="00674E41" w:rsidRDefault="00674E41" w:rsidP="00674E41">
            <w:pPr>
              <w:ind w:left="0"/>
              <w:rPr>
                <w:sz w:val="22"/>
                <w:szCs w:val="22"/>
              </w:rPr>
            </w:pPr>
            <w:r>
              <w:rPr>
                <w:sz w:val="22"/>
                <w:szCs w:val="22"/>
              </w:rPr>
              <w:t>Disinfected tertiary</w:t>
            </w:r>
          </w:p>
        </w:tc>
      </w:tr>
      <w:tr w:rsidR="00674E41" w:rsidRPr="006008DB" w14:paraId="27943EAE" w14:textId="61717E72" w:rsidTr="00674E41">
        <w:trPr>
          <w:trHeight w:val="843"/>
          <w:jc w:val="center"/>
        </w:trPr>
        <w:tc>
          <w:tcPr>
            <w:tcW w:w="5000" w:type="pct"/>
            <w:gridSpan w:val="5"/>
            <w:tcBorders>
              <w:top w:val="double" w:sz="4" w:space="0" w:color="auto"/>
              <w:left w:val="nil"/>
              <w:bottom w:val="double" w:sz="4" w:space="0" w:color="auto"/>
              <w:right w:val="nil"/>
            </w:tcBorders>
            <w:vAlign w:val="center"/>
          </w:tcPr>
          <w:p w14:paraId="5A0CCDC1" w14:textId="6256DCE8" w:rsidR="00674E41" w:rsidRPr="00674E41" w:rsidRDefault="00674E41" w:rsidP="00362D97">
            <w:pPr>
              <w:pStyle w:val="ListParagraph"/>
              <w:numPr>
                <w:ilvl w:val="1"/>
                <w:numId w:val="36"/>
              </w:numPr>
              <w:tabs>
                <w:tab w:val="clear" w:pos="1800"/>
              </w:tabs>
              <w:ind w:left="330"/>
              <w:rPr>
                <w:sz w:val="22"/>
                <w:szCs w:val="22"/>
              </w:rPr>
            </w:pPr>
            <w:r>
              <w:rPr>
                <w:sz w:val="22"/>
                <w:szCs w:val="22"/>
              </w:rPr>
              <w:t>Total c</w:t>
            </w:r>
            <w:r w:rsidRPr="00674E41">
              <w:rPr>
                <w:sz w:val="22"/>
                <w:szCs w:val="22"/>
              </w:rPr>
              <w:t>oliform limitations are based on the wastewater treatment level per the California Code of Regulations, Title 22 Water Recycling Criteria</w:t>
            </w:r>
            <w:r>
              <w:rPr>
                <w:sz w:val="22"/>
                <w:szCs w:val="22"/>
              </w:rPr>
              <w:t xml:space="preserve">, accessible online at </w:t>
            </w:r>
            <w:r w:rsidRPr="00674E41">
              <w:rPr>
                <w:sz w:val="22"/>
                <w:szCs w:val="22"/>
              </w:rPr>
              <w:t>http://www.waterboards.ca.gov/drinking_water/certlic/drinkingwater/Lawbook.shtml</w:t>
            </w:r>
          </w:p>
        </w:tc>
      </w:tr>
    </w:tbl>
    <w:p w14:paraId="604BEB4F" w14:textId="77777777" w:rsidR="007744B1" w:rsidRPr="006008DB" w:rsidRDefault="007744B1" w:rsidP="007744B1">
      <w:pPr>
        <w:pStyle w:val="OrderItem"/>
        <w:ind w:left="0" w:firstLine="0"/>
        <w:rPr>
          <w:szCs w:val="24"/>
        </w:rPr>
      </w:pPr>
    </w:p>
    <w:p w14:paraId="4E63A6FC" w14:textId="0109FB44" w:rsidR="00063478" w:rsidRPr="006008DB" w:rsidRDefault="00063478" w:rsidP="00CF654D">
      <w:pPr>
        <w:pStyle w:val="Heading1"/>
      </w:pPr>
      <w:bookmarkStart w:id="59" w:name="_Toc470706569"/>
      <w:bookmarkStart w:id="60" w:name="_Toc487002348"/>
      <w:r w:rsidRPr="006008DB">
        <w:t>DISCHARGE SPECIFICATIONS</w:t>
      </w:r>
      <w:bookmarkEnd w:id="59"/>
      <w:bookmarkEnd w:id="60"/>
    </w:p>
    <w:p w14:paraId="6009F187" w14:textId="77777777" w:rsidR="00063478" w:rsidRPr="006008DB" w:rsidRDefault="00063478" w:rsidP="00D23F6C">
      <w:pPr>
        <w:pStyle w:val="Heading1"/>
        <w:numPr>
          <w:ilvl w:val="0"/>
          <w:numId w:val="0"/>
        </w:numPr>
      </w:pPr>
    </w:p>
    <w:p w14:paraId="7883BC07" w14:textId="7CABF5B7" w:rsidR="00063478" w:rsidRPr="006008DB" w:rsidRDefault="00063478" w:rsidP="00710BEF">
      <w:pPr>
        <w:pStyle w:val="OrderItem"/>
        <w:numPr>
          <w:ilvl w:val="0"/>
          <w:numId w:val="13"/>
        </w:numPr>
        <w:spacing w:after="0"/>
        <w:rPr>
          <w:szCs w:val="24"/>
        </w:rPr>
      </w:pPr>
      <w:r w:rsidRPr="006008DB">
        <w:rPr>
          <w:szCs w:val="24"/>
        </w:rPr>
        <w:t xml:space="preserve">The Discharger shall operate </w:t>
      </w:r>
      <w:r w:rsidR="00DB1559">
        <w:rPr>
          <w:szCs w:val="24"/>
        </w:rPr>
        <w:t>its</w:t>
      </w:r>
      <w:r w:rsidR="00DB1559" w:rsidRPr="00DB1559">
        <w:rPr>
          <w:szCs w:val="24"/>
        </w:rPr>
        <w:t xml:space="preserve"> </w:t>
      </w:r>
      <w:r w:rsidRPr="006008DB">
        <w:rPr>
          <w:szCs w:val="24"/>
        </w:rPr>
        <w:t>wastewater treatment system(s), storage system(s), and dis</w:t>
      </w:r>
      <w:r w:rsidR="00731573">
        <w:rPr>
          <w:szCs w:val="24"/>
        </w:rPr>
        <w:t xml:space="preserve">charge </w:t>
      </w:r>
      <w:r w:rsidRPr="006008DB">
        <w:rPr>
          <w:szCs w:val="24"/>
        </w:rPr>
        <w:t xml:space="preserve">system(s) according to </w:t>
      </w:r>
      <w:r w:rsidR="004151FA">
        <w:rPr>
          <w:szCs w:val="24"/>
        </w:rPr>
        <w:t>the information submitted with the</w:t>
      </w:r>
      <w:r w:rsidRPr="006008DB">
        <w:rPr>
          <w:szCs w:val="24"/>
        </w:rPr>
        <w:t xml:space="preserve"> </w:t>
      </w:r>
      <w:r w:rsidR="004151FA">
        <w:rPr>
          <w:szCs w:val="24"/>
        </w:rPr>
        <w:t>Notice of Intent Package</w:t>
      </w:r>
      <w:r w:rsidRPr="006008DB">
        <w:rPr>
          <w:szCs w:val="24"/>
        </w:rPr>
        <w:t xml:space="preserve"> as approved in the</w:t>
      </w:r>
      <w:r>
        <w:rPr>
          <w:szCs w:val="24"/>
        </w:rPr>
        <w:t xml:space="preserve"> Discharge Authorization Letter</w:t>
      </w:r>
      <w:r w:rsidRPr="006008DB">
        <w:rPr>
          <w:szCs w:val="24"/>
        </w:rPr>
        <w:t>.</w:t>
      </w:r>
    </w:p>
    <w:p w14:paraId="70D15FA3" w14:textId="77777777" w:rsidR="00063478" w:rsidRPr="00A2036C" w:rsidRDefault="00063478" w:rsidP="00063478">
      <w:pPr>
        <w:pStyle w:val="OrderItem"/>
        <w:spacing w:after="0"/>
        <w:ind w:left="0" w:firstLine="0"/>
        <w:rPr>
          <w:szCs w:val="24"/>
        </w:rPr>
      </w:pPr>
    </w:p>
    <w:p w14:paraId="2B4EDD3D" w14:textId="5F961C96" w:rsidR="00063478" w:rsidRPr="00A2036C" w:rsidRDefault="00063478" w:rsidP="00710BEF">
      <w:pPr>
        <w:pStyle w:val="HangingIndent"/>
        <w:numPr>
          <w:ilvl w:val="0"/>
          <w:numId w:val="13"/>
        </w:numPr>
        <w:rPr>
          <w:sz w:val="24"/>
          <w:szCs w:val="24"/>
        </w:rPr>
      </w:pPr>
      <w:r w:rsidRPr="00A2036C">
        <w:rPr>
          <w:b/>
          <w:bCs/>
          <w:sz w:val="24"/>
          <w:szCs w:val="24"/>
        </w:rPr>
        <w:t>Operation and Maintenance.</w:t>
      </w:r>
      <w:r w:rsidRPr="00A2036C">
        <w:rPr>
          <w:sz w:val="24"/>
          <w:szCs w:val="24"/>
        </w:rPr>
        <w:t xml:space="preserve"> The Discharger shall at all times properly operate and maintain all facilities and systems of treatment and control </w:t>
      </w:r>
      <w:r w:rsidR="00CE0D77">
        <w:rPr>
          <w:sz w:val="24"/>
          <w:szCs w:val="24"/>
        </w:rPr>
        <w:t>that</w:t>
      </w:r>
      <w:r w:rsidRPr="00A2036C">
        <w:rPr>
          <w:sz w:val="24"/>
          <w:szCs w:val="24"/>
        </w:rPr>
        <w:t xml:space="preserve"> are installed or used by the Discharger to achieve compliance with the conditions of this Order. The Discharger shall keep in a state of readiness all systems necessary to achieve compliance with the conditions of this Order.  All systems, both those in service and reserve, shall be inspected and maintained on a regular basis.  Records shall be kept of operation and maintenance activities including inspections of the wastewater system or its components.   </w:t>
      </w:r>
    </w:p>
    <w:p w14:paraId="0B8A2BBB" w14:textId="77777777" w:rsidR="00063478" w:rsidRDefault="00063478" w:rsidP="00063478">
      <w:pPr>
        <w:pStyle w:val="OrderItem"/>
        <w:spacing w:after="0"/>
        <w:ind w:left="0" w:firstLine="0"/>
        <w:rPr>
          <w:szCs w:val="24"/>
        </w:rPr>
      </w:pPr>
    </w:p>
    <w:p w14:paraId="4EBC4BBF" w14:textId="77777777" w:rsidR="00063478" w:rsidRPr="006008DB" w:rsidRDefault="00063478" w:rsidP="00710BEF">
      <w:pPr>
        <w:pStyle w:val="OrderItem"/>
        <w:numPr>
          <w:ilvl w:val="0"/>
          <w:numId w:val="13"/>
        </w:numPr>
        <w:spacing w:after="0"/>
        <w:rPr>
          <w:szCs w:val="24"/>
        </w:rPr>
      </w:pPr>
      <w:r w:rsidRPr="006008DB">
        <w:rPr>
          <w:szCs w:val="24"/>
        </w:rPr>
        <w:t>Adequate measures shall be taken to assure that flood or surface drainage waters do not erode or otherwise damage the treatment, storage, or discharge facilities.</w:t>
      </w:r>
    </w:p>
    <w:p w14:paraId="28B2BBAD" w14:textId="77777777" w:rsidR="00063478" w:rsidRPr="006008DB" w:rsidRDefault="00063478" w:rsidP="00063478">
      <w:pPr>
        <w:pStyle w:val="OrderItem"/>
        <w:spacing w:after="0"/>
        <w:rPr>
          <w:szCs w:val="24"/>
        </w:rPr>
      </w:pPr>
    </w:p>
    <w:p w14:paraId="6BD694CA" w14:textId="77777777" w:rsidR="00063478" w:rsidRPr="006008DB" w:rsidRDefault="00063478" w:rsidP="00710BEF">
      <w:pPr>
        <w:pStyle w:val="OrderItem"/>
        <w:numPr>
          <w:ilvl w:val="0"/>
          <w:numId w:val="13"/>
        </w:numPr>
        <w:spacing w:after="0"/>
        <w:rPr>
          <w:szCs w:val="24"/>
        </w:rPr>
      </w:pPr>
      <w:r w:rsidRPr="006008DB">
        <w:rPr>
          <w:szCs w:val="24"/>
        </w:rPr>
        <w:t>The wastewater system shall be designed, constructed, and operated such that it will not substantially alter the natural existing drainage pattern of the site or area, and will not substantially increase the rate or amount of surface runoff in a manner that would result in flooding, erosion or siltation, onsite or offsite.</w:t>
      </w:r>
    </w:p>
    <w:p w14:paraId="22170B63" w14:textId="77777777" w:rsidR="00063478" w:rsidRPr="006008DB" w:rsidRDefault="00063478" w:rsidP="00063478">
      <w:pPr>
        <w:pStyle w:val="OrderItem"/>
        <w:spacing w:after="0"/>
        <w:rPr>
          <w:szCs w:val="24"/>
        </w:rPr>
      </w:pPr>
    </w:p>
    <w:p w14:paraId="33EE70A1" w14:textId="76B0CD2A" w:rsidR="00D23F6C" w:rsidRPr="00D23F6C" w:rsidRDefault="00D23F6C" w:rsidP="00D23F6C">
      <w:pPr>
        <w:pStyle w:val="ListParagraph"/>
        <w:numPr>
          <w:ilvl w:val="0"/>
          <w:numId w:val="13"/>
        </w:numPr>
        <w:rPr>
          <w:snapToGrid w:val="0"/>
          <w:szCs w:val="24"/>
        </w:rPr>
      </w:pPr>
      <w:r w:rsidRPr="00D23F6C">
        <w:rPr>
          <w:snapToGrid w:val="0"/>
          <w:szCs w:val="24"/>
        </w:rPr>
        <w:t>To prevent the breeding of mosquitoes and to support alternating wet and dry soils conditions, all applied wastewater must infiltrate completely within 48 hours.</w:t>
      </w:r>
    </w:p>
    <w:p w14:paraId="07859EE6" w14:textId="77777777" w:rsidR="00063478" w:rsidRPr="006008DB" w:rsidRDefault="00063478" w:rsidP="00063478">
      <w:pPr>
        <w:pStyle w:val="OrderItem"/>
        <w:spacing w:after="0"/>
        <w:rPr>
          <w:szCs w:val="24"/>
        </w:rPr>
      </w:pPr>
    </w:p>
    <w:p w14:paraId="2C2D8A4A" w14:textId="77777777" w:rsidR="00063478" w:rsidRPr="006008DB" w:rsidRDefault="00063478" w:rsidP="00710BEF">
      <w:pPr>
        <w:pStyle w:val="OrderItem"/>
        <w:numPr>
          <w:ilvl w:val="0"/>
          <w:numId w:val="13"/>
        </w:numPr>
        <w:spacing w:after="0"/>
        <w:rPr>
          <w:szCs w:val="24"/>
        </w:rPr>
      </w:pPr>
      <w:r w:rsidRPr="006008DB">
        <w:rPr>
          <w:szCs w:val="24"/>
        </w:rPr>
        <w:t>All piping, valves, and outlets shall be marked to differentiate treated winery process wastewater from other sources of water and domestic wastewater.</w:t>
      </w:r>
      <w:r w:rsidRPr="006008DB">
        <w:rPr>
          <w:szCs w:val="24"/>
        </w:rPr>
        <w:br/>
        <w:t xml:space="preserve">  </w:t>
      </w:r>
    </w:p>
    <w:p w14:paraId="6A1EFD37" w14:textId="22DB9D69" w:rsidR="00063478" w:rsidRPr="006008DB" w:rsidRDefault="00063478" w:rsidP="00710BEF">
      <w:pPr>
        <w:pStyle w:val="OrderItem"/>
        <w:numPr>
          <w:ilvl w:val="0"/>
          <w:numId w:val="13"/>
        </w:numPr>
        <w:spacing w:after="0"/>
        <w:rPr>
          <w:szCs w:val="24"/>
        </w:rPr>
      </w:pPr>
      <w:r w:rsidRPr="006008DB">
        <w:rPr>
          <w:szCs w:val="24"/>
        </w:rPr>
        <w:t xml:space="preserve">There shall be no physical cross-connection between a potable water supply and a treated </w:t>
      </w:r>
      <w:r w:rsidR="00CE0D77">
        <w:rPr>
          <w:szCs w:val="24"/>
        </w:rPr>
        <w:t xml:space="preserve">domestic or </w:t>
      </w:r>
      <w:r w:rsidRPr="006008DB">
        <w:rPr>
          <w:szCs w:val="24"/>
        </w:rPr>
        <w:t>winery process wastewater distribution system.</w:t>
      </w:r>
    </w:p>
    <w:p w14:paraId="41E519FF" w14:textId="77777777" w:rsidR="00063478" w:rsidRPr="006008DB" w:rsidRDefault="00063478" w:rsidP="00063478">
      <w:pPr>
        <w:rPr>
          <w:snapToGrid w:val="0"/>
        </w:rPr>
      </w:pPr>
    </w:p>
    <w:p w14:paraId="0D231E83" w14:textId="77777777" w:rsidR="00063478" w:rsidRPr="006008DB" w:rsidRDefault="00063478" w:rsidP="00710BEF">
      <w:pPr>
        <w:pStyle w:val="ListParagraph"/>
        <w:numPr>
          <w:ilvl w:val="0"/>
          <w:numId w:val="13"/>
        </w:numPr>
        <w:contextualSpacing w:val="0"/>
        <w:rPr>
          <w:snapToGrid w:val="0"/>
          <w:szCs w:val="24"/>
        </w:rPr>
      </w:pPr>
      <w:r w:rsidRPr="006008DB">
        <w:rPr>
          <w:snapToGrid w:val="0"/>
          <w:szCs w:val="24"/>
        </w:rPr>
        <w:t xml:space="preserve">All treatment technologies must be designed to accept the wastewater strengths associated with winery wastewater.  </w:t>
      </w:r>
    </w:p>
    <w:p w14:paraId="17563706" w14:textId="77777777" w:rsidR="00063478" w:rsidRPr="006008DB" w:rsidRDefault="00063478" w:rsidP="00063478">
      <w:pPr>
        <w:pStyle w:val="ListParagraph"/>
        <w:rPr>
          <w:szCs w:val="24"/>
        </w:rPr>
      </w:pPr>
    </w:p>
    <w:p w14:paraId="618993D4" w14:textId="7AD450B6" w:rsidR="00063478" w:rsidRPr="006008DB" w:rsidRDefault="00063478" w:rsidP="00710BEF">
      <w:pPr>
        <w:pStyle w:val="OrderItem"/>
        <w:numPr>
          <w:ilvl w:val="0"/>
          <w:numId w:val="13"/>
        </w:numPr>
        <w:spacing w:after="0"/>
        <w:rPr>
          <w:szCs w:val="24"/>
        </w:rPr>
      </w:pPr>
      <w:r w:rsidRPr="006008DB">
        <w:rPr>
          <w:szCs w:val="24"/>
        </w:rPr>
        <w:t xml:space="preserve">The discharge of treated winery process wastewater shall be restricted to designated vineyards, pastures, or landscape irrigation areas under the control of the Discharger, and as described in the NOI Package. Treated winery process wastewater may be discharged to an area under control of another party if a notarized agreement between all of the involved parties is submitted to and accepted by </w:t>
      </w:r>
      <w:r w:rsidR="00B01B0A">
        <w:rPr>
          <w:szCs w:val="24"/>
        </w:rPr>
        <w:t>Regional Water Board staff</w:t>
      </w:r>
      <w:r w:rsidRPr="006008DB">
        <w:rPr>
          <w:szCs w:val="24"/>
        </w:rPr>
        <w:t xml:space="preserve"> and the wastewater treatment system d</w:t>
      </w:r>
      <w:r w:rsidR="00731573">
        <w:rPr>
          <w:szCs w:val="24"/>
        </w:rPr>
        <w:t>ischarge</w:t>
      </w:r>
      <w:r w:rsidRPr="006008DB">
        <w:rPr>
          <w:szCs w:val="24"/>
        </w:rPr>
        <w:t xml:space="preserve"> method and hydraulic loading rates have been designed with the soil conditions of the land receiving the discharge. The agreement shall refer to the wastewater discharge quantities and discharge specifications as submitted to the Regional Water Board in the NOI Package.</w:t>
      </w:r>
    </w:p>
    <w:p w14:paraId="75F9241F" w14:textId="77777777" w:rsidR="00063478" w:rsidRPr="006008DB" w:rsidRDefault="00063478" w:rsidP="00063478">
      <w:pPr>
        <w:pStyle w:val="OrderItem"/>
        <w:spacing w:after="0"/>
        <w:ind w:left="0" w:firstLine="0"/>
        <w:rPr>
          <w:szCs w:val="24"/>
        </w:rPr>
      </w:pPr>
    </w:p>
    <w:p w14:paraId="71EBBFFB" w14:textId="77777777" w:rsidR="00063478" w:rsidRPr="006008DB" w:rsidRDefault="00063478" w:rsidP="00710BEF">
      <w:pPr>
        <w:pStyle w:val="OrderItem"/>
        <w:numPr>
          <w:ilvl w:val="0"/>
          <w:numId w:val="13"/>
        </w:numPr>
        <w:spacing w:after="0"/>
        <w:rPr>
          <w:szCs w:val="24"/>
        </w:rPr>
      </w:pPr>
      <w:r w:rsidRPr="006008DB">
        <w:rPr>
          <w:szCs w:val="24"/>
        </w:rPr>
        <w:t>The site-specific hydraulic, organic, nitrogen, and salt loading rates of a land application treatment system shall be considered in the design phase to ensure proper operation.</w:t>
      </w:r>
    </w:p>
    <w:p w14:paraId="7C30F0A6" w14:textId="77777777" w:rsidR="00063478" w:rsidRPr="00E26220" w:rsidRDefault="00063478" w:rsidP="00063478"/>
    <w:p w14:paraId="7C8D02DE" w14:textId="2A16D8DE" w:rsidR="00063478" w:rsidRPr="006008DB" w:rsidRDefault="00063478" w:rsidP="00710BEF">
      <w:pPr>
        <w:pStyle w:val="OrderItem"/>
        <w:numPr>
          <w:ilvl w:val="0"/>
          <w:numId w:val="13"/>
        </w:numPr>
        <w:spacing w:after="0"/>
        <w:rPr>
          <w:szCs w:val="24"/>
        </w:rPr>
      </w:pPr>
      <w:r w:rsidRPr="006008DB">
        <w:rPr>
          <w:szCs w:val="24"/>
        </w:rPr>
        <w:t>Winery wastewater treatment and di</w:t>
      </w:r>
      <w:r w:rsidR="00731573">
        <w:rPr>
          <w:szCs w:val="24"/>
        </w:rPr>
        <w:t>scharge</w:t>
      </w:r>
      <w:r w:rsidRPr="006008DB">
        <w:rPr>
          <w:szCs w:val="24"/>
        </w:rPr>
        <w:t xml:space="preserve"> systems shall be designed for the maximum daily flow of wastewater and organic loading generated.</w:t>
      </w:r>
    </w:p>
    <w:p w14:paraId="48B3F483" w14:textId="77777777" w:rsidR="00063478" w:rsidRPr="006008DB" w:rsidRDefault="00063478" w:rsidP="00063478">
      <w:pPr>
        <w:pStyle w:val="OrderItem"/>
        <w:spacing w:after="0"/>
        <w:ind w:left="0" w:firstLine="0"/>
        <w:rPr>
          <w:szCs w:val="24"/>
        </w:rPr>
      </w:pPr>
    </w:p>
    <w:p w14:paraId="3AB814CA" w14:textId="77777777" w:rsidR="00063478" w:rsidRPr="006008DB" w:rsidRDefault="00063478" w:rsidP="00710BEF">
      <w:pPr>
        <w:pStyle w:val="OrderItem"/>
        <w:numPr>
          <w:ilvl w:val="0"/>
          <w:numId w:val="13"/>
        </w:numPr>
        <w:spacing w:after="0"/>
        <w:rPr>
          <w:szCs w:val="24"/>
        </w:rPr>
      </w:pPr>
      <w:r w:rsidRPr="006008DB">
        <w:rPr>
          <w:szCs w:val="24"/>
        </w:rPr>
        <w:t>Large solids shall be separated from winery wastewater through screening and removal system such as screened floor drains and/or rotary drum screens, prior to further treatment and disposal.</w:t>
      </w:r>
    </w:p>
    <w:p w14:paraId="430262FF" w14:textId="77777777" w:rsidR="00063478" w:rsidRPr="006008DB" w:rsidRDefault="00063478" w:rsidP="00063478">
      <w:pPr>
        <w:pStyle w:val="ListParagraph"/>
        <w:rPr>
          <w:szCs w:val="24"/>
        </w:rPr>
      </w:pPr>
    </w:p>
    <w:p w14:paraId="4D9CB3C4" w14:textId="39E8D64B" w:rsidR="00063478" w:rsidRPr="006008DB" w:rsidRDefault="00063478" w:rsidP="00710BEF">
      <w:pPr>
        <w:pStyle w:val="ListParagraph"/>
        <w:numPr>
          <w:ilvl w:val="0"/>
          <w:numId w:val="13"/>
        </w:numPr>
        <w:rPr>
          <w:szCs w:val="24"/>
        </w:rPr>
      </w:pPr>
      <w:r w:rsidRPr="006008DB">
        <w:rPr>
          <w:szCs w:val="24"/>
        </w:rPr>
        <w:t>The Discharger shall take adequate measures to ensure that unauthorized persons are effectively excluded from wastewater treatment and d</w:t>
      </w:r>
      <w:r w:rsidR="00731573">
        <w:rPr>
          <w:szCs w:val="24"/>
        </w:rPr>
        <w:t>ischarge</w:t>
      </w:r>
      <w:r w:rsidRPr="006008DB">
        <w:rPr>
          <w:szCs w:val="24"/>
        </w:rPr>
        <w:t xml:space="preserve"> facility(s).</w:t>
      </w:r>
    </w:p>
    <w:p w14:paraId="0FA94BF6" w14:textId="77777777" w:rsidR="00063478" w:rsidRPr="006008DB" w:rsidRDefault="00063478" w:rsidP="00063478"/>
    <w:p w14:paraId="6CD3C31A" w14:textId="77777777" w:rsidR="00063478" w:rsidRPr="006008DB" w:rsidRDefault="00063478" w:rsidP="00710BEF">
      <w:pPr>
        <w:pStyle w:val="ListParagraph"/>
        <w:numPr>
          <w:ilvl w:val="0"/>
          <w:numId w:val="13"/>
        </w:numPr>
        <w:rPr>
          <w:szCs w:val="24"/>
        </w:rPr>
      </w:pPr>
      <w:r w:rsidRPr="006008DB">
        <w:rPr>
          <w:szCs w:val="24"/>
        </w:rPr>
        <w:t>The Discharger shall ensure that all persons involved with operation and maintenance of the wastewater system are informed of and comply with the requirements of this Order.</w:t>
      </w:r>
    </w:p>
    <w:p w14:paraId="12F0B921" w14:textId="77777777" w:rsidR="00063478" w:rsidRPr="006008DB" w:rsidRDefault="00063478" w:rsidP="00063478">
      <w:pPr>
        <w:pStyle w:val="OrderItem"/>
        <w:spacing w:after="0"/>
        <w:rPr>
          <w:szCs w:val="24"/>
        </w:rPr>
      </w:pPr>
    </w:p>
    <w:p w14:paraId="37FAE40E" w14:textId="308AAE48" w:rsidR="00063478" w:rsidRPr="00F155CA" w:rsidRDefault="00063478" w:rsidP="00710BEF">
      <w:pPr>
        <w:pStyle w:val="ListParagraph"/>
        <w:numPr>
          <w:ilvl w:val="0"/>
          <w:numId w:val="13"/>
        </w:numPr>
        <w:spacing w:after="120"/>
        <w:rPr>
          <w:szCs w:val="24"/>
        </w:rPr>
      </w:pPr>
      <w:r w:rsidRPr="006008DB">
        <w:rPr>
          <w:szCs w:val="24"/>
        </w:rPr>
        <w:t>The Discharger shall take immediate corrective actions to remedy and prevent recurrence of any wastes discharged in violation of the requirements of this Order.</w:t>
      </w:r>
    </w:p>
    <w:p w14:paraId="2F0BC85A" w14:textId="1021B365" w:rsidR="00063478" w:rsidRPr="006265B7" w:rsidRDefault="00063478" w:rsidP="006265B7">
      <w:pPr>
        <w:pStyle w:val="OrderItem"/>
        <w:numPr>
          <w:ilvl w:val="0"/>
          <w:numId w:val="13"/>
        </w:numPr>
        <w:rPr>
          <w:szCs w:val="24"/>
        </w:rPr>
      </w:pPr>
      <w:r w:rsidRPr="006008DB">
        <w:rPr>
          <w:b/>
          <w:szCs w:val="24"/>
        </w:rPr>
        <w:t xml:space="preserve">Wastewater application timing to account for rain - </w:t>
      </w:r>
      <w:r w:rsidRPr="006008DB">
        <w:rPr>
          <w:szCs w:val="24"/>
        </w:rPr>
        <w:t xml:space="preserve">Treated winery process wastewater shall not be discharged </w:t>
      </w:r>
      <w:r w:rsidR="00CE0D77">
        <w:rPr>
          <w:szCs w:val="24"/>
        </w:rPr>
        <w:t>to land by irrigation within 24 hours</w:t>
      </w:r>
      <w:r w:rsidRPr="006008DB">
        <w:rPr>
          <w:szCs w:val="24"/>
        </w:rPr>
        <w:t xml:space="preserve"> of a forecasted rain event with greater than 50 percent probability of rain, during rainfall, 24 hours after a rainfall event, or when soils are saturated based on vi</w:t>
      </w:r>
      <w:r w:rsidR="006265B7">
        <w:rPr>
          <w:szCs w:val="24"/>
        </w:rPr>
        <w:t>sual observations. T</w:t>
      </w:r>
      <w:r w:rsidRPr="006008DB">
        <w:rPr>
          <w:szCs w:val="24"/>
        </w:rPr>
        <w:t xml:space="preserve">he </w:t>
      </w:r>
      <w:r w:rsidR="006265B7">
        <w:rPr>
          <w:szCs w:val="24"/>
        </w:rPr>
        <w:t>Discharger</w:t>
      </w:r>
      <w:r w:rsidRPr="006008DB">
        <w:rPr>
          <w:szCs w:val="24"/>
        </w:rPr>
        <w:t xml:space="preserve"> may propose an alternative method for determining weather-related application timing</w:t>
      </w:r>
      <w:r w:rsidR="006265B7">
        <w:rPr>
          <w:szCs w:val="24"/>
        </w:rPr>
        <w:t xml:space="preserve"> in the NOI Package. The method must ensure that the discharge of treated wastewater </w:t>
      </w:r>
      <w:r w:rsidR="006265B7" w:rsidRPr="006265B7">
        <w:rPr>
          <w:szCs w:val="24"/>
        </w:rPr>
        <w:t>does not occur when soils are saturated and that no</w:t>
      </w:r>
      <w:r w:rsidR="006265B7">
        <w:rPr>
          <w:szCs w:val="24"/>
        </w:rPr>
        <w:t xml:space="preserve"> </w:t>
      </w:r>
      <w:r w:rsidR="006265B7" w:rsidRPr="006265B7">
        <w:rPr>
          <w:szCs w:val="24"/>
        </w:rPr>
        <w:t xml:space="preserve">ponding or runoff will occur as a result of </w:t>
      </w:r>
      <w:r w:rsidR="006265B7">
        <w:rPr>
          <w:szCs w:val="24"/>
        </w:rPr>
        <w:t>the discharge</w:t>
      </w:r>
      <w:r w:rsidR="006265B7" w:rsidRPr="006265B7">
        <w:rPr>
          <w:szCs w:val="24"/>
        </w:rPr>
        <w:t>.</w:t>
      </w:r>
    </w:p>
    <w:p w14:paraId="32FD91E1" w14:textId="77777777" w:rsidR="00063478" w:rsidRPr="00F155CA" w:rsidRDefault="00063478" w:rsidP="004F63A4">
      <w:pPr>
        <w:pStyle w:val="ListParagraph"/>
        <w:numPr>
          <w:ilvl w:val="0"/>
          <w:numId w:val="13"/>
        </w:numPr>
        <w:spacing w:after="120"/>
        <w:contextualSpacing w:val="0"/>
        <w:rPr>
          <w:b/>
          <w:szCs w:val="24"/>
        </w:rPr>
      </w:pPr>
      <w:bookmarkStart w:id="61" w:name="_Toc470706573"/>
      <w:r w:rsidRPr="00F155CA">
        <w:rPr>
          <w:b/>
          <w:szCs w:val="24"/>
        </w:rPr>
        <w:t>Solids</w:t>
      </w:r>
      <w:bookmarkEnd w:id="61"/>
    </w:p>
    <w:p w14:paraId="44D23A15" w14:textId="514E34E3" w:rsidR="00063478" w:rsidRPr="006008DB" w:rsidRDefault="00063478" w:rsidP="007D713A">
      <w:pPr>
        <w:pStyle w:val="OrderItem"/>
        <w:numPr>
          <w:ilvl w:val="0"/>
          <w:numId w:val="15"/>
        </w:numPr>
        <w:spacing w:after="0"/>
        <w:rPr>
          <w:szCs w:val="24"/>
        </w:rPr>
      </w:pPr>
      <w:r w:rsidRPr="006008DB">
        <w:rPr>
          <w:szCs w:val="24"/>
        </w:rPr>
        <w:t xml:space="preserve">Winery processing </w:t>
      </w:r>
      <w:r w:rsidR="00AB3A1B">
        <w:rPr>
          <w:szCs w:val="24"/>
        </w:rPr>
        <w:t>solid waste (referred to as winery solid waste</w:t>
      </w:r>
      <w:r w:rsidRPr="006008DB">
        <w:rPr>
          <w:szCs w:val="24"/>
        </w:rPr>
        <w:t>) from the processing facility and the wastewater control system may be land applied on the property where it is generated, as fertilizer or soil amendment, at a rate of application that does not exceed the capacity of the land or associated crop to assimilate the waste solids</w:t>
      </w:r>
      <w:r w:rsidR="00CE0D77">
        <w:rPr>
          <w:szCs w:val="24"/>
        </w:rPr>
        <w:t xml:space="preserve"> based on visual observation</w:t>
      </w:r>
      <w:r w:rsidRPr="006008DB">
        <w:rPr>
          <w:szCs w:val="24"/>
        </w:rPr>
        <w:t>. Winery</w:t>
      </w:r>
      <w:r w:rsidR="00AB3A1B">
        <w:rPr>
          <w:szCs w:val="24"/>
        </w:rPr>
        <w:t xml:space="preserve"> solid waste</w:t>
      </w:r>
      <w:r w:rsidRPr="006008DB">
        <w:rPr>
          <w:szCs w:val="24"/>
        </w:rPr>
        <w:t xml:space="preserve"> may be applied to land other than where it is generated if a notarized agreement between all involved parties is submitted to</w:t>
      </w:r>
      <w:r w:rsidR="00B01B0A">
        <w:rPr>
          <w:szCs w:val="24"/>
        </w:rPr>
        <w:t xml:space="preserve"> </w:t>
      </w:r>
      <w:r w:rsidR="00602176">
        <w:rPr>
          <w:szCs w:val="24"/>
        </w:rPr>
        <w:t>the Regional Water Board at any time prior to initiating land application</w:t>
      </w:r>
      <w:r w:rsidRPr="006008DB">
        <w:rPr>
          <w:szCs w:val="24"/>
        </w:rPr>
        <w:t>.</w:t>
      </w:r>
    </w:p>
    <w:p w14:paraId="500B0D32" w14:textId="77777777" w:rsidR="00063478" w:rsidRPr="006008DB" w:rsidRDefault="00063478" w:rsidP="007D713A">
      <w:pPr>
        <w:pStyle w:val="OrderItem"/>
        <w:spacing w:after="0"/>
        <w:ind w:left="1080" w:hanging="360"/>
        <w:rPr>
          <w:szCs w:val="24"/>
        </w:rPr>
      </w:pPr>
    </w:p>
    <w:p w14:paraId="530621A3" w14:textId="0B9098D5" w:rsidR="00063478" w:rsidRDefault="00063478" w:rsidP="007D713A">
      <w:pPr>
        <w:pStyle w:val="OrderItem"/>
        <w:numPr>
          <w:ilvl w:val="0"/>
          <w:numId w:val="15"/>
        </w:numPr>
        <w:rPr>
          <w:szCs w:val="24"/>
        </w:rPr>
      </w:pPr>
      <w:r>
        <w:rPr>
          <w:szCs w:val="24"/>
        </w:rPr>
        <w:t xml:space="preserve">Winery waste solids, as defined in </w:t>
      </w:r>
      <w:r w:rsidR="00FB1F02">
        <w:rPr>
          <w:szCs w:val="24"/>
        </w:rPr>
        <w:t xml:space="preserve">the </w:t>
      </w:r>
      <w:r>
        <w:rPr>
          <w:szCs w:val="24"/>
        </w:rPr>
        <w:t>Finding</w:t>
      </w:r>
      <w:r w:rsidR="00FB1F02">
        <w:rPr>
          <w:szCs w:val="24"/>
        </w:rPr>
        <w:t>s</w:t>
      </w:r>
      <w:r w:rsidRPr="00FB1F02">
        <w:rPr>
          <w:szCs w:val="24"/>
        </w:rPr>
        <w:t>,</w:t>
      </w:r>
      <w:r>
        <w:rPr>
          <w:szCs w:val="24"/>
        </w:rPr>
        <w:t xml:space="preserve"> may be discharged to land in accordance with the </w:t>
      </w:r>
      <w:r w:rsidR="00873D79">
        <w:rPr>
          <w:szCs w:val="24"/>
        </w:rPr>
        <w:t>Notice of Intent Package</w:t>
      </w:r>
      <w:r>
        <w:rPr>
          <w:szCs w:val="24"/>
        </w:rPr>
        <w:t xml:space="preserve"> and Discharge Authorization Letter. </w:t>
      </w:r>
    </w:p>
    <w:p w14:paraId="2D454854" w14:textId="77777777" w:rsidR="00063478" w:rsidRDefault="00063478" w:rsidP="007D713A">
      <w:pPr>
        <w:pStyle w:val="OrderItem"/>
        <w:numPr>
          <w:ilvl w:val="0"/>
          <w:numId w:val="15"/>
        </w:numPr>
        <w:spacing w:after="0"/>
        <w:rPr>
          <w:szCs w:val="24"/>
        </w:rPr>
      </w:pPr>
      <w:r w:rsidRPr="006008DB">
        <w:rPr>
          <w:szCs w:val="24"/>
        </w:rPr>
        <w:t>The maximum allowable quantity of winery waste solids that can be stored onsite for reuse is 500 cubic yards of materials at any given time. If the solids quantity is greater than 500 cubic yards, coverage may be required under State Water Board’s Composting General Order No. WQ 2015</w:t>
      </w:r>
      <w:r w:rsidRPr="006008DB">
        <w:rPr>
          <w:szCs w:val="24"/>
        </w:rPr>
        <w:noBreakHyphen/>
        <w:t>0121</w:t>
      </w:r>
      <w:r w:rsidRPr="006008DB">
        <w:rPr>
          <w:szCs w:val="24"/>
        </w:rPr>
        <w:noBreakHyphen/>
        <w:t>DWQ.</w:t>
      </w:r>
      <w:r w:rsidRPr="006008DB">
        <w:rPr>
          <w:rStyle w:val="FootnoteReference"/>
          <w:szCs w:val="24"/>
        </w:rPr>
        <w:footnoteReference w:id="10"/>
      </w:r>
    </w:p>
    <w:p w14:paraId="55F47763" w14:textId="77777777" w:rsidR="00063478" w:rsidRDefault="00063478" w:rsidP="007D713A">
      <w:pPr>
        <w:pStyle w:val="OrderItem"/>
        <w:spacing w:after="0"/>
        <w:ind w:left="1080" w:hanging="360"/>
        <w:rPr>
          <w:szCs w:val="24"/>
        </w:rPr>
      </w:pPr>
    </w:p>
    <w:p w14:paraId="513A5B6E" w14:textId="5869133F" w:rsidR="00063478" w:rsidRDefault="00063478" w:rsidP="00217DFB">
      <w:pPr>
        <w:pStyle w:val="OrderItem"/>
        <w:numPr>
          <w:ilvl w:val="0"/>
          <w:numId w:val="15"/>
        </w:numPr>
        <w:spacing w:after="0"/>
        <w:rPr>
          <w:szCs w:val="24"/>
        </w:rPr>
      </w:pPr>
      <w:r w:rsidRPr="00CE0D77">
        <w:rPr>
          <w:szCs w:val="24"/>
        </w:rPr>
        <w:t xml:space="preserve">The application of winery waste solids to land shall be distributed uniformly over the </w:t>
      </w:r>
      <w:r w:rsidR="00CE0D77" w:rsidRPr="00CE0D77">
        <w:rPr>
          <w:szCs w:val="24"/>
        </w:rPr>
        <w:t>application</w:t>
      </w:r>
      <w:r w:rsidRPr="00CE0D77">
        <w:rPr>
          <w:szCs w:val="24"/>
        </w:rPr>
        <w:t xml:space="preserve"> area. Winery waste solids shall be spread and incorporated into the soil in a manner that prevents erosion, runoff, and nuisance.   </w:t>
      </w:r>
    </w:p>
    <w:p w14:paraId="66D93565" w14:textId="77777777" w:rsidR="00CE0D77" w:rsidRDefault="00CE0D77" w:rsidP="00CE0D77">
      <w:pPr>
        <w:pStyle w:val="ListParagraph"/>
        <w:rPr>
          <w:szCs w:val="24"/>
        </w:rPr>
      </w:pPr>
    </w:p>
    <w:p w14:paraId="46D27429" w14:textId="5F3CBE42" w:rsidR="00063478" w:rsidRDefault="00063478" w:rsidP="007D713A">
      <w:pPr>
        <w:pStyle w:val="OrderItem"/>
        <w:numPr>
          <w:ilvl w:val="0"/>
          <w:numId w:val="15"/>
        </w:numPr>
        <w:spacing w:after="0"/>
        <w:rPr>
          <w:szCs w:val="24"/>
        </w:rPr>
      </w:pPr>
      <w:r w:rsidRPr="006008DB">
        <w:rPr>
          <w:szCs w:val="24"/>
        </w:rPr>
        <w:t>Winery waste solids shall not be incorporated into the soil 24 hours prior to or during rainfall. During wet weather conditions</w:t>
      </w:r>
      <w:r>
        <w:rPr>
          <w:szCs w:val="24"/>
        </w:rPr>
        <w:t>,</w:t>
      </w:r>
      <w:r w:rsidRPr="006008DB">
        <w:rPr>
          <w:szCs w:val="24"/>
        </w:rPr>
        <w:t xml:space="preserve"> winery waste solids shall be hauled offsite for disposal</w:t>
      </w:r>
      <w:r w:rsidR="00CE0D77">
        <w:rPr>
          <w:szCs w:val="24"/>
        </w:rPr>
        <w:t xml:space="preserve"> or stored onsite per Order section </w:t>
      </w:r>
      <w:r w:rsidR="006C55EA" w:rsidRPr="006C55EA">
        <w:rPr>
          <w:b/>
          <w:szCs w:val="24"/>
        </w:rPr>
        <w:t>V.17</w:t>
      </w:r>
      <w:r>
        <w:rPr>
          <w:szCs w:val="24"/>
        </w:rPr>
        <w:t>.</w:t>
      </w:r>
      <w:r w:rsidRPr="006008DB">
        <w:rPr>
          <w:szCs w:val="24"/>
        </w:rPr>
        <w:t xml:space="preserve"> </w:t>
      </w:r>
    </w:p>
    <w:p w14:paraId="12BF23A3" w14:textId="77777777" w:rsidR="00063478" w:rsidRDefault="00063478" w:rsidP="007D713A">
      <w:pPr>
        <w:pStyle w:val="OrderItem"/>
        <w:spacing w:after="0"/>
        <w:ind w:left="1080" w:hanging="360"/>
        <w:rPr>
          <w:szCs w:val="24"/>
        </w:rPr>
      </w:pPr>
    </w:p>
    <w:p w14:paraId="49C6D66B" w14:textId="2A7C36D4" w:rsidR="00063478" w:rsidRPr="00CE0D77" w:rsidRDefault="00CE0D77" w:rsidP="00CE0D77">
      <w:pPr>
        <w:pStyle w:val="ListParagraph"/>
        <w:numPr>
          <w:ilvl w:val="0"/>
          <w:numId w:val="15"/>
        </w:numPr>
        <w:rPr>
          <w:snapToGrid w:val="0"/>
          <w:szCs w:val="24"/>
        </w:rPr>
      </w:pPr>
      <w:r w:rsidRPr="00CE0D77">
        <w:rPr>
          <w:snapToGrid w:val="0"/>
          <w:szCs w:val="24"/>
        </w:rPr>
        <w:t>The solids shall be stored in a manner to prevent any associated leachate from entering the groundwater and surface waters.</w:t>
      </w:r>
      <w:r>
        <w:rPr>
          <w:snapToGrid w:val="0"/>
          <w:szCs w:val="24"/>
        </w:rPr>
        <w:t xml:space="preserve"> </w:t>
      </w:r>
      <w:r w:rsidR="00063478" w:rsidRPr="00CE0D77">
        <w:rPr>
          <w:szCs w:val="24"/>
        </w:rPr>
        <w:t xml:space="preserve">All </w:t>
      </w:r>
      <w:r>
        <w:rPr>
          <w:szCs w:val="24"/>
        </w:rPr>
        <w:t xml:space="preserve">stored </w:t>
      </w:r>
      <w:r w:rsidR="00063478" w:rsidRPr="00CE0D77">
        <w:rPr>
          <w:szCs w:val="24"/>
        </w:rPr>
        <w:t>winery waste solids shall be controlled and contained through the implementation of best management practices, such as but not limited to, impermeable cover, containment berms, or soils amended to reduce permeability, in a manner that minimizes leachate formation and precludes infiltration of waste constituents into soils in a mass or at concentrations that will violate the groundwater limitations as stated in Table 3-5 of the Basin Plan.</w:t>
      </w:r>
    </w:p>
    <w:p w14:paraId="6C1C952B" w14:textId="77777777" w:rsidR="00063478" w:rsidRPr="009436D0" w:rsidRDefault="00063478" w:rsidP="007D713A">
      <w:pPr>
        <w:pStyle w:val="OrderItem"/>
        <w:spacing w:after="0"/>
        <w:ind w:left="1080" w:hanging="360"/>
        <w:rPr>
          <w:szCs w:val="24"/>
        </w:rPr>
      </w:pPr>
    </w:p>
    <w:p w14:paraId="1F938BB5" w14:textId="77777777" w:rsidR="00063478" w:rsidRPr="006008DB" w:rsidRDefault="00063478" w:rsidP="007D713A">
      <w:pPr>
        <w:pStyle w:val="OrderItem"/>
        <w:numPr>
          <w:ilvl w:val="0"/>
          <w:numId w:val="15"/>
        </w:numPr>
        <w:spacing w:after="0"/>
        <w:rPr>
          <w:szCs w:val="24"/>
        </w:rPr>
      </w:pPr>
      <w:r>
        <w:rPr>
          <w:szCs w:val="24"/>
        </w:rPr>
        <w:t>Solids that</w:t>
      </w:r>
      <w:r w:rsidRPr="006008DB">
        <w:rPr>
          <w:szCs w:val="24"/>
        </w:rPr>
        <w:t xml:space="preserve"> will not and/or cannot be used </w:t>
      </w:r>
      <w:proofErr w:type="spellStart"/>
      <w:r w:rsidRPr="006008DB">
        <w:rPr>
          <w:szCs w:val="24"/>
        </w:rPr>
        <w:t>agronomically</w:t>
      </w:r>
      <w:proofErr w:type="spellEnd"/>
      <w:r w:rsidRPr="006008DB">
        <w:rPr>
          <w:szCs w:val="24"/>
        </w:rPr>
        <w:t xml:space="preserve"> shall be disposed of at a legal point of disposal, and in accordance with the State Water Board promulgated provisions of Title 27, division 2 of the California Code of Regulations.</w:t>
      </w:r>
    </w:p>
    <w:p w14:paraId="7A63669B" w14:textId="77777777" w:rsidR="00063478" w:rsidRDefault="00063478" w:rsidP="007D713A">
      <w:pPr>
        <w:pStyle w:val="OrderItem"/>
        <w:spacing w:after="0"/>
        <w:ind w:left="1080" w:hanging="360"/>
        <w:rPr>
          <w:szCs w:val="24"/>
        </w:rPr>
      </w:pPr>
    </w:p>
    <w:p w14:paraId="52644FEE" w14:textId="77777777" w:rsidR="00063478" w:rsidRPr="006008DB" w:rsidRDefault="00063478" w:rsidP="007D713A">
      <w:pPr>
        <w:pStyle w:val="OrderItem"/>
        <w:numPr>
          <w:ilvl w:val="0"/>
          <w:numId w:val="15"/>
        </w:numPr>
        <w:spacing w:after="0"/>
        <w:rPr>
          <w:szCs w:val="24"/>
        </w:rPr>
      </w:pPr>
      <w:r w:rsidRPr="006008DB">
        <w:rPr>
          <w:szCs w:val="24"/>
        </w:rPr>
        <w:t>Domestic wastewater solids shall be kept separate from the solids generated by winery processing activities and disposed of at a municipal sewerage facility or an onsite wastewater treatment system which is installed, operated, and maintained in accordance with the respective county requirements and in a manner that will prevent inadequately treated domestic wastes from entering any waters of the State or from surfacing and becoming a nuisance or health hazard.</w:t>
      </w:r>
    </w:p>
    <w:p w14:paraId="6D5B2E75" w14:textId="77777777" w:rsidR="00063478" w:rsidRPr="006008DB" w:rsidRDefault="00063478" w:rsidP="007D713A">
      <w:pPr>
        <w:pStyle w:val="ListParagraph"/>
        <w:ind w:left="1080" w:hanging="360"/>
        <w:rPr>
          <w:szCs w:val="24"/>
        </w:rPr>
      </w:pPr>
    </w:p>
    <w:p w14:paraId="5E1225E7" w14:textId="77777777" w:rsidR="00063478" w:rsidRPr="006008DB" w:rsidRDefault="00063478" w:rsidP="007D713A">
      <w:pPr>
        <w:pStyle w:val="OrderItem"/>
        <w:numPr>
          <w:ilvl w:val="0"/>
          <w:numId w:val="15"/>
        </w:numPr>
        <w:spacing w:after="0"/>
        <w:rPr>
          <w:szCs w:val="24"/>
        </w:rPr>
      </w:pPr>
      <w:r w:rsidRPr="006008DB">
        <w:rPr>
          <w:szCs w:val="24"/>
        </w:rPr>
        <w:t xml:space="preserve">Use and disposal of </w:t>
      </w:r>
      <w:proofErr w:type="spellStart"/>
      <w:r w:rsidRPr="006008DB">
        <w:rPr>
          <w:szCs w:val="24"/>
        </w:rPr>
        <w:t>biosolids</w:t>
      </w:r>
      <w:proofErr w:type="spellEnd"/>
      <w:r w:rsidRPr="006008DB">
        <w:rPr>
          <w:szCs w:val="24"/>
        </w:rPr>
        <w:t xml:space="preserve">, which is sludge from domestic wastewater that has undergone sufficient treatment and testing to qualify for reuse, shall comply with the U.S. EPA Part 503 </w:t>
      </w:r>
      <w:proofErr w:type="spellStart"/>
      <w:r w:rsidRPr="006008DB">
        <w:rPr>
          <w:szCs w:val="24"/>
        </w:rPr>
        <w:t>Biosolids</w:t>
      </w:r>
      <w:proofErr w:type="spellEnd"/>
      <w:r w:rsidRPr="006008DB">
        <w:rPr>
          <w:szCs w:val="24"/>
        </w:rPr>
        <w:t xml:space="preserve"> Rule (40 C.F.R. § 503).</w:t>
      </w:r>
      <w:r w:rsidRPr="006008DB">
        <w:rPr>
          <w:szCs w:val="24"/>
        </w:rPr>
        <w:br/>
      </w:r>
    </w:p>
    <w:p w14:paraId="7945023B" w14:textId="77777777" w:rsidR="00063478" w:rsidRPr="006008DB" w:rsidRDefault="00063478" w:rsidP="007D713A">
      <w:pPr>
        <w:pStyle w:val="OrderItem"/>
        <w:numPr>
          <w:ilvl w:val="0"/>
          <w:numId w:val="15"/>
        </w:numPr>
        <w:spacing w:after="0"/>
        <w:rPr>
          <w:szCs w:val="24"/>
        </w:rPr>
      </w:pPr>
      <w:r w:rsidRPr="006008DB">
        <w:rPr>
          <w:szCs w:val="24"/>
        </w:rPr>
        <w:t xml:space="preserve">Any storage of residual sludge, solid waste, or </w:t>
      </w:r>
      <w:proofErr w:type="spellStart"/>
      <w:r w:rsidRPr="006008DB">
        <w:rPr>
          <w:szCs w:val="24"/>
        </w:rPr>
        <w:t>biosolids</w:t>
      </w:r>
      <w:proofErr w:type="spellEnd"/>
      <w:r w:rsidRPr="006008DB">
        <w:rPr>
          <w:szCs w:val="24"/>
        </w:rPr>
        <w:t xml:space="preserve"> generated from domestic wastewater at the wastewater system shall be temporary, and the waste shall be controlled and contained in a manner that minimizes leachate formation and precludes infiltration of waste constituents into soils in a mass or at concentrations that will violate the Basin Plan ground water quality objectives.</w:t>
      </w:r>
    </w:p>
    <w:p w14:paraId="6773802D" w14:textId="77777777" w:rsidR="00063478" w:rsidRPr="006008DB" w:rsidRDefault="00063478" w:rsidP="007D713A">
      <w:pPr>
        <w:pStyle w:val="OrderItem"/>
        <w:spacing w:after="0"/>
        <w:ind w:left="1080" w:hanging="360"/>
        <w:rPr>
          <w:szCs w:val="24"/>
        </w:rPr>
      </w:pPr>
    </w:p>
    <w:p w14:paraId="55092A05" w14:textId="77777777" w:rsidR="00063478" w:rsidRPr="006008DB" w:rsidRDefault="00063478" w:rsidP="007D713A">
      <w:pPr>
        <w:pStyle w:val="ListParagraph"/>
        <w:numPr>
          <w:ilvl w:val="0"/>
          <w:numId w:val="15"/>
        </w:numPr>
        <w:spacing w:after="120"/>
        <w:contextualSpacing w:val="0"/>
        <w:rPr>
          <w:szCs w:val="24"/>
        </w:rPr>
      </w:pPr>
      <w:r w:rsidRPr="006008DB">
        <w:rPr>
          <w:szCs w:val="24"/>
        </w:rPr>
        <w:t xml:space="preserve">Residual solids must not be applied within 100 feet of a surface water drainage course unless the land application area is graded or </w:t>
      </w:r>
      <w:proofErr w:type="spellStart"/>
      <w:r w:rsidRPr="006008DB">
        <w:rPr>
          <w:szCs w:val="24"/>
        </w:rPr>
        <w:t>bermed</w:t>
      </w:r>
      <w:proofErr w:type="spellEnd"/>
      <w:r w:rsidRPr="006008DB">
        <w:rPr>
          <w:szCs w:val="24"/>
        </w:rPr>
        <w:t xml:space="preserve"> to prevent discharge of runoff into the drainage course.</w:t>
      </w:r>
    </w:p>
    <w:p w14:paraId="5B9DDC54" w14:textId="77777777" w:rsidR="00063478" w:rsidRPr="006008DB" w:rsidRDefault="00063478" w:rsidP="007D713A">
      <w:pPr>
        <w:pStyle w:val="ListParagraph"/>
        <w:numPr>
          <w:ilvl w:val="0"/>
          <w:numId w:val="15"/>
        </w:numPr>
        <w:rPr>
          <w:szCs w:val="24"/>
        </w:rPr>
      </w:pPr>
      <w:r w:rsidRPr="006008DB">
        <w:rPr>
          <w:szCs w:val="24"/>
        </w:rPr>
        <w:t>Residual solids must not be applied within 100 feet of a domestic water supply well.</w:t>
      </w:r>
      <w:r w:rsidRPr="006008DB">
        <w:rPr>
          <w:szCs w:val="24"/>
        </w:rPr>
        <w:br/>
      </w:r>
    </w:p>
    <w:p w14:paraId="521A6C8A" w14:textId="5AF495DD" w:rsidR="00063478" w:rsidRPr="00F155CA" w:rsidRDefault="00063478" w:rsidP="007D713A">
      <w:pPr>
        <w:pStyle w:val="ListParagraph"/>
        <w:numPr>
          <w:ilvl w:val="0"/>
          <w:numId w:val="13"/>
        </w:numPr>
        <w:spacing w:after="120"/>
        <w:contextualSpacing w:val="0"/>
        <w:rPr>
          <w:b/>
          <w:szCs w:val="24"/>
        </w:rPr>
      </w:pPr>
      <w:bookmarkStart w:id="62" w:name="_Toc470706574"/>
      <w:r w:rsidRPr="00F155CA">
        <w:rPr>
          <w:b/>
          <w:szCs w:val="24"/>
        </w:rPr>
        <w:t>Setback Requirements</w:t>
      </w:r>
      <w:bookmarkEnd w:id="62"/>
      <w:r>
        <w:rPr>
          <w:b/>
          <w:szCs w:val="24"/>
        </w:rPr>
        <w:t>.</w:t>
      </w:r>
      <w:r w:rsidRPr="00F155CA">
        <w:rPr>
          <w:b/>
          <w:szCs w:val="24"/>
        </w:rPr>
        <w:t xml:space="preserve"> </w:t>
      </w:r>
      <w:r w:rsidRPr="00F155CA">
        <w:rPr>
          <w:szCs w:val="24"/>
        </w:rPr>
        <w:t xml:space="preserve">The minimum horizontal setbacks from any </w:t>
      </w:r>
      <w:r w:rsidR="006C55EA">
        <w:rPr>
          <w:szCs w:val="24"/>
        </w:rPr>
        <w:t>winery</w:t>
      </w:r>
      <w:r w:rsidRPr="00F155CA">
        <w:rPr>
          <w:szCs w:val="24"/>
        </w:rPr>
        <w:t xml:space="preserve"> wastewater treatment system treatment component and dispersal systems shall be as follows: </w:t>
      </w:r>
    </w:p>
    <w:p w14:paraId="5AC2C4CB" w14:textId="1D8AC169" w:rsidR="00063478" w:rsidRPr="006008DB" w:rsidRDefault="00063478" w:rsidP="00362D97">
      <w:pPr>
        <w:pStyle w:val="ListParagraph"/>
        <w:numPr>
          <w:ilvl w:val="0"/>
          <w:numId w:val="27"/>
        </w:numPr>
        <w:spacing w:after="120"/>
        <w:ind w:left="1080"/>
        <w:contextualSpacing w:val="0"/>
        <w:rPr>
          <w:szCs w:val="24"/>
        </w:rPr>
      </w:pPr>
      <w:r w:rsidRPr="006008DB">
        <w:rPr>
          <w:szCs w:val="24"/>
        </w:rPr>
        <w:t>5 feet from parce</w:t>
      </w:r>
      <w:r w:rsidR="007D713A">
        <w:rPr>
          <w:szCs w:val="24"/>
        </w:rPr>
        <w:t>l property lines and structures.</w:t>
      </w:r>
    </w:p>
    <w:p w14:paraId="7D0497B4" w14:textId="5A3166D5" w:rsidR="00063478" w:rsidRPr="006008DB" w:rsidRDefault="00063478" w:rsidP="00362D97">
      <w:pPr>
        <w:pStyle w:val="ListParagraph"/>
        <w:numPr>
          <w:ilvl w:val="0"/>
          <w:numId w:val="27"/>
        </w:numPr>
        <w:spacing w:after="120"/>
        <w:ind w:left="1080"/>
        <w:contextualSpacing w:val="0"/>
        <w:rPr>
          <w:szCs w:val="24"/>
        </w:rPr>
      </w:pPr>
      <w:r w:rsidRPr="006008DB">
        <w:rPr>
          <w:szCs w:val="24"/>
        </w:rPr>
        <w:t xml:space="preserve">100 feet from water wells and </w:t>
      </w:r>
      <w:r w:rsidR="007D713A">
        <w:rPr>
          <w:szCs w:val="24"/>
        </w:rPr>
        <w:t>monitoring wells.</w:t>
      </w:r>
    </w:p>
    <w:p w14:paraId="343CCD2D" w14:textId="77777777" w:rsidR="00063478" w:rsidRPr="006008DB" w:rsidRDefault="00063478" w:rsidP="00362D97">
      <w:pPr>
        <w:pStyle w:val="ListParagraph"/>
        <w:numPr>
          <w:ilvl w:val="0"/>
          <w:numId w:val="27"/>
        </w:numPr>
        <w:spacing w:after="120"/>
        <w:ind w:left="1080"/>
        <w:contextualSpacing w:val="0"/>
        <w:rPr>
          <w:szCs w:val="24"/>
        </w:rPr>
      </w:pPr>
      <w:r w:rsidRPr="006008DB">
        <w:rPr>
          <w:szCs w:val="24"/>
        </w:rPr>
        <w:t>100 feet from any unstable land mass or any areas subject to earth slides identified by a registered engineer or registered geologist; other setback distance are allowed, if recommended by a geotechnical report prepared by a qualified professional.</w:t>
      </w:r>
    </w:p>
    <w:p w14:paraId="1B9809B2" w14:textId="4778E3E1" w:rsidR="00063478" w:rsidRPr="006008DB" w:rsidRDefault="00063478" w:rsidP="00362D97">
      <w:pPr>
        <w:pStyle w:val="ListParagraph"/>
        <w:numPr>
          <w:ilvl w:val="0"/>
          <w:numId w:val="27"/>
        </w:numPr>
        <w:spacing w:after="120"/>
        <w:ind w:left="1080"/>
        <w:contextualSpacing w:val="0"/>
        <w:rPr>
          <w:szCs w:val="24"/>
        </w:rPr>
      </w:pPr>
      <w:r w:rsidRPr="006008DB">
        <w:rPr>
          <w:szCs w:val="24"/>
        </w:rPr>
        <w:t xml:space="preserve">100 feet from springs and flowing surface water bodies where the edge of that water body is the natural or levied bank for creeks and rivers; this may be less where site conditions prevent migration </w:t>
      </w:r>
      <w:r w:rsidR="007D713A">
        <w:rPr>
          <w:szCs w:val="24"/>
        </w:rPr>
        <w:t>of wastewater to the water body.</w:t>
      </w:r>
    </w:p>
    <w:p w14:paraId="32B8BD0B" w14:textId="71084F34" w:rsidR="00063478" w:rsidRPr="006008DB" w:rsidRDefault="00063478" w:rsidP="00362D97">
      <w:pPr>
        <w:pStyle w:val="ListParagraph"/>
        <w:numPr>
          <w:ilvl w:val="0"/>
          <w:numId w:val="27"/>
        </w:numPr>
        <w:spacing w:after="120"/>
        <w:ind w:left="1080"/>
        <w:contextualSpacing w:val="0"/>
        <w:rPr>
          <w:szCs w:val="24"/>
        </w:rPr>
      </w:pPr>
      <w:r w:rsidRPr="006008DB">
        <w:rPr>
          <w:szCs w:val="24"/>
        </w:rPr>
        <w:t xml:space="preserve">200 feet from vernal pools, wetlands, lakes, ponds, or other surface water bodies where the edge of that water body is the high water mark for lakes and reservoirs, and the mean high tide line for </w:t>
      </w:r>
      <w:r w:rsidR="007D713A">
        <w:rPr>
          <w:szCs w:val="24"/>
        </w:rPr>
        <w:t>tidally influenced water bodies.</w:t>
      </w:r>
    </w:p>
    <w:p w14:paraId="74391E7E" w14:textId="3251468A" w:rsidR="00063478" w:rsidRPr="006008DB" w:rsidRDefault="00063478" w:rsidP="00362D97">
      <w:pPr>
        <w:pStyle w:val="ListParagraph"/>
        <w:numPr>
          <w:ilvl w:val="0"/>
          <w:numId w:val="27"/>
        </w:numPr>
        <w:spacing w:after="120"/>
        <w:ind w:left="1080"/>
        <w:contextualSpacing w:val="0"/>
        <w:rPr>
          <w:szCs w:val="24"/>
        </w:rPr>
      </w:pPr>
      <w:r w:rsidRPr="006008DB">
        <w:rPr>
          <w:szCs w:val="24"/>
        </w:rPr>
        <w:t>150 feet from a public water well where the depth of the effluent dispersal</w:t>
      </w:r>
      <w:r w:rsidR="007D713A">
        <w:rPr>
          <w:szCs w:val="24"/>
        </w:rPr>
        <w:t xml:space="preserve"> system does not exceed 10 feet.</w:t>
      </w:r>
    </w:p>
    <w:p w14:paraId="4E53BD43" w14:textId="77777777" w:rsidR="00063478" w:rsidRPr="006008DB" w:rsidRDefault="00063478" w:rsidP="00362D97">
      <w:pPr>
        <w:pStyle w:val="ListParagraph"/>
        <w:numPr>
          <w:ilvl w:val="0"/>
          <w:numId w:val="27"/>
        </w:numPr>
        <w:spacing w:after="120"/>
        <w:ind w:left="1080"/>
        <w:contextualSpacing w:val="0"/>
        <w:rPr>
          <w:szCs w:val="24"/>
        </w:rPr>
      </w:pPr>
      <w:r w:rsidRPr="006008DB">
        <w:rPr>
          <w:szCs w:val="24"/>
        </w:rPr>
        <w:t>Where the effluent dispersal system is within 1,200 feet from a public water system’s surface water intake point, within the catchment of the drainage, and located such that it may impact water quality at the intake point such as upstream of the intake point for flowing water bodies, the dispersal system shall be no less than 400 feet from the high water mark of the reservoir, lake or flowing water body.</w:t>
      </w:r>
    </w:p>
    <w:p w14:paraId="7D9085FB" w14:textId="77777777" w:rsidR="00063478" w:rsidRPr="006008DB" w:rsidRDefault="00063478" w:rsidP="00362D97">
      <w:pPr>
        <w:pStyle w:val="ListParagraph"/>
        <w:numPr>
          <w:ilvl w:val="0"/>
          <w:numId w:val="27"/>
        </w:numPr>
        <w:ind w:left="1080"/>
        <w:rPr>
          <w:szCs w:val="24"/>
        </w:rPr>
      </w:pPr>
      <w:r w:rsidRPr="006008DB">
        <w:rPr>
          <w:szCs w:val="24"/>
        </w:rPr>
        <w:t>Where the effluent dispersal system is located more than 1,200 feet but less than 2,500 feet from a public water system’s surface water intake point, within the catchment of the drainage, and located such that it may impact water quality at the intake point such as upstream of the intake point for flowing water bodies, the dispersal system shall be no less than 200 feet from the high water mark of the reservoir, lake or flowing water body.</w:t>
      </w:r>
    </w:p>
    <w:p w14:paraId="2C70FBCD" w14:textId="78D795B6" w:rsidR="00063478" w:rsidRDefault="00063478" w:rsidP="00063478">
      <w:pPr>
        <w:pStyle w:val="OrderItem"/>
        <w:spacing w:after="0"/>
        <w:ind w:left="360" w:firstLine="0"/>
        <w:rPr>
          <w:b/>
          <w:szCs w:val="24"/>
        </w:rPr>
      </w:pPr>
    </w:p>
    <w:p w14:paraId="01976779" w14:textId="1A91242B" w:rsidR="00DE2D06" w:rsidRDefault="00DE2D06" w:rsidP="00063478">
      <w:pPr>
        <w:pStyle w:val="OrderItem"/>
        <w:spacing w:after="0"/>
        <w:ind w:left="360" w:firstLine="0"/>
        <w:rPr>
          <w:b/>
          <w:szCs w:val="24"/>
        </w:rPr>
      </w:pPr>
    </w:p>
    <w:p w14:paraId="4D253D84" w14:textId="0EAD2DEF" w:rsidR="00DE2D06" w:rsidRDefault="00DE2D06" w:rsidP="00063478">
      <w:pPr>
        <w:pStyle w:val="OrderItem"/>
        <w:spacing w:after="0"/>
        <w:ind w:left="360" w:firstLine="0"/>
        <w:rPr>
          <w:b/>
          <w:szCs w:val="24"/>
        </w:rPr>
      </w:pPr>
    </w:p>
    <w:p w14:paraId="24C7F474" w14:textId="77777777" w:rsidR="00DE2D06" w:rsidRPr="006008DB" w:rsidRDefault="00DE2D06" w:rsidP="00063478">
      <w:pPr>
        <w:pStyle w:val="OrderItem"/>
        <w:spacing w:after="0"/>
        <w:ind w:left="360" w:firstLine="0"/>
        <w:rPr>
          <w:b/>
          <w:szCs w:val="24"/>
        </w:rPr>
      </w:pPr>
    </w:p>
    <w:p w14:paraId="0578A67E" w14:textId="0306774B" w:rsidR="00063478" w:rsidRDefault="00063478" w:rsidP="00C00753">
      <w:pPr>
        <w:pStyle w:val="ListParagraph"/>
        <w:numPr>
          <w:ilvl w:val="0"/>
          <w:numId w:val="13"/>
        </w:numPr>
        <w:spacing w:after="120"/>
        <w:contextualSpacing w:val="0"/>
        <w:rPr>
          <w:b/>
          <w:szCs w:val="24"/>
        </w:rPr>
      </w:pPr>
      <w:bookmarkStart w:id="63" w:name="_Toc470706576"/>
      <w:r w:rsidRPr="0058580B">
        <w:rPr>
          <w:b/>
          <w:szCs w:val="24"/>
        </w:rPr>
        <w:t xml:space="preserve">Nutrient and Organic </w:t>
      </w:r>
      <w:r w:rsidR="006C55EA">
        <w:rPr>
          <w:b/>
          <w:szCs w:val="24"/>
        </w:rPr>
        <w:t>Land Application</w:t>
      </w:r>
      <w:r w:rsidRPr="0058580B">
        <w:rPr>
          <w:b/>
          <w:szCs w:val="24"/>
        </w:rPr>
        <w:t xml:space="preserve"> Management</w:t>
      </w:r>
      <w:bookmarkEnd w:id="63"/>
    </w:p>
    <w:p w14:paraId="0097DA0A" w14:textId="120BEBF1" w:rsidR="00063478" w:rsidRPr="0002673F" w:rsidRDefault="00063478" w:rsidP="00C00753">
      <w:pPr>
        <w:spacing w:after="120"/>
        <w:ind w:left="1080" w:hanging="360"/>
        <w:rPr>
          <w:b/>
        </w:rPr>
      </w:pPr>
      <w:r>
        <w:t>a.</w:t>
      </w:r>
      <w:r>
        <w:tab/>
      </w:r>
      <w:r w:rsidRPr="0002673F">
        <w:t>The Discharger shall use winery processing wastewater and solids, and combined domestic and winery process wastewater application methods and timing strategies that reduce the risk of nutrient transpor</w:t>
      </w:r>
      <w:r w:rsidR="006C55EA">
        <w:t>t by ground and surface waters, such as but not limited to:</w:t>
      </w:r>
    </w:p>
    <w:p w14:paraId="3AC42E60" w14:textId="77777777" w:rsidR="00063478" w:rsidRPr="006008DB" w:rsidRDefault="00063478" w:rsidP="00362D97">
      <w:pPr>
        <w:pStyle w:val="OrderItem"/>
        <w:numPr>
          <w:ilvl w:val="0"/>
          <w:numId w:val="22"/>
        </w:numPr>
        <w:spacing w:after="0"/>
        <w:ind w:left="1440" w:hanging="180"/>
        <w:rPr>
          <w:szCs w:val="24"/>
        </w:rPr>
      </w:pPr>
      <w:r w:rsidRPr="006008DB">
        <w:rPr>
          <w:szCs w:val="24"/>
        </w:rPr>
        <w:t>Incorporate surface-applied winery waste solids such as via methods such as disking, if precipitation capable of producing runoff or erosion is forecast within the time of planned application.</w:t>
      </w:r>
    </w:p>
    <w:p w14:paraId="1333E7C7" w14:textId="77777777" w:rsidR="00063478" w:rsidRPr="006008DB" w:rsidRDefault="00063478" w:rsidP="00063478">
      <w:pPr>
        <w:pStyle w:val="OrderItem"/>
        <w:spacing w:after="0"/>
        <w:ind w:left="0" w:firstLine="0"/>
        <w:rPr>
          <w:szCs w:val="24"/>
        </w:rPr>
      </w:pPr>
    </w:p>
    <w:p w14:paraId="494F7B09" w14:textId="77777777" w:rsidR="00063478" w:rsidRPr="006008DB" w:rsidRDefault="00063478" w:rsidP="007D713A">
      <w:pPr>
        <w:ind w:left="1080" w:hanging="360"/>
      </w:pPr>
      <w:r>
        <w:t>b.</w:t>
      </w:r>
      <w:r>
        <w:tab/>
      </w:r>
      <w:r w:rsidRPr="006008DB">
        <w:t>The Discharger shall reduce the amount of fertilizer applied to account for nitrogen in the treated wastewater used for irrigation.</w:t>
      </w:r>
    </w:p>
    <w:p w14:paraId="092FD586" w14:textId="77777777" w:rsidR="00063478" w:rsidRPr="006008DB" w:rsidRDefault="00063478" w:rsidP="007D713A">
      <w:pPr>
        <w:ind w:left="1080" w:hanging="360"/>
      </w:pPr>
    </w:p>
    <w:p w14:paraId="0B1F3393" w14:textId="77777777" w:rsidR="00063478" w:rsidRPr="006008DB" w:rsidRDefault="00063478" w:rsidP="007D713A">
      <w:pPr>
        <w:ind w:left="1080" w:hanging="360"/>
      </w:pPr>
      <w:r>
        <w:t>c.</w:t>
      </w:r>
      <w:r>
        <w:tab/>
      </w:r>
      <w:r w:rsidRPr="006008DB">
        <w:t xml:space="preserve">The Discharger shall reduce the organic loading of the discharge through the screening or filtration of the winery waste solids prior to discharge. </w:t>
      </w:r>
    </w:p>
    <w:p w14:paraId="470A433A" w14:textId="77777777" w:rsidR="00063478" w:rsidRPr="006008DB" w:rsidRDefault="00063478" w:rsidP="007D713A">
      <w:pPr>
        <w:ind w:left="1080" w:hanging="360"/>
      </w:pPr>
    </w:p>
    <w:p w14:paraId="6FC1E414" w14:textId="77777777" w:rsidR="00063478" w:rsidRPr="006008DB" w:rsidRDefault="00063478" w:rsidP="007D713A">
      <w:pPr>
        <w:ind w:left="1080" w:hanging="360"/>
      </w:pPr>
      <w:r>
        <w:t>d.</w:t>
      </w:r>
      <w:r>
        <w:tab/>
      </w:r>
      <w:r w:rsidRPr="006008DB">
        <w:t xml:space="preserve">The Discharger shall implement best management practices measures to evenly distribute the wastewater over the discharge area to minimize the potential for anoxic and reducing conditions in the soil. </w:t>
      </w:r>
    </w:p>
    <w:p w14:paraId="7C57D590" w14:textId="77777777" w:rsidR="00063478" w:rsidRPr="006008DB" w:rsidRDefault="00063478" w:rsidP="00063478">
      <w:pPr>
        <w:pStyle w:val="OrderItem"/>
        <w:spacing w:after="0"/>
        <w:ind w:left="0" w:firstLine="0"/>
        <w:rPr>
          <w:szCs w:val="24"/>
        </w:rPr>
      </w:pPr>
    </w:p>
    <w:p w14:paraId="50A8F0B8" w14:textId="77777777" w:rsidR="00063478" w:rsidRPr="006008DB" w:rsidRDefault="00063478" w:rsidP="007D713A">
      <w:pPr>
        <w:pStyle w:val="ListParagraph"/>
        <w:numPr>
          <w:ilvl w:val="0"/>
          <w:numId w:val="13"/>
        </w:numPr>
        <w:spacing w:after="120"/>
        <w:contextualSpacing w:val="0"/>
      </w:pPr>
      <w:bookmarkStart w:id="64" w:name="_Toc470706577"/>
      <w:r w:rsidRPr="001D7E79">
        <w:rPr>
          <w:b/>
          <w:szCs w:val="24"/>
        </w:rPr>
        <w:t>Subsurface Discharges</w:t>
      </w:r>
      <w:bookmarkEnd w:id="64"/>
    </w:p>
    <w:p w14:paraId="7C27A2F9" w14:textId="1F8017AD" w:rsidR="00063478" w:rsidRPr="007D713A" w:rsidRDefault="00063478" w:rsidP="004F63A4">
      <w:pPr>
        <w:pStyle w:val="OrderItem"/>
        <w:ind w:left="720" w:firstLine="0"/>
        <w:rPr>
          <w:rFonts w:eastAsiaTheme="minorEastAsia"/>
          <w:snapToGrid/>
          <w:szCs w:val="24"/>
        </w:rPr>
      </w:pPr>
      <w:r w:rsidRPr="007D713A">
        <w:rPr>
          <w:rFonts w:eastAsiaTheme="minorEastAsia"/>
          <w:snapToGrid/>
          <w:szCs w:val="24"/>
        </w:rPr>
        <w:t>All winery wastewater systems designed to discharge treated wastewater below ground surface by a subsurface dispersal system shall comply with the following requirements:</w:t>
      </w:r>
    </w:p>
    <w:p w14:paraId="17A42C63" w14:textId="2A613621" w:rsidR="00063478" w:rsidRPr="006008DB" w:rsidRDefault="00063478" w:rsidP="00362D97">
      <w:pPr>
        <w:pStyle w:val="OrderItem"/>
        <w:numPr>
          <w:ilvl w:val="0"/>
          <w:numId w:val="73"/>
        </w:numPr>
        <w:ind w:left="1080"/>
        <w:rPr>
          <w:szCs w:val="24"/>
        </w:rPr>
      </w:pPr>
      <w:r w:rsidRPr="006008DB">
        <w:rPr>
          <w:szCs w:val="24"/>
        </w:rPr>
        <w:t>The subsurface dispersal system shall be operated and maintained so that at no time will wastewater surface at any location.</w:t>
      </w:r>
    </w:p>
    <w:p w14:paraId="10478418" w14:textId="77777777" w:rsidR="00063478" w:rsidRPr="006008DB" w:rsidRDefault="00063478" w:rsidP="007D713A">
      <w:pPr>
        <w:pStyle w:val="OrderItem"/>
        <w:ind w:left="1080" w:hanging="360"/>
        <w:rPr>
          <w:szCs w:val="24"/>
        </w:rPr>
      </w:pPr>
      <w:r w:rsidRPr="006008DB">
        <w:rPr>
          <w:szCs w:val="24"/>
        </w:rPr>
        <w:t>b.</w:t>
      </w:r>
      <w:r w:rsidRPr="006008DB">
        <w:rPr>
          <w:szCs w:val="24"/>
        </w:rPr>
        <w:tab/>
        <w:t>No part of the dispersal system shall extend to a depth where waste may be discharged directly to groundwater.</w:t>
      </w:r>
    </w:p>
    <w:p w14:paraId="22A3540D" w14:textId="60CF13BA" w:rsidR="00063478" w:rsidRPr="006008DB" w:rsidRDefault="00063478" w:rsidP="007D713A">
      <w:pPr>
        <w:pStyle w:val="OrderItem"/>
        <w:ind w:left="1080" w:hanging="360"/>
        <w:rPr>
          <w:szCs w:val="24"/>
        </w:rPr>
      </w:pPr>
      <w:r w:rsidRPr="006008DB">
        <w:rPr>
          <w:szCs w:val="24"/>
        </w:rPr>
        <w:t>c.</w:t>
      </w:r>
      <w:r w:rsidRPr="006008DB">
        <w:rPr>
          <w:szCs w:val="24"/>
        </w:rPr>
        <w:tab/>
        <w:t>Soil absorption system sizing shall be based on the peak daily flow during crush season. The limiting design parameter concept shall be applied to the design of the land treatment system.</w:t>
      </w:r>
      <w:r w:rsidR="003C145B">
        <w:rPr>
          <w:rStyle w:val="FootnoteReference"/>
          <w:szCs w:val="24"/>
        </w:rPr>
        <w:footnoteReference w:id="11"/>
      </w:r>
      <w:r w:rsidRPr="006008DB">
        <w:rPr>
          <w:szCs w:val="24"/>
        </w:rPr>
        <w:t xml:space="preserve"> </w:t>
      </w:r>
    </w:p>
    <w:p w14:paraId="6EDC4D90" w14:textId="4C9F5AD4" w:rsidR="00063478" w:rsidRPr="006008DB" w:rsidRDefault="00063478" w:rsidP="007D713A">
      <w:pPr>
        <w:pStyle w:val="OrderItem"/>
        <w:spacing w:after="0"/>
        <w:ind w:left="1080" w:hanging="360"/>
        <w:rPr>
          <w:szCs w:val="24"/>
        </w:rPr>
      </w:pPr>
      <w:r w:rsidRPr="006008DB">
        <w:rPr>
          <w:szCs w:val="24"/>
        </w:rPr>
        <w:t>d.</w:t>
      </w:r>
      <w:r w:rsidRPr="006008DB">
        <w:rPr>
          <w:szCs w:val="24"/>
        </w:rPr>
        <w:tab/>
        <w:t xml:space="preserve">Infiltration surface shall be sized based on organic loading, nitrogen loading, or hydraulic loading, whichever is more conservative. Chapter 4.4.5 of the 2002 U.S. EPA Onsite Wastewater Treatment Systems Manual or most recent version </w:t>
      </w:r>
      <w:r w:rsidR="001E3872">
        <w:rPr>
          <w:szCs w:val="24"/>
        </w:rPr>
        <w:t>contains</w:t>
      </w:r>
      <w:r w:rsidR="001E3872" w:rsidRPr="006008DB">
        <w:rPr>
          <w:szCs w:val="24"/>
        </w:rPr>
        <w:t xml:space="preserve"> </w:t>
      </w:r>
      <w:r w:rsidRPr="006008DB">
        <w:rPr>
          <w:szCs w:val="24"/>
        </w:rPr>
        <w:t>guidelines on sizing an infiltration basin.</w:t>
      </w:r>
      <w:r w:rsidRPr="006008DB">
        <w:rPr>
          <w:szCs w:val="24"/>
          <w:vertAlign w:val="superscript"/>
        </w:rPr>
        <w:footnoteReference w:id="12"/>
      </w:r>
    </w:p>
    <w:p w14:paraId="14987B29" w14:textId="77777777" w:rsidR="00063478" w:rsidRPr="006008DB" w:rsidRDefault="00063478" w:rsidP="007D713A">
      <w:pPr>
        <w:pStyle w:val="OrderItem"/>
        <w:spacing w:after="0"/>
        <w:ind w:left="1080" w:hanging="360"/>
        <w:rPr>
          <w:szCs w:val="24"/>
        </w:rPr>
      </w:pPr>
    </w:p>
    <w:p w14:paraId="38B99250" w14:textId="77777777" w:rsidR="00063478" w:rsidRPr="006008DB" w:rsidRDefault="00063478" w:rsidP="007D713A">
      <w:pPr>
        <w:pStyle w:val="OrderItem"/>
        <w:spacing w:after="0"/>
        <w:ind w:left="1080" w:hanging="360"/>
        <w:rPr>
          <w:szCs w:val="24"/>
        </w:rPr>
      </w:pPr>
      <w:r>
        <w:rPr>
          <w:szCs w:val="24"/>
        </w:rPr>
        <w:t>e.</w:t>
      </w:r>
      <w:r>
        <w:rPr>
          <w:szCs w:val="24"/>
        </w:rPr>
        <w:tab/>
      </w:r>
      <w:r w:rsidRPr="006008DB">
        <w:rPr>
          <w:szCs w:val="24"/>
        </w:rPr>
        <w:t>Septic tanks shall be easily assessable to inspect solids levels, pump out solids, and clean or replace effluent filters.</w:t>
      </w:r>
    </w:p>
    <w:p w14:paraId="422EC64D" w14:textId="77777777" w:rsidR="00063478" w:rsidRPr="006008DB" w:rsidRDefault="00063478" w:rsidP="007D713A">
      <w:pPr>
        <w:pStyle w:val="OrderItem"/>
        <w:spacing w:after="0"/>
        <w:ind w:left="1080" w:hanging="360"/>
        <w:rPr>
          <w:szCs w:val="24"/>
        </w:rPr>
      </w:pPr>
    </w:p>
    <w:p w14:paraId="177A5D81" w14:textId="5DC8DEDF" w:rsidR="00063478" w:rsidRPr="006008DB" w:rsidRDefault="00063478" w:rsidP="007D713A">
      <w:pPr>
        <w:pStyle w:val="OrderItem"/>
        <w:spacing w:after="0"/>
        <w:ind w:left="1080" w:hanging="360"/>
        <w:rPr>
          <w:szCs w:val="24"/>
        </w:rPr>
      </w:pPr>
      <w:r>
        <w:rPr>
          <w:szCs w:val="24"/>
        </w:rPr>
        <w:t>f.</w:t>
      </w:r>
      <w:r>
        <w:rPr>
          <w:szCs w:val="24"/>
        </w:rPr>
        <w:tab/>
      </w:r>
      <w:r w:rsidRPr="006008DB">
        <w:rPr>
          <w:szCs w:val="24"/>
        </w:rPr>
        <w:t>If the Discharger</w:t>
      </w:r>
      <w:r w:rsidR="00037CB0">
        <w:rPr>
          <w:szCs w:val="24"/>
        </w:rPr>
        <w:t xml:space="preserve"> is an </w:t>
      </w:r>
      <w:r w:rsidR="00037CB0" w:rsidRPr="00731573">
        <w:rPr>
          <w:szCs w:val="24"/>
          <w:u w:val="single"/>
        </w:rPr>
        <w:t>existing</w:t>
      </w:r>
      <w:r w:rsidR="00037CB0">
        <w:rPr>
          <w:szCs w:val="24"/>
        </w:rPr>
        <w:t xml:space="preserve"> facility enrolled under </w:t>
      </w:r>
      <w:r w:rsidR="00037CB0" w:rsidRPr="00731573">
        <w:rPr>
          <w:szCs w:val="24"/>
          <w:u w:val="single"/>
        </w:rPr>
        <w:t>Tier One</w:t>
      </w:r>
      <w:r w:rsidR="00037CB0">
        <w:rPr>
          <w:szCs w:val="24"/>
        </w:rPr>
        <w:t xml:space="preserve"> that</w:t>
      </w:r>
      <w:r w:rsidRPr="006008DB">
        <w:rPr>
          <w:szCs w:val="24"/>
        </w:rPr>
        <w:t xml:space="preserve"> uses a septic system </w:t>
      </w:r>
      <w:r w:rsidR="005370CB">
        <w:rPr>
          <w:szCs w:val="24"/>
        </w:rPr>
        <w:t xml:space="preserve">and </w:t>
      </w:r>
      <w:r w:rsidRPr="006008DB">
        <w:rPr>
          <w:szCs w:val="24"/>
        </w:rPr>
        <w:t xml:space="preserve">results in </w:t>
      </w:r>
      <w:r w:rsidR="001738FE">
        <w:rPr>
          <w:szCs w:val="24"/>
        </w:rPr>
        <w:t>subsurface dis</w:t>
      </w:r>
      <w:r w:rsidR="00731573">
        <w:rPr>
          <w:szCs w:val="24"/>
        </w:rPr>
        <w:t>charge</w:t>
      </w:r>
      <w:r w:rsidR="001738FE">
        <w:rPr>
          <w:szCs w:val="24"/>
        </w:rPr>
        <w:t xml:space="preserve"> via a </w:t>
      </w:r>
      <w:proofErr w:type="spellStart"/>
      <w:r w:rsidR="001738FE">
        <w:rPr>
          <w:szCs w:val="24"/>
        </w:rPr>
        <w:t>leach</w:t>
      </w:r>
      <w:r w:rsidRPr="006008DB">
        <w:rPr>
          <w:szCs w:val="24"/>
        </w:rPr>
        <w:t>field</w:t>
      </w:r>
      <w:proofErr w:type="spellEnd"/>
      <w:r w:rsidRPr="006008DB">
        <w:rPr>
          <w:szCs w:val="24"/>
        </w:rPr>
        <w:t xml:space="preserve">, the winery process wastewater shall </w:t>
      </w:r>
      <w:r w:rsidR="00037CB0">
        <w:rPr>
          <w:szCs w:val="24"/>
        </w:rPr>
        <w:t>have</w:t>
      </w:r>
      <w:r w:rsidRPr="006008DB">
        <w:rPr>
          <w:szCs w:val="24"/>
        </w:rPr>
        <w:t xml:space="preserve"> a biochemical oxygen demand concentration of less than or equal to 300 mg/L and a total suspended solids concentration of less than or equal to 330 mg/L prior to entering the septic system. </w:t>
      </w:r>
      <w:r w:rsidR="00BC13B3">
        <w:rPr>
          <w:b/>
          <w:szCs w:val="24"/>
        </w:rPr>
        <w:t>Table 1</w:t>
      </w:r>
      <w:r w:rsidR="00731573">
        <w:rPr>
          <w:szCs w:val="24"/>
        </w:rPr>
        <w:t xml:space="preserve"> in Order section </w:t>
      </w:r>
      <w:r w:rsidR="00731573" w:rsidRPr="00731573">
        <w:rPr>
          <w:b/>
          <w:szCs w:val="24"/>
        </w:rPr>
        <w:t xml:space="preserve">IV.A </w:t>
      </w:r>
      <w:r w:rsidR="00731573">
        <w:rPr>
          <w:szCs w:val="24"/>
        </w:rPr>
        <w:t>contains these effluent limitations.</w:t>
      </w:r>
    </w:p>
    <w:p w14:paraId="4C61D60F" w14:textId="77777777" w:rsidR="00063478" w:rsidRPr="006008DB" w:rsidRDefault="00063478" w:rsidP="007D713A">
      <w:pPr>
        <w:pStyle w:val="OrderItem"/>
        <w:spacing w:after="0"/>
        <w:ind w:left="1080" w:hanging="360"/>
        <w:rPr>
          <w:szCs w:val="24"/>
        </w:rPr>
      </w:pPr>
    </w:p>
    <w:p w14:paraId="0C6C344C" w14:textId="386DE261" w:rsidR="00063478" w:rsidRDefault="00063478" w:rsidP="004F63A4">
      <w:pPr>
        <w:pStyle w:val="ListParagraph"/>
        <w:numPr>
          <w:ilvl w:val="0"/>
          <w:numId w:val="5"/>
        </w:numPr>
        <w:ind w:left="1080"/>
      </w:pPr>
      <w:r w:rsidRPr="001905A7">
        <w:t xml:space="preserve">All domestic wastewater generated at the winery shall be treated with an onsite wastewater treatment system that complies </w:t>
      </w:r>
      <w:r w:rsidRPr="00D65730">
        <w:t>with their respective County’s requirements for such systems as stated in onsite wastewater treatment system technical standards, code(s), or ordinance(s</w:t>
      </w:r>
      <w:r w:rsidR="004F63A4">
        <w:t xml:space="preserve">). </w:t>
      </w:r>
      <w:r w:rsidR="004F63A4" w:rsidRPr="004F63A4">
        <w:rPr>
          <w:b/>
        </w:rPr>
        <w:t>Appendix 2</w:t>
      </w:r>
      <w:r w:rsidR="004F63A4">
        <w:t xml:space="preserve"> contains </w:t>
      </w:r>
      <w:r w:rsidR="004F63A4" w:rsidRPr="004F63A4">
        <w:t>county onsite wastewater treatment system technical standards, code, and ordinance resources</w:t>
      </w:r>
      <w:r w:rsidR="004F63A4">
        <w:t xml:space="preserve"> that are accessible online.</w:t>
      </w:r>
    </w:p>
    <w:p w14:paraId="2E7F819E" w14:textId="77777777" w:rsidR="004F63A4" w:rsidRPr="001905A7" w:rsidRDefault="004F63A4" w:rsidP="004F63A4">
      <w:pPr>
        <w:pStyle w:val="ListParagraph"/>
      </w:pPr>
    </w:p>
    <w:p w14:paraId="2E1F0713" w14:textId="77777777" w:rsidR="00063478" w:rsidRPr="006008DB" w:rsidRDefault="00063478" w:rsidP="007D713A">
      <w:pPr>
        <w:pStyle w:val="OrderItem"/>
        <w:spacing w:after="0"/>
        <w:ind w:left="1080" w:hanging="360"/>
        <w:rPr>
          <w:szCs w:val="24"/>
        </w:rPr>
      </w:pPr>
      <w:r>
        <w:rPr>
          <w:szCs w:val="24"/>
        </w:rPr>
        <w:t>h.</w:t>
      </w:r>
      <w:r>
        <w:rPr>
          <w:szCs w:val="24"/>
        </w:rPr>
        <w:tab/>
      </w:r>
      <w:r w:rsidRPr="006008DB">
        <w:rPr>
          <w:szCs w:val="24"/>
        </w:rPr>
        <w:t xml:space="preserve">For a new subsurface dispersal system, the system shall be sited, designed, and operated to provide and maintain, at all times, at least five feet of vertical depth of suitable unsaturated soil between the bottom of the dispersal system and the elevation of any restrictive limiting condition encountered beneath the dispersal system, such as impermeable soil, bedrock, fractured bedrock, or highest anticipated seasonal or artificially elevated groundwater table level. </w:t>
      </w:r>
    </w:p>
    <w:p w14:paraId="775F37F8" w14:textId="77777777" w:rsidR="00063478" w:rsidRPr="006008DB" w:rsidRDefault="00063478" w:rsidP="007D713A">
      <w:pPr>
        <w:pStyle w:val="OrderItem"/>
        <w:spacing w:after="0"/>
        <w:ind w:left="1080" w:hanging="360"/>
        <w:rPr>
          <w:szCs w:val="24"/>
        </w:rPr>
      </w:pPr>
    </w:p>
    <w:p w14:paraId="1AF31DA8" w14:textId="77777777" w:rsidR="00063478" w:rsidRPr="006008DB" w:rsidRDefault="00063478" w:rsidP="007D713A">
      <w:pPr>
        <w:pStyle w:val="OrderItem"/>
        <w:spacing w:after="0"/>
        <w:ind w:left="1080" w:hanging="360"/>
        <w:rPr>
          <w:szCs w:val="24"/>
        </w:rPr>
      </w:pPr>
      <w:proofErr w:type="spellStart"/>
      <w:r>
        <w:rPr>
          <w:szCs w:val="24"/>
        </w:rPr>
        <w:t>i</w:t>
      </w:r>
      <w:proofErr w:type="spellEnd"/>
      <w:r>
        <w:rPr>
          <w:szCs w:val="24"/>
        </w:rPr>
        <w:t>.</w:t>
      </w:r>
      <w:r>
        <w:rPr>
          <w:szCs w:val="24"/>
        </w:rPr>
        <w:tab/>
      </w:r>
      <w:r w:rsidRPr="006008DB">
        <w:rPr>
          <w:szCs w:val="24"/>
        </w:rPr>
        <w:t xml:space="preserve">For a new subsurface dispersal system, the system shall include a reserve area for future replacement or expansion of the system.  The reserve </w:t>
      </w:r>
      <w:r>
        <w:rPr>
          <w:szCs w:val="24"/>
        </w:rPr>
        <w:t xml:space="preserve">shall contain </w:t>
      </w:r>
      <w:r w:rsidRPr="006008DB">
        <w:rPr>
          <w:szCs w:val="24"/>
        </w:rPr>
        <w:t>sufficient area, site, and soil characteristics suitable for at least 100 percent replacement of the initial subsurface dispersal system.  The reserve area shall remain unencumbered until such time as the area is needed for replacement or expansion of the original system, or wastewater service is provided by connection to a municipal sewerage system.</w:t>
      </w:r>
    </w:p>
    <w:p w14:paraId="7BC5738B" w14:textId="77777777" w:rsidR="00063478" w:rsidRPr="006008DB" w:rsidRDefault="00063478" w:rsidP="007D713A">
      <w:pPr>
        <w:pStyle w:val="ListParagraph"/>
        <w:ind w:left="1080" w:hanging="360"/>
        <w:rPr>
          <w:szCs w:val="24"/>
        </w:rPr>
      </w:pPr>
    </w:p>
    <w:p w14:paraId="60EEA091" w14:textId="749175F0" w:rsidR="00063478" w:rsidRPr="006008DB" w:rsidRDefault="00063478" w:rsidP="007D713A">
      <w:pPr>
        <w:pStyle w:val="OrderItem"/>
        <w:spacing w:after="0"/>
        <w:ind w:left="1080" w:hanging="360"/>
        <w:rPr>
          <w:szCs w:val="24"/>
        </w:rPr>
      </w:pPr>
      <w:r>
        <w:rPr>
          <w:szCs w:val="24"/>
        </w:rPr>
        <w:t>j.</w:t>
      </w:r>
      <w:r>
        <w:rPr>
          <w:szCs w:val="24"/>
        </w:rPr>
        <w:tab/>
      </w:r>
      <w:r w:rsidRPr="006008DB">
        <w:rPr>
          <w:szCs w:val="24"/>
        </w:rPr>
        <w:t>Inspection ris</w:t>
      </w:r>
      <w:r w:rsidR="001738FE">
        <w:rPr>
          <w:szCs w:val="24"/>
        </w:rPr>
        <w:t xml:space="preserve">ers shall be installed in </w:t>
      </w:r>
      <w:proofErr w:type="spellStart"/>
      <w:r w:rsidR="001738FE">
        <w:rPr>
          <w:szCs w:val="24"/>
        </w:rPr>
        <w:t>leach</w:t>
      </w:r>
      <w:r w:rsidRPr="006008DB">
        <w:rPr>
          <w:szCs w:val="24"/>
        </w:rPr>
        <w:t>fields</w:t>
      </w:r>
      <w:proofErr w:type="spellEnd"/>
      <w:r w:rsidRPr="006008DB">
        <w:rPr>
          <w:szCs w:val="24"/>
        </w:rPr>
        <w:t xml:space="preserve"> to monitor water levels.</w:t>
      </w:r>
    </w:p>
    <w:p w14:paraId="3D92CB4B" w14:textId="77777777" w:rsidR="00063478" w:rsidRPr="006008DB" w:rsidRDefault="00063478" w:rsidP="00063478"/>
    <w:p w14:paraId="438DD64F" w14:textId="5844DC22" w:rsidR="00063478" w:rsidRPr="00D65730" w:rsidRDefault="00731573" w:rsidP="007D713A">
      <w:pPr>
        <w:pStyle w:val="ListParagraph"/>
        <w:numPr>
          <w:ilvl w:val="0"/>
          <w:numId w:val="13"/>
        </w:numPr>
        <w:spacing w:after="120"/>
        <w:contextualSpacing w:val="0"/>
        <w:rPr>
          <w:b/>
          <w:szCs w:val="24"/>
        </w:rPr>
      </w:pPr>
      <w:bookmarkStart w:id="65" w:name="_Toc470706578"/>
      <w:r>
        <w:rPr>
          <w:b/>
          <w:szCs w:val="24"/>
        </w:rPr>
        <w:t xml:space="preserve">Land </w:t>
      </w:r>
      <w:r w:rsidR="00063478" w:rsidRPr="00D65730">
        <w:rPr>
          <w:b/>
          <w:szCs w:val="24"/>
        </w:rPr>
        <w:t>Surface Discharges</w:t>
      </w:r>
      <w:bookmarkEnd w:id="65"/>
      <w:r w:rsidR="00063478">
        <w:rPr>
          <w:b/>
          <w:szCs w:val="24"/>
        </w:rPr>
        <w:t xml:space="preserve">. </w:t>
      </w:r>
      <w:r w:rsidR="00063478" w:rsidRPr="00D65730">
        <w:rPr>
          <w:szCs w:val="24"/>
        </w:rPr>
        <w:t xml:space="preserve">All winery wastewater systems that include </w:t>
      </w:r>
      <w:r>
        <w:rPr>
          <w:szCs w:val="24"/>
        </w:rPr>
        <w:t>discharge</w:t>
      </w:r>
      <w:r w:rsidR="00063478" w:rsidRPr="00D65730">
        <w:rPr>
          <w:szCs w:val="24"/>
        </w:rPr>
        <w:t xml:space="preserve"> by means of </w:t>
      </w:r>
      <w:r>
        <w:rPr>
          <w:szCs w:val="24"/>
        </w:rPr>
        <w:t xml:space="preserve">discharge to the land </w:t>
      </w:r>
      <w:r w:rsidR="00063478" w:rsidRPr="00D65730">
        <w:rPr>
          <w:szCs w:val="24"/>
        </w:rPr>
        <w:t>surface shall comply with the following requirements:</w:t>
      </w:r>
    </w:p>
    <w:p w14:paraId="33637B47" w14:textId="77777777" w:rsidR="00063478" w:rsidRDefault="00063478" w:rsidP="00362D97">
      <w:pPr>
        <w:pStyle w:val="OrderItem"/>
        <w:numPr>
          <w:ilvl w:val="0"/>
          <w:numId w:val="23"/>
        </w:numPr>
        <w:spacing w:after="0"/>
        <w:ind w:left="1080"/>
        <w:rPr>
          <w:szCs w:val="24"/>
        </w:rPr>
      </w:pPr>
      <w:r w:rsidRPr="006008DB">
        <w:rPr>
          <w:szCs w:val="24"/>
        </w:rPr>
        <w:t>Adequate area shall be available for all application rates sufficient to ensure that the discharges will not create a condition of nuisance (e.g., vectors, nuisance odors, and off-site discharge) or degrade the groundwater quality below the water quality objectives in the Basin Plan.</w:t>
      </w:r>
    </w:p>
    <w:p w14:paraId="0A7D1FD3" w14:textId="77777777" w:rsidR="00063478" w:rsidRPr="006008DB" w:rsidRDefault="00063478" w:rsidP="007D713A">
      <w:pPr>
        <w:pStyle w:val="OrderItem"/>
        <w:spacing w:after="0"/>
        <w:ind w:left="1080" w:hanging="360"/>
        <w:rPr>
          <w:szCs w:val="24"/>
        </w:rPr>
      </w:pPr>
    </w:p>
    <w:p w14:paraId="7D3A8AA2" w14:textId="4F002474" w:rsidR="00063478" w:rsidRPr="006008DB" w:rsidRDefault="00063478" w:rsidP="00362D97">
      <w:pPr>
        <w:pStyle w:val="OrderItem"/>
        <w:numPr>
          <w:ilvl w:val="0"/>
          <w:numId w:val="23"/>
        </w:numPr>
        <w:spacing w:after="0"/>
        <w:ind w:left="1080"/>
        <w:rPr>
          <w:szCs w:val="24"/>
        </w:rPr>
      </w:pPr>
      <w:r w:rsidRPr="006008DB">
        <w:rPr>
          <w:szCs w:val="24"/>
        </w:rPr>
        <w:t xml:space="preserve">Alternating between the application of wastewater to land and a resting period is required of all </w:t>
      </w:r>
      <w:r w:rsidR="00731573">
        <w:rPr>
          <w:szCs w:val="24"/>
        </w:rPr>
        <w:t>discharge</w:t>
      </w:r>
      <w:r w:rsidRPr="006008DB">
        <w:rPr>
          <w:szCs w:val="24"/>
        </w:rPr>
        <w:t xml:space="preserve"> methods. The doses of wastewater application shall be spaced evenly over the 24</w:t>
      </w:r>
      <w:r w:rsidRPr="006008DB">
        <w:rPr>
          <w:szCs w:val="24"/>
        </w:rPr>
        <w:noBreakHyphen/>
        <w:t>hour day to optimize the soil’s treatment capacity.</w:t>
      </w:r>
    </w:p>
    <w:p w14:paraId="49E576C4" w14:textId="77777777" w:rsidR="00063478" w:rsidRPr="006008DB" w:rsidRDefault="00063478" w:rsidP="007D713A">
      <w:pPr>
        <w:pStyle w:val="OrderItem"/>
        <w:spacing w:after="0"/>
        <w:ind w:left="1080" w:hanging="360"/>
        <w:rPr>
          <w:szCs w:val="24"/>
        </w:rPr>
      </w:pPr>
    </w:p>
    <w:p w14:paraId="3CA4B642" w14:textId="79365601" w:rsidR="004F63A4" w:rsidRPr="004F63A4" w:rsidRDefault="004F63A4" w:rsidP="00362D97">
      <w:pPr>
        <w:pStyle w:val="ListParagraph"/>
        <w:numPr>
          <w:ilvl w:val="0"/>
          <w:numId w:val="23"/>
        </w:numPr>
        <w:ind w:left="1080"/>
        <w:rPr>
          <w:snapToGrid w:val="0"/>
          <w:szCs w:val="24"/>
        </w:rPr>
      </w:pPr>
      <w:r w:rsidRPr="004F63A4">
        <w:rPr>
          <w:snapToGrid w:val="0"/>
          <w:szCs w:val="24"/>
        </w:rPr>
        <w:t>The maxim</w:t>
      </w:r>
      <w:r>
        <w:rPr>
          <w:snapToGrid w:val="0"/>
          <w:szCs w:val="24"/>
        </w:rPr>
        <w:t xml:space="preserve">um soil water storage capacity </w:t>
      </w:r>
      <w:r w:rsidRPr="004F63A4">
        <w:rPr>
          <w:snapToGrid w:val="0"/>
          <w:szCs w:val="24"/>
        </w:rPr>
        <w:t xml:space="preserve">of the site between the land surface in the discharge area and five feet depth shall not be exceeded for a single </w:t>
      </w:r>
      <w:r>
        <w:rPr>
          <w:snapToGrid w:val="0"/>
          <w:szCs w:val="24"/>
        </w:rPr>
        <w:t xml:space="preserve">discharge </w:t>
      </w:r>
      <w:r w:rsidRPr="004F63A4">
        <w:rPr>
          <w:snapToGrid w:val="0"/>
          <w:szCs w:val="24"/>
        </w:rPr>
        <w:t>event.</w:t>
      </w:r>
      <w:r>
        <w:rPr>
          <w:rStyle w:val="FootnoteReference"/>
          <w:snapToGrid w:val="0"/>
          <w:szCs w:val="24"/>
        </w:rPr>
        <w:footnoteReference w:id="13"/>
      </w:r>
      <w:r w:rsidRPr="004F63A4">
        <w:rPr>
          <w:snapToGrid w:val="0"/>
          <w:szCs w:val="24"/>
        </w:rPr>
        <w:t xml:space="preserve">  Soil water storage capacity can be obtained from soil survey reports based on mapped soil type or direct measurement.</w:t>
      </w:r>
      <w:r>
        <w:rPr>
          <w:rStyle w:val="FootnoteReference"/>
          <w:snapToGrid w:val="0"/>
          <w:szCs w:val="24"/>
        </w:rPr>
        <w:footnoteReference w:id="14"/>
      </w:r>
    </w:p>
    <w:p w14:paraId="60E4BF71" w14:textId="77777777" w:rsidR="004F63A4" w:rsidRDefault="004F63A4" w:rsidP="004F63A4">
      <w:pPr>
        <w:pStyle w:val="ListParagraph"/>
        <w:rPr>
          <w:szCs w:val="24"/>
        </w:rPr>
      </w:pPr>
    </w:p>
    <w:p w14:paraId="030A1818" w14:textId="7819195E" w:rsidR="00063478" w:rsidRPr="006008DB" w:rsidRDefault="00063478" w:rsidP="00362D97">
      <w:pPr>
        <w:pStyle w:val="OrderItem"/>
        <w:numPr>
          <w:ilvl w:val="0"/>
          <w:numId w:val="23"/>
        </w:numPr>
        <w:spacing w:after="0"/>
        <w:ind w:left="1080"/>
        <w:rPr>
          <w:szCs w:val="24"/>
        </w:rPr>
      </w:pPr>
      <w:r w:rsidRPr="006008DB">
        <w:rPr>
          <w:szCs w:val="24"/>
        </w:rPr>
        <w:t>No treated winery wastewater used for irrigation may be discharged to areas outside the irrigation areas</w:t>
      </w:r>
      <w:r w:rsidR="004F63A4">
        <w:rPr>
          <w:szCs w:val="24"/>
        </w:rPr>
        <w:t xml:space="preserve"> </w:t>
      </w:r>
      <w:r w:rsidR="00CE0D77">
        <w:rPr>
          <w:szCs w:val="24"/>
        </w:rPr>
        <w:t>indicated in the NOI Package.</w:t>
      </w:r>
    </w:p>
    <w:p w14:paraId="354B10DC" w14:textId="77777777" w:rsidR="00063478" w:rsidRPr="006008DB" w:rsidRDefault="00063478" w:rsidP="007D713A">
      <w:pPr>
        <w:pStyle w:val="ListParagraph"/>
        <w:ind w:left="1080" w:hanging="360"/>
        <w:rPr>
          <w:szCs w:val="24"/>
        </w:rPr>
      </w:pPr>
    </w:p>
    <w:p w14:paraId="1BD28DFC" w14:textId="77777777" w:rsidR="00063478" w:rsidRPr="006008DB" w:rsidRDefault="00063478" w:rsidP="00362D97">
      <w:pPr>
        <w:pStyle w:val="OrderItem"/>
        <w:numPr>
          <w:ilvl w:val="0"/>
          <w:numId w:val="23"/>
        </w:numPr>
        <w:spacing w:after="0"/>
        <w:ind w:left="1080"/>
        <w:rPr>
          <w:szCs w:val="24"/>
        </w:rPr>
      </w:pPr>
      <w:r w:rsidRPr="006008DB">
        <w:rPr>
          <w:szCs w:val="24"/>
        </w:rPr>
        <w:t>Land application system maintenance must be implemented to reduce surface fouling due to the accumulation of organic matter at soil surface.</w:t>
      </w:r>
    </w:p>
    <w:p w14:paraId="779DC0A7" w14:textId="77777777" w:rsidR="00063478" w:rsidRPr="006008DB" w:rsidRDefault="00063478" w:rsidP="007D713A">
      <w:pPr>
        <w:pStyle w:val="ListParagraph"/>
        <w:ind w:left="1080" w:hanging="360"/>
        <w:rPr>
          <w:szCs w:val="24"/>
        </w:rPr>
      </w:pPr>
    </w:p>
    <w:p w14:paraId="79F4CB23" w14:textId="06F0B5CC" w:rsidR="00063478" w:rsidRPr="006008DB" w:rsidRDefault="00063478" w:rsidP="00362D97">
      <w:pPr>
        <w:pStyle w:val="OrderItem"/>
        <w:numPr>
          <w:ilvl w:val="0"/>
          <w:numId w:val="23"/>
        </w:numPr>
        <w:spacing w:after="0"/>
        <w:ind w:left="1080"/>
        <w:rPr>
          <w:szCs w:val="24"/>
        </w:rPr>
      </w:pPr>
      <w:r w:rsidRPr="006008DB">
        <w:rPr>
          <w:szCs w:val="24"/>
        </w:rPr>
        <w:t>Statewide water recycling criteria in California Code of Regulations, title 22, division 4, chapter 3 (Title 22) are applicable if domestic wastewater is discharged via irrigation. Recycled water discharges regulated under this Order shall be consistent with the requirements of Title 22.</w:t>
      </w:r>
      <w:r w:rsidR="0092694A">
        <w:rPr>
          <w:rStyle w:val="FootnoteReference"/>
          <w:szCs w:val="24"/>
        </w:rPr>
        <w:footnoteReference w:id="15"/>
      </w:r>
    </w:p>
    <w:p w14:paraId="3F220350" w14:textId="77777777" w:rsidR="00063478" w:rsidRPr="006008DB" w:rsidRDefault="00063478" w:rsidP="007D713A">
      <w:pPr>
        <w:pStyle w:val="ListParagraph"/>
        <w:ind w:left="1080" w:hanging="360"/>
        <w:rPr>
          <w:szCs w:val="24"/>
        </w:rPr>
      </w:pPr>
    </w:p>
    <w:p w14:paraId="16E5E8CF" w14:textId="00BF507C" w:rsidR="00063478" w:rsidRDefault="00063478" w:rsidP="00362D97">
      <w:pPr>
        <w:pStyle w:val="ListParagraph"/>
        <w:numPr>
          <w:ilvl w:val="0"/>
          <w:numId w:val="23"/>
        </w:numPr>
        <w:ind w:left="1080"/>
        <w:rPr>
          <w:szCs w:val="24"/>
        </w:rPr>
      </w:pPr>
      <w:r w:rsidRPr="006008DB">
        <w:rPr>
          <w:szCs w:val="24"/>
        </w:rPr>
        <w:t xml:space="preserve">The Discharger shall post warning signs on the perimeter of every area in which treated winery process </w:t>
      </w:r>
      <w:r w:rsidR="0094383D">
        <w:rPr>
          <w:szCs w:val="24"/>
        </w:rPr>
        <w:t xml:space="preserve">and domestic </w:t>
      </w:r>
      <w:r w:rsidRPr="006008DB">
        <w:rPr>
          <w:szCs w:val="24"/>
        </w:rPr>
        <w:t>wastewater is applied.  The signs shall indicate use of non-potable water and shall be posted at least every 500 feet along the perimeter with at least one sign at each corner and access road.</w:t>
      </w:r>
    </w:p>
    <w:p w14:paraId="3E7BFD66" w14:textId="77777777" w:rsidR="00CE0D77" w:rsidRPr="00CE0D77" w:rsidRDefault="00CE0D77" w:rsidP="00CE0D77">
      <w:pPr>
        <w:pStyle w:val="ListParagraph"/>
        <w:rPr>
          <w:szCs w:val="24"/>
        </w:rPr>
      </w:pPr>
    </w:p>
    <w:p w14:paraId="467F58F9" w14:textId="31924301" w:rsidR="00CE0D77" w:rsidRDefault="00CE0D77" w:rsidP="00362D97">
      <w:pPr>
        <w:pStyle w:val="ListParagraph"/>
        <w:numPr>
          <w:ilvl w:val="0"/>
          <w:numId w:val="23"/>
        </w:numPr>
        <w:ind w:left="1080"/>
        <w:rPr>
          <w:szCs w:val="24"/>
        </w:rPr>
      </w:pPr>
      <w:r>
        <w:rPr>
          <w:szCs w:val="24"/>
        </w:rPr>
        <w:t>A backflow prevention device shall be installed on the irrigation water source supply when irrigation water is combined with wastewater in an irrigation system.</w:t>
      </w:r>
    </w:p>
    <w:p w14:paraId="3A9A2CF9" w14:textId="77777777" w:rsidR="00CE0D77" w:rsidRPr="00CE0D77" w:rsidRDefault="00CE0D77" w:rsidP="00CE0D77">
      <w:pPr>
        <w:pStyle w:val="ListParagraph"/>
        <w:rPr>
          <w:szCs w:val="24"/>
        </w:rPr>
      </w:pPr>
    </w:p>
    <w:p w14:paraId="53214751" w14:textId="76A8681B" w:rsidR="00CE0D77" w:rsidRPr="006008DB" w:rsidRDefault="00CE0D77" w:rsidP="00362D97">
      <w:pPr>
        <w:pStyle w:val="ListParagraph"/>
        <w:numPr>
          <w:ilvl w:val="0"/>
          <w:numId w:val="23"/>
        </w:numPr>
        <w:ind w:left="1080"/>
        <w:rPr>
          <w:szCs w:val="24"/>
        </w:rPr>
      </w:pPr>
      <w:r>
        <w:rPr>
          <w:szCs w:val="24"/>
        </w:rPr>
        <w:t xml:space="preserve">Best management practices shall be used when discharging wastewater to land to prevent the erosion of soil in the discharge area. </w:t>
      </w:r>
    </w:p>
    <w:p w14:paraId="0D211163" w14:textId="77777777" w:rsidR="00063478" w:rsidRPr="006008DB" w:rsidRDefault="00063478" w:rsidP="00063478">
      <w:pPr>
        <w:pStyle w:val="ListParagraph"/>
        <w:rPr>
          <w:szCs w:val="24"/>
        </w:rPr>
      </w:pPr>
    </w:p>
    <w:p w14:paraId="48A4C1AE" w14:textId="3A1C6840" w:rsidR="00063478" w:rsidRPr="009B65B6" w:rsidRDefault="00063478" w:rsidP="007D713A">
      <w:pPr>
        <w:pStyle w:val="ListParagraph"/>
        <w:numPr>
          <w:ilvl w:val="0"/>
          <w:numId w:val="13"/>
        </w:numPr>
        <w:spacing w:after="120"/>
        <w:contextualSpacing w:val="0"/>
        <w:rPr>
          <w:b/>
          <w:szCs w:val="24"/>
        </w:rPr>
      </w:pPr>
      <w:bookmarkStart w:id="66" w:name="_Toc470706579"/>
      <w:r w:rsidRPr="009B65B6">
        <w:rPr>
          <w:b/>
          <w:szCs w:val="24"/>
        </w:rPr>
        <w:t>Ponds</w:t>
      </w:r>
      <w:bookmarkEnd w:id="66"/>
      <w:r>
        <w:rPr>
          <w:b/>
          <w:szCs w:val="24"/>
        </w:rPr>
        <w:t xml:space="preserve">. </w:t>
      </w:r>
      <w:r w:rsidRPr="009B65B6">
        <w:rPr>
          <w:szCs w:val="24"/>
        </w:rPr>
        <w:t xml:space="preserve">All winery wastewater systems that include ponds used for </w:t>
      </w:r>
      <w:r w:rsidR="00CE0D77">
        <w:rPr>
          <w:szCs w:val="24"/>
        </w:rPr>
        <w:t xml:space="preserve">the </w:t>
      </w:r>
      <w:r w:rsidRPr="009B65B6">
        <w:rPr>
          <w:szCs w:val="24"/>
        </w:rPr>
        <w:t>treatment or storage of winery process wastewater shall comply with the following requirements:</w:t>
      </w:r>
    </w:p>
    <w:p w14:paraId="73A70B52" w14:textId="77777777" w:rsidR="00063478" w:rsidRPr="006008DB" w:rsidRDefault="00063478" w:rsidP="00362D97">
      <w:pPr>
        <w:pStyle w:val="OrderItem"/>
        <w:numPr>
          <w:ilvl w:val="0"/>
          <w:numId w:val="24"/>
        </w:numPr>
        <w:spacing w:after="0"/>
        <w:ind w:left="1080"/>
        <w:rPr>
          <w:szCs w:val="24"/>
        </w:rPr>
      </w:pPr>
      <w:r w:rsidRPr="006008DB">
        <w:rPr>
          <w:szCs w:val="24"/>
        </w:rPr>
        <w:t>The dissolved oxygen concentration of water contained in the ponds shall not be less than 2.0 mg/L at any time.</w:t>
      </w:r>
    </w:p>
    <w:p w14:paraId="6A6A4432" w14:textId="77777777" w:rsidR="00063478" w:rsidRPr="006008DB" w:rsidRDefault="00063478" w:rsidP="007D713A">
      <w:pPr>
        <w:pStyle w:val="OrderItem"/>
        <w:spacing w:after="0"/>
        <w:ind w:left="1080" w:hanging="360"/>
        <w:rPr>
          <w:szCs w:val="24"/>
        </w:rPr>
      </w:pPr>
    </w:p>
    <w:p w14:paraId="09C7124D" w14:textId="77777777" w:rsidR="00063478" w:rsidRPr="006008DB" w:rsidRDefault="00063478" w:rsidP="00362D97">
      <w:pPr>
        <w:pStyle w:val="OrderItem"/>
        <w:numPr>
          <w:ilvl w:val="0"/>
          <w:numId w:val="24"/>
        </w:numPr>
        <w:spacing w:after="0"/>
        <w:ind w:left="1080"/>
        <w:rPr>
          <w:szCs w:val="24"/>
        </w:rPr>
      </w:pPr>
      <w:r w:rsidRPr="006008DB">
        <w:rPr>
          <w:szCs w:val="24"/>
        </w:rPr>
        <w:t>Ponds shall have sufficient capacity to accommodate design wastewater flow, seasonal precipitation, surface inflows, and any groundwater infiltration or inflow that may occur within the pond and the collection system. A minimum freeboard, consistent with pond design, but not less than two feet, shall be maintained at all times in any pond containing winery process wastewater. The Discharger shall install and maintain in each pond a staff gauge with calibration marks that indicate the water level and enable determination of available operational freeboard. The measurement technique shall be easily readable from the pond berms and adequately maintained.</w:t>
      </w:r>
    </w:p>
    <w:p w14:paraId="3515C92C" w14:textId="77777777" w:rsidR="00063478" w:rsidRPr="006008DB" w:rsidRDefault="00063478" w:rsidP="007D713A">
      <w:pPr>
        <w:pStyle w:val="ListParagraph"/>
        <w:ind w:left="1080" w:hanging="360"/>
        <w:rPr>
          <w:szCs w:val="24"/>
        </w:rPr>
      </w:pPr>
    </w:p>
    <w:p w14:paraId="1FD3757A" w14:textId="77777777" w:rsidR="00063478" w:rsidRPr="006008DB" w:rsidRDefault="00063478" w:rsidP="00362D97">
      <w:pPr>
        <w:pStyle w:val="OrderItem"/>
        <w:numPr>
          <w:ilvl w:val="0"/>
          <w:numId w:val="24"/>
        </w:numPr>
        <w:ind w:left="1080"/>
        <w:rPr>
          <w:szCs w:val="24"/>
        </w:rPr>
      </w:pPr>
      <w:r w:rsidRPr="006008DB">
        <w:rPr>
          <w:szCs w:val="24"/>
        </w:rPr>
        <w:t xml:space="preserve">The following criterion shall be used in the design of wastewater holding ponds: </w:t>
      </w:r>
    </w:p>
    <w:p w14:paraId="0E4E90A8" w14:textId="77777777" w:rsidR="00063478" w:rsidRPr="002C2408" w:rsidRDefault="00063478" w:rsidP="007D713A">
      <w:pPr>
        <w:pStyle w:val="OrderItem"/>
        <w:spacing w:after="0"/>
        <w:ind w:hanging="360"/>
        <w:rPr>
          <w:szCs w:val="24"/>
        </w:rPr>
      </w:pPr>
      <w:proofErr w:type="spellStart"/>
      <w:r>
        <w:rPr>
          <w:szCs w:val="24"/>
        </w:rPr>
        <w:t>i</w:t>
      </w:r>
      <w:proofErr w:type="spellEnd"/>
      <w:r>
        <w:rPr>
          <w:szCs w:val="24"/>
        </w:rPr>
        <w:t>.</w:t>
      </w:r>
      <w:r>
        <w:rPr>
          <w:szCs w:val="24"/>
        </w:rPr>
        <w:tab/>
      </w:r>
      <w:r w:rsidRPr="006008DB">
        <w:rPr>
          <w:szCs w:val="24"/>
        </w:rPr>
        <w:t xml:space="preserve">At a minimum, the total 10-year wet seasonal rainfall shall be the design basis for holding ponds. The ponds shall have the capacity to store the anticipated rainfall plus wastewater for the wet season. An accurate water balance analysis is paramount in pond design and shall be submitted with the NOI Package. </w:t>
      </w:r>
    </w:p>
    <w:p w14:paraId="77102D82" w14:textId="77777777" w:rsidR="00063478" w:rsidRPr="006008DB" w:rsidRDefault="00063478" w:rsidP="007D713A">
      <w:pPr>
        <w:pStyle w:val="ListParagraph"/>
        <w:ind w:left="1440" w:hanging="360"/>
        <w:contextualSpacing w:val="0"/>
        <w:rPr>
          <w:szCs w:val="24"/>
        </w:rPr>
      </w:pPr>
    </w:p>
    <w:p w14:paraId="42AEC212" w14:textId="77777777" w:rsidR="00063478" w:rsidRPr="006008DB" w:rsidRDefault="00063478" w:rsidP="007D713A">
      <w:pPr>
        <w:pStyle w:val="OrderItem"/>
        <w:spacing w:after="0"/>
        <w:ind w:hanging="360"/>
        <w:rPr>
          <w:szCs w:val="24"/>
        </w:rPr>
      </w:pPr>
      <w:r>
        <w:rPr>
          <w:szCs w:val="24"/>
        </w:rPr>
        <w:t>ii.</w:t>
      </w:r>
      <w:r>
        <w:rPr>
          <w:szCs w:val="24"/>
        </w:rPr>
        <w:tab/>
      </w:r>
      <w:r w:rsidRPr="006008DB">
        <w:rPr>
          <w:szCs w:val="24"/>
        </w:rPr>
        <w:t xml:space="preserve">Ponds shall be adequately protected from erosion, washout, and flooding from a rainfall event having a predicted frequency of once in 100 years.  The Discharger shall operate and maintain all wastewater ponds to protect the integrity of containment dams and berms and prevent overtopping and/or structural failure. </w:t>
      </w:r>
    </w:p>
    <w:p w14:paraId="45581151" w14:textId="77777777" w:rsidR="00063478" w:rsidRPr="006008DB" w:rsidRDefault="00063478" w:rsidP="007D713A">
      <w:pPr>
        <w:pStyle w:val="ListParagraph"/>
        <w:ind w:left="1440" w:hanging="360"/>
        <w:rPr>
          <w:szCs w:val="24"/>
        </w:rPr>
      </w:pPr>
    </w:p>
    <w:p w14:paraId="5E9D3607" w14:textId="77777777" w:rsidR="00063478" w:rsidRPr="006008DB" w:rsidRDefault="00063478" w:rsidP="007D713A">
      <w:pPr>
        <w:pStyle w:val="OrderItem"/>
        <w:spacing w:after="0"/>
        <w:ind w:hanging="360"/>
        <w:rPr>
          <w:szCs w:val="24"/>
        </w:rPr>
      </w:pPr>
      <w:r>
        <w:rPr>
          <w:szCs w:val="24"/>
        </w:rPr>
        <w:t>iii.</w:t>
      </w:r>
      <w:r>
        <w:rPr>
          <w:szCs w:val="24"/>
        </w:rPr>
        <w:tab/>
      </w:r>
      <w:r w:rsidRPr="006008DB">
        <w:rPr>
          <w:szCs w:val="24"/>
        </w:rPr>
        <w:t>All new ponds shall be sited, designed, constructed, and operated to ensure that the wastewater contained in the ponds is effectively separated from underlying groundwater.  The water containment portions of the pond (pond bottom and sides below operating water levels) shall be lined with a synthetic liner, suitable clay soils, or compacted so that percolation of water into subsurface soils has a rate of not more than 1 x 10</w:t>
      </w:r>
      <w:r w:rsidRPr="006008DB">
        <w:rPr>
          <w:szCs w:val="24"/>
          <w:vertAlign w:val="superscript"/>
        </w:rPr>
        <w:t>-6</w:t>
      </w:r>
      <w:r w:rsidRPr="006008DB">
        <w:rPr>
          <w:szCs w:val="24"/>
        </w:rPr>
        <w:t xml:space="preserve"> centimeters/second.</w:t>
      </w:r>
      <w:r w:rsidRPr="006008DB">
        <w:rPr>
          <w:rStyle w:val="FootnoteReference"/>
          <w:szCs w:val="24"/>
        </w:rPr>
        <w:footnoteReference w:id="16"/>
      </w:r>
    </w:p>
    <w:p w14:paraId="502E9012" w14:textId="77777777" w:rsidR="00063478" w:rsidRPr="006008DB" w:rsidRDefault="00063478" w:rsidP="007D713A">
      <w:pPr>
        <w:pStyle w:val="ListParagraph"/>
        <w:ind w:left="1440" w:hanging="360"/>
        <w:rPr>
          <w:szCs w:val="24"/>
        </w:rPr>
      </w:pPr>
    </w:p>
    <w:p w14:paraId="2559E11A" w14:textId="77777777" w:rsidR="00063478" w:rsidRPr="006008DB" w:rsidRDefault="00063478" w:rsidP="007D713A">
      <w:pPr>
        <w:pStyle w:val="OrderItem"/>
        <w:spacing w:after="0"/>
        <w:ind w:hanging="360"/>
        <w:rPr>
          <w:szCs w:val="24"/>
        </w:rPr>
      </w:pPr>
      <w:r>
        <w:rPr>
          <w:szCs w:val="24"/>
        </w:rPr>
        <w:t>iv.</w:t>
      </w:r>
      <w:r>
        <w:rPr>
          <w:szCs w:val="24"/>
        </w:rPr>
        <w:tab/>
      </w:r>
      <w:r w:rsidRPr="006008DB">
        <w:rPr>
          <w:szCs w:val="24"/>
        </w:rPr>
        <w:t>All new ponds shall have a foundation or base capable of providing support for the structures and capable of withstanding hydraulic pressure gradients to prevent failure due to settlement, compression, or uplift and all effects of ground motions resulting from at least the maximum probable earthquake, as certified by a registered civil engineer or certified engineering geologist.</w:t>
      </w:r>
    </w:p>
    <w:p w14:paraId="44D50E45" w14:textId="77777777" w:rsidR="00063478" w:rsidRPr="006008DB" w:rsidRDefault="00063478" w:rsidP="007D713A">
      <w:pPr>
        <w:pStyle w:val="OrderItem"/>
        <w:spacing w:after="0"/>
        <w:ind w:hanging="360"/>
        <w:rPr>
          <w:szCs w:val="24"/>
        </w:rPr>
      </w:pPr>
    </w:p>
    <w:p w14:paraId="3C914136" w14:textId="7FBEDA50" w:rsidR="00063478" w:rsidRPr="006008DB" w:rsidRDefault="00063478" w:rsidP="007D713A">
      <w:pPr>
        <w:pStyle w:val="OrderItem"/>
        <w:spacing w:after="0"/>
        <w:ind w:hanging="360"/>
        <w:rPr>
          <w:szCs w:val="24"/>
        </w:rPr>
      </w:pPr>
      <w:r>
        <w:rPr>
          <w:szCs w:val="24"/>
        </w:rPr>
        <w:t>vi.</w:t>
      </w:r>
      <w:r>
        <w:rPr>
          <w:szCs w:val="24"/>
        </w:rPr>
        <w:tab/>
      </w:r>
      <w:r w:rsidRPr="006008DB">
        <w:rPr>
          <w:szCs w:val="24"/>
        </w:rPr>
        <w:t xml:space="preserve">The pond shall be capable of efficiently treating the wastewater to the degree necessary for preventing odors and other nuisances. </w:t>
      </w:r>
    </w:p>
    <w:p w14:paraId="2B7F8DC9" w14:textId="77777777" w:rsidR="00063478" w:rsidRPr="006008DB" w:rsidRDefault="00063478" w:rsidP="00063478">
      <w:pPr>
        <w:pStyle w:val="OrderItem"/>
        <w:spacing w:after="0"/>
        <w:ind w:left="0" w:firstLine="0"/>
        <w:rPr>
          <w:szCs w:val="24"/>
        </w:rPr>
      </w:pPr>
    </w:p>
    <w:p w14:paraId="32EB6587" w14:textId="6BC20628" w:rsidR="00063478" w:rsidRPr="00A9775F" w:rsidRDefault="00063478" w:rsidP="005A3CE8">
      <w:pPr>
        <w:pStyle w:val="ListParagraph"/>
        <w:numPr>
          <w:ilvl w:val="0"/>
          <w:numId w:val="13"/>
        </w:numPr>
        <w:spacing w:after="120"/>
        <w:contextualSpacing w:val="0"/>
        <w:rPr>
          <w:b/>
          <w:szCs w:val="24"/>
        </w:rPr>
      </w:pPr>
      <w:bookmarkStart w:id="67" w:name="_Toc470706581"/>
      <w:r w:rsidRPr="00A9775F">
        <w:rPr>
          <w:b/>
          <w:szCs w:val="24"/>
        </w:rPr>
        <w:t>In the Vicinity of Im</w:t>
      </w:r>
      <w:r w:rsidR="00577B19">
        <w:rPr>
          <w:b/>
          <w:szCs w:val="24"/>
        </w:rPr>
        <w:t>pacted</w:t>
      </w:r>
      <w:r w:rsidRPr="00A9775F">
        <w:rPr>
          <w:b/>
          <w:szCs w:val="24"/>
        </w:rPr>
        <w:t xml:space="preserve"> Ground Water</w:t>
      </w:r>
      <w:bookmarkEnd w:id="67"/>
    </w:p>
    <w:p w14:paraId="0BA2C416" w14:textId="77777777" w:rsidR="00063478" w:rsidRPr="006008DB" w:rsidRDefault="00063478" w:rsidP="00362D97">
      <w:pPr>
        <w:pStyle w:val="OrderItem"/>
        <w:numPr>
          <w:ilvl w:val="0"/>
          <w:numId w:val="25"/>
        </w:numPr>
        <w:spacing w:after="0"/>
        <w:rPr>
          <w:szCs w:val="24"/>
        </w:rPr>
      </w:pPr>
      <w:r w:rsidRPr="006008DB">
        <w:rPr>
          <w:szCs w:val="24"/>
        </w:rPr>
        <w:t>A County may establish conditions or prohibitions in its Local Agency Management Program (LAMP) for onsite wastewater treatment systems for areas impacted by pathogens. If domestic wastewater is discharged to land in an area impacted for pathogens, the Discharger shall comply with the applicable conditions of the LAMP.</w:t>
      </w:r>
    </w:p>
    <w:p w14:paraId="7E4943E0" w14:textId="77777777" w:rsidR="00063478" w:rsidRPr="006008DB" w:rsidRDefault="00063478" w:rsidP="005A3CE8">
      <w:pPr>
        <w:pStyle w:val="OrderItem"/>
        <w:spacing w:after="0"/>
        <w:ind w:left="1080" w:hanging="360"/>
        <w:rPr>
          <w:szCs w:val="24"/>
        </w:rPr>
      </w:pPr>
    </w:p>
    <w:p w14:paraId="5BBDD7F1" w14:textId="27E7CCE8" w:rsidR="00063478" w:rsidRPr="006008DB" w:rsidRDefault="00063478" w:rsidP="00362D97">
      <w:pPr>
        <w:pStyle w:val="OrderItem"/>
        <w:numPr>
          <w:ilvl w:val="0"/>
          <w:numId w:val="25"/>
        </w:numPr>
        <w:spacing w:after="0"/>
        <w:rPr>
          <w:szCs w:val="24"/>
        </w:rPr>
      </w:pPr>
      <w:r w:rsidRPr="006008DB">
        <w:rPr>
          <w:szCs w:val="24"/>
        </w:rPr>
        <w:t>Domestic wastewater shall be treated separately from winery wastewater unless an advanced wastewater treatment package plant is used to treat the combined wastewater.</w:t>
      </w:r>
    </w:p>
    <w:p w14:paraId="1D12243A" w14:textId="77777777" w:rsidR="00063478" w:rsidRPr="006008DB" w:rsidRDefault="00063478" w:rsidP="005A3CE8">
      <w:pPr>
        <w:pStyle w:val="OrderItem"/>
        <w:spacing w:after="0"/>
        <w:ind w:left="1080" w:hanging="360"/>
        <w:rPr>
          <w:szCs w:val="24"/>
        </w:rPr>
      </w:pPr>
    </w:p>
    <w:p w14:paraId="5C047938" w14:textId="67098E5B" w:rsidR="00063478" w:rsidRPr="00766B46" w:rsidRDefault="00063478" w:rsidP="00362D97">
      <w:pPr>
        <w:pStyle w:val="OrderItem"/>
        <w:numPr>
          <w:ilvl w:val="0"/>
          <w:numId w:val="25"/>
        </w:numPr>
        <w:spacing w:after="0"/>
        <w:rPr>
          <w:szCs w:val="24"/>
        </w:rPr>
      </w:pPr>
      <w:r w:rsidRPr="006008DB">
        <w:rPr>
          <w:szCs w:val="24"/>
        </w:rPr>
        <w:t>New and expanding discharges of winery processing wastewater or combined treated domestic and winery wastewater to land overlying nitrate-impacted groundwater basins shall install wastewater treatment technologies</w:t>
      </w:r>
      <w:r w:rsidR="005202D4">
        <w:rPr>
          <w:szCs w:val="24"/>
        </w:rPr>
        <w:t xml:space="preserve"> or methodologies</w:t>
      </w:r>
      <w:r w:rsidRPr="006008DB">
        <w:rPr>
          <w:szCs w:val="24"/>
        </w:rPr>
        <w:t xml:space="preserve"> to reduce the nitrate concentration to meet this Order’s effluent limitations.</w:t>
      </w:r>
    </w:p>
    <w:p w14:paraId="32AB435E" w14:textId="77777777" w:rsidR="00063478" w:rsidRPr="006008DB" w:rsidRDefault="00063478" w:rsidP="005A3CE8">
      <w:pPr>
        <w:pStyle w:val="OrderItem"/>
        <w:spacing w:after="0"/>
        <w:ind w:left="1080" w:hanging="360"/>
        <w:rPr>
          <w:szCs w:val="24"/>
        </w:rPr>
      </w:pPr>
    </w:p>
    <w:p w14:paraId="6F4447CF" w14:textId="6D467C73" w:rsidR="00063478" w:rsidRPr="006008DB" w:rsidRDefault="00063478" w:rsidP="00362D97">
      <w:pPr>
        <w:pStyle w:val="OrderItem"/>
        <w:numPr>
          <w:ilvl w:val="0"/>
          <w:numId w:val="25"/>
        </w:numPr>
        <w:spacing w:after="0"/>
        <w:rPr>
          <w:szCs w:val="24"/>
        </w:rPr>
      </w:pPr>
      <w:r w:rsidRPr="006008DB">
        <w:rPr>
          <w:szCs w:val="24"/>
        </w:rPr>
        <w:t xml:space="preserve">Treated wastewater shall be discharged to land based at agronomic rates. </w:t>
      </w:r>
      <w:r w:rsidRPr="00BC13B3">
        <w:rPr>
          <w:b/>
          <w:szCs w:val="24"/>
        </w:rPr>
        <w:t xml:space="preserve">Appendix </w:t>
      </w:r>
      <w:r w:rsidR="00BC13B3">
        <w:rPr>
          <w:b/>
          <w:szCs w:val="24"/>
        </w:rPr>
        <w:t>1</w:t>
      </w:r>
      <w:r w:rsidRPr="006008DB">
        <w:rPr>
          <w:szCs w:val="24"/>
        </w:rPr>
        <w:t xml:space="preserve"> contains additional information on agronomic rates.</w:t>
      </w:r>
    </w:p>
    <w:p w14:paraId="2983C829" w14:textId="77777777" w:rsidR="00063478" w:rsidRPr="006008DB" w:rsidRDefault="00063478" w:rsidP="005A3CE8">
      <w:pPr>
        <w:pStyle w:val="OrderItem"/>
        <w:spacing w:after="0"/>
        <w:ind w:left="1080" w:hanging="360"/>
        <w:rPr>
          <w:szCs w:val="24"/>
        </w:rPr>
      </w:pPr>
    </w:p>
    <w:p w14:paraId="3FA29F64" w14:textId="385DF07F" w:rsidR="00063478" w:rsidRDefault="00063478" w:rsidP="00362D97">
      <w:pPr>
        <w:pStyle w:val="OrderItem"/>
        <w:numPr>
          <w:ilvl w:val="0"/>
          <w:numId w:val="25"/>
        </w:numPr>
        <w:spacing w:after="0"/>
        <w:rPr>
          <w:szCs w:val="24"/>
        </w:rPr>
      </w:pPr>
      <w:r w:rsidRPr="006008DB">
        <w:rPr>
          <w:szCs w:val="24"/>
        </w:rPr>
        <w:t xml:space="preserve">If </w:t>
      </w:r>
      <w:r w:rsidR="00731573">
        <w:rPr>
          <w:szCs w:val="24"/>
        </w:rPr>
        <w:t xml:space="preserve">a Discharger cannot meet the Order </w:t>
      </w:r>
      <w:r w:rsidRPr="006008DB">
        <w:rPr>
          <w:szCs w:val="24"/>
        </w:rPr>
        <w:t>requirements, discharge to lined evaporation ponds or hold and haul tanks are acceptabl</w:t>
      </w:r>
      <w:r w:rsidR="00731573">
        <w:rPr>
          <w:szCs w:val="24"/>
        </w:rPr>
        <w:t xml:space="preserve">e wastewater management options if allowed by </w:t>
      </w:r>
      <w:r w:rsidR="00CE0D77">
        <w:rPr>
          <w:szCs w:val="24"/>
        </w:rPr>
        <w:t>the County</w:t>
      </w:r>
      <w:r w:rsidR="00731573">
        <w:rPr>
          <w:szCs w:val="24"/>
        </w:rPr>
        <w:t xml:space="preserve"> and pursuant to County </w:t>
      </w:r>
      <w:r w:rsidR="00CE0D77">
        <w:rPr>
          <w:szCs w:val="24"/>
        </w:rPr>
        <w:t xml:space="preserve">requirements </w:t>
      </w:r>
      <w:r w:rsidR="00731573">
        <w:rPr>
          <w:szCs w:val="24"/>
        </w:rPr>
        <w:t xml:space="preserve">that </w:t>
      </w:r>
      <w:r w:rsidR="00CE0D77">
        <w:rPr>
          <w:szCs w:val="24"/>
        </w:rPr>
        <w:t>pertain to hold and haul tanks.</w:t>
      </w:r>
    </w:p>
    <w:p w14:paraId="696FA7B8" w14:textId="77777777" w:rsidR="00DE2D06" w:rsidRDefault="00DE2D06" w:rsidP="00DE2D06">
      <w:pPr>
        <w:pStyle w:val="ListParagraph"/>
        <w:rPr>
          <w:szCs w:val="24"/>
        </w:rPr>
      </w:pPr>
    </w:p>
    <w:p w14:paraId="3CF1B933" w14:textId="14A6D49A" w:rsidR="00063478" w:rsidRPr="006008DB" w:rsidRDefault="00063478" w:rsidP="00CF654D">
      <w:pPr>
        <w:pStyle w:val="Heading1"/>
      </w:pPr>
      <w:bookmarkStart w:id="68" w:name="_Toc470706582"/>
      <w:bookmarkStart w:id="69" w:name="_Toc487002349"/>
      <w:r w:rsidRPr="006008DB">
        <w:t>PROVISIONS</w:t>
      </w:r>
      <w:bookmarkEnd w:id="68"/>
      <w:bookmarkEnd w:id="69"/>
    </w:p>
    <w:p w14:paraId="205AA967" w14:textId="77777777" w:rsidR="00063478" w:rsidRPr="006008DB" w:rsidRDefault="00063478" w:rsidP="00063478">
      <w:pPr>
        <w:pStyle w:val="ListParagraph"/>
        <w:rPr>
          <w:szCs w:val="24"/>
        </w:rPr>
      </w:pPr>
    </w:p>
    <w:p w14:paraId="70BFA021" w14:textId="7D2447F4" w:rsidR="003F524C" w:rsidRPr="003F524C" w:rsidRDefault="00731573" w:rsidP="00362D97">
      <w:pPr>
        <w:pStyle w:val="OrderItem"/>
        <w:numPr>
          <w:ilvl w:val="0"/>
          <w:numId w:val="42"/>
        </w:numPr>
        <w:rPr>
          <w:szCs w:val="24"/>
        </w:rPr>
      </w:pPr>
      <w:bookmarkStart w:id="70" w:name="_Toc470706588"/>
      <w:r>
        <w:rPr>
          <w:szCs w:val="24"/>
        </w:rPr>
        <w:t>The discharger shall notify</w:t>
      </w:r>
      <w:r w:rsidR="003F524C" w:rsidRPr="003F524C">
        <w:rPr>
          <w:szCs w:val="24"/>
        </w:rPr>
        <w:t xml:space="preserve"> the Regiona</w:t>
      </w:r>
      <w:r>
        <w:rPr>
          <w:szCs w:val="24"/>
        </w:rPr>
        <w:t xml:space="preserve">l Water Board and County </w:t>
      </w:r>
      <w:r w:rsidR="003F524C" w:rsidRPr="003F524C">
        <w:rPr>
          <w:szCs w:val="24"/>
        </w:rPr>
        <w:t>of the installation of the wastewater treatment system within 72 hours of initiating the installation of the wastewater treatment system. Regional Water Board staff shall be notified by sending an email to all of the following email addresses:</w:t>
      </w:r>
    </w:p>
    <w:p w14:paraId="026EFEA3" w14:textId="77777777" w:rsidR="003F524C" w:rsidRPr="003F524C" w:rsidRDefault="003F524C" w:rsidP="003F524C">
      <w:pPr>
        <w:pStyle w:val="OrderItem"/>
        <w:ind w:left="720" w:firstLine="0"/>
        <w:rPr>
          <w:szCs w:val="24"/>
        </w:rPr>
      </w:pPr>
      <w:r w:rsidRPr="003F524C">
        <w:rPr>
          <w:szCs w:val="24"/>
        </w:rPr>
        <w:t>Melissa.Gunter@waterboards.ca.gov</w:t>
      </w:r>
    </w:p>
    <w:p w14:paraId="772B7560" w14:textId="77777777" w:rsidR="003F524C" w:rsidRPr="003F524C" w:rsidRDefault="003F524C" w:rsidP="003F524C">
      <w:pPr>
        <w:pStyle w:val="OrderItem"/>
        <w:ind w:left="720" w:firstLine="0"/>
        <w:rPr>
          <w:szCs w:val="24"/>
        </w:rPr>
      </w:pPr>
      <w:r w:rsidRPr="003F524C">
        <w:rPr>
          <w:szCs w:val="24"/>
        </w:rPr>
        <w:t>Blair.Allen@waterboards.ca.gov</w:t>
      </w:r>
    </w:p>
    <w:p w14:paraId="5FA9D7A8" w14:textId="171FB476" w:rsidR="003F524C" w:rsidRPr="003F524C" w:rsidRDefault="003F524C" w:rsidP="003F524C">
      <w:pPr>
        <w:pStyle w:val="OrderItem"/>
        <w:ind w:left="720" w:firstLine="0"/>
        <w:rPr>
          <w:szCs w:val="24"/>
        </w:rPr>
      </w:pPr>
      <w:r w:rsidRPr="003F524C">
        <w:rPr>
          <w:szCs w:val="24"/>
        </w:rPr>
        <w:t>WDR.Monitoring@waterboards.ca.gov</w:t>
      </w:r>
    </w:p>
    <w:p w14:paraId="3CF62A56" w14:textId="77777777" w:rsidR="00CE0D77" w:rsidRDefault="00063478" w:rsidP="00362D97">
      <w:pPr>
        <w:pStyle w:val="OrderItem"/>
        <w:numPr>
          <w:ilvl w:val="0"/>
          <w:numId w:val="42"/>
        </w:numPr>
        <w:rPr>
          <w:szCs w:val="24"/>
        </w:rPr>
      </w:pPr>
      <w:r w:rsidRPr="00DF4F13">
        <w:rPr>
          <w:b/>
          <w:szCs w:val="24"/>
        </w:rPr>
        <w:t>Pond Infiltration Study</w:t>
      </w:r>
      <w:r>
        <w:rPr>
          <w:szCs w:val="24"/>
        </w:rPr>
        <w:t xml:space="preserve"> – This provision applies to all facilities with ponds. </w:t>
      </w:r>
      <w:r w:rsidRPr="006008DB">
        <w:rPr>
          <w:szCs w:val="24"/>
        </w:rPr>
        <w:t xml:space="preserve">The Discharger shall conduct a pond infiltration rate assessment for all existing unlined ponds within </w:t>
      </w:r>
      <w:r w:rsidRPr="002838B1">
        <w:rPr>
          <w:b/>
          <w:szCs w:val="24"/>
        </w:rPr>
        <w:t>six months</w:t>
      </w:r>
      <w:r w:rsidRPr="006008DB">
        <w:rPr>
          <w:szCs w:val="24"/>
        </w:rPr>
        <w:t xml:space="preserve"> of receipt of the Discharge Authorization Letter from the Executive Officer. Refer to </w:t>
      </w:r>
      <w:r w:rsidR="005C1636">
        <w:rPr>
          <w:b/>
          <w:szCs w:val="24"/>
        </w:rPr>
        <w:t>Attachment C-3</w:t>
      </w:r>
      <w:r w:rsidRPr="006008DB">
        <w:rPr>
          <w:szCs w:val="24"/>
        </w:rPr>
        <w:t xml:space="preserve"> for an example pond water balance methodology that may be applied to meet the pond infiltration assessment requirement. </w:t>
      </w:r>
    </w:p>
    <w:p w14:paraId="5121A005" w14:textId="066DCA4A" w:rsidR="00063478" w:rsidRPr="006008DB" w:rsidRDefault="00063478" w:rsidP="00CE0D77">
      <w:pPr>
        <w:pStyle w:val="OrderItem"/>
        <w:ind w:left="720" w:firstLine="0"/>
        <w:rPr>
          <w:szCs w:val="24"/>
        </w:rPr>
      </w:pPr>
      <w:r w:rsidRPr="006008DB">
        <w:rPr>
          <w:szCs w:val="24"/>
        </w:rPr>
        <w:t>If the infiltration rate assessment results in an infiltration rate greater than 1 x 10</w:t>
      </w:r>
      <w:r w:rsidRPr="00C43B0A">
        <w:rPr>
          <w:szCs w:val="24"/>
          <w:vertAlign w:val="superscript"/>
        </w:rPr>
        <w:t>-6</w:t>
      </w:r>
      <w:r w:rsidRPr="006008DB">
        <w:rPr>
          <w:szCs w:val="24"/>
        </w:rPr>
        <w:t xml:space="preserve"> centimeter/second, one of the following options shall be implemented within one year </w:t>
      </w:r>
      <w:r>
        <w:rPr>
          <w:szCs w:val="24"/>
        </w:rPr>
        <w:t xml:space="preserve">from the submittal date of the </w:t>
      </w:r>
      <w:r w:rsidRPr="006008DB">
        <w:rPr>
          <w:szCs w:val="24"/>
        </w:rPr>
        <w:t xml:space="preserve">infiltration rate assessment results: </w:t>
      </w:r>
    </w:p>
    <w:p w14:paraId="1204C439" w14:textId="77777777" w:rsidR="00063478" w:rsidRPr="006008DB" w:rsidRDefault="00063478" w:rsidP="007D713A">
      <w:pPr>
        <w:pStyle w:val="OrderItem"/>
        <w:numPr>
          <w:ilvl w:val="0"/>
          <w:numId w:val="21"/>
        </w:numPr>
        <w:rPr>
          <w:szCs w:val="24"/>
        </w:rPr>
      </w:pPr>
      <w:r w:rsidRPr="006008DB">
        <w:rPr>
          <w:szCs w:val="24"/>
        </w:rPr>
        <w:t>Pond shall be lined with a synthetic liner or the pond bottom and walls amended to reduce the infiltration rate to a rate equal to or less than 1 x 10</w:t>
      </w:r>
      <w:r w:rsidRPr="006008DB">
        <w:rPr>
          <w:szCs w:val="24"/>
          <w:vertAlign w:val="superscript"/>
        </w:rPr>
        <w:t xml:space="preserve">-6 </w:t>
      </w:r>
      <w:r w:rsidRPr="006008DB">
        <w:rPr>
          <w:szCs w:val="24"/>
        </w:rPr>
        <w:t xml:space="preserve">centimeters/second; </w:t>
      </w:r>
      <w:r w:rsidRPr="006008DB">
        <w:rPr>
          <w:b/>
          <w:szCs w:val="24"/>
        </w:rPr>
        <w:t>or</w:t>
      </w:r>
    </w:p>
    <w:p w14:paraId="01BBAC5E" w14:textId="36A471E1" w:rsidR="00063478" w:rsidRDefault="00063478" w:rsidP="007D713A">
      <w:pPr>
        <w:pStyle w:val="OrderItem"/>
        <w:numPr>
          <w:ilvl w:val="0"/>
          <w:numId w:val="21"/>
        </w:numPr>
        <w:spacing w:after="0"/>
        <w:rPr>
          <w:szCs w:val="24"/>
        </w:rPr>
      </w:pPr>
      <w:r w:rsidRPr="006008DB">
        <w:rPr>
          <w:szCs w:val="24"/>
        </w:rPr>
        <w:t xml:space="preserve">Groundwater monitoring wells shall be installed to monitor the groundwater quality </w:t>
      </w:r>
      <w:proofErr w:type="spellStart"/>
      <w:r w:rsidRPr="006008DB">
        <w:rPr>
          <w:szCs w:val="24"/>
        </w:rPr>
        <w:t>upgradient</w:t>
      </w:r>
      <w:proofErr w:type="spellEnd"/>
      <w:r w:rsidRPr="006008DB">
        <w:rPr>
          <w:szCs w:val="24"/>
        </w:rPr>
        <w:t xml:space="preserve"> and </w:t>
      </w:r>
      <w:proofErr w:type="spellStart"/>
      <w:r w:rsidRPr="006008DB">
        <w:rPr>
          <w:szCs w:val="24"/>
        </w:rPr>
        <w:t>downgradient</w:t>
      </w:r>
      <w:proofErr w:type="spellEnd"/>
      <w:r w:rsidRPr="006008DB">
        <w:rPr>
          <w:szCs w:val="24"/>
        </w:rPr>
        <w:t xml:space="preserve"> of the pond to determine if the pond discharge to groundwater is causing degradation of the shallow ground water quality beyond that which exists today. A minimum of three monitoring wells shall be installed in accordance with the Groundwater Monitoring Well Installation </w:t>
      </w:r>
      <w:proofErr w:type="spellStart"/>
      <w:r w:rsidRPr="006008DB">
        <w:rPr>
          <w:szCs w:val="24"/>
        </w:rPr>
        <w:t>Workplan</w:t>
      </w:r>
      <w:proofErr w:type="spellEnd"/>
      <w:r w:rsidRPr="006008DB">
        <w:rPr>
          <w:szCs w:val="24"/>
        </w:rPr>
        <w:t xml:space="preserve"> and Groundwater Sampling and Analysis Pla</w:t>
      </w:r>
      <w:bookmarkStart w:id="71" w:name="_GoBack"/>
      <w:bookmarkEnd w:id="71"/>
      <w:r w:rsidRPr="006008DB">
        <w:rPr>
          <w:szCs w:val="24"/>
        </w:rPr>
        <w:t xml:space="preserve">n included in </w:t>
      </w:r>
      <w:r w:rsidRPr="002838B1">
        <w:rPr>
          <w:b/>
          <w:szCs w:val="24"/>
        </w:rPr>
        <w:t>Attachment K</w:t>
      </w:r>
      <w:r w:rsidRPr="006008DB">
        <w:rPr>
          <w:szCs w:val="24"/>
        </w:rPr>
        <w:t>.</w:t>
      </w:r>
    </w:p>
    <w:bookmarkEnd w:id="70"/>
    <w:p w14:paraId="17D04879" w14:textId="77777777" w:rsidR="00063478" w:rsidRPr="006008DB" w:rsidRDefault="00063478" w:rsidP="002838B1"/>
    <w:p w14:paraId="3417739B" w14:textId="4ACA2F54" w:rsidR="00F86899" w:rsidRPr="00F676E6" w:rsidRDefault="00F86899" w:rsidP="00362D97">
      <w:pPr>
        <w:pStyle w:val="ListParagraph"/>
        <w:numPr>
          <w:ilvl w:val="0"/>
          <w:numId w:val="42"/>
        </w:numPr>
        <w:spacing w:after="120"/>
        <w:rPr>
          <w:b/>
        </w:rPr>
      </w:pPr>
      <w:r w:rsidRPr="00F676E6">
        <w:rPr>
          <w:b/>
        </w:rPr>
        <w:t>Operation and Maintenance Program</w:t>
      </w:r>
    </w:p>
    <w:p w14:paraId="02BADE99" w14:textId="30DEB01A" w:rsidR="00F86899" w:rsidRPr="00F86899" w:rsidRDefault="00F86899" w:rsidP="00362D97">
      <w:pPr>
        <w:numPr>
          <w:ilvl w:val="0"/>
          <w:numId w:val="39"/>
        </w:numPr>
        <w:ind w:left="1080"/>
      </w:pPr>
      <w:r w:rsidRPr="00F86899">
        <w:t>All Dischargers</w:t>
      </w:r>
      <w:r w:rsidR="00602176">
        <w:t xml:space="preserve"> in Tier 2 and Tier 3 that discharge greater than 1,500 gpd</w:t>
      </w:r>
      <w:r w:rsidRPr="00F86899">
        <w:t xml:space="preserve"> shall submit a facility-specific Operation and Maintenance Program</w:t>
      </w:r>
      <w:r w:rsidR="00731573">
        <w:t xml:space="preserve"> Manual</w:t>
      </w:r>
      <w:r w:rsidR="00DC1624">
        <w:t>, with the</w:t>
      </w:r>
      <w:r w:rsidRPr="00F86899">
        <w:t xml:space="preserve"> NOI Package. </w:t>
      </w:r>
    </w:p>
    <w:p w14:paraId="7E56B2AE" w14:textId="77777777" w:rsidR="00F86899" w:rsidRPr="00F86899" w:rsidRDefault="00F86899" w:rsidP="007D713A">
      <w:pPr>
        <w:ind w:left="1080" w:hanging="360"/>
      </w:pPr>
    </w:p>
    <w:p w14:paraId="5F11B3AC" w14:textId="77777777" w:rsidR="00F86899" w:rsidRPr="00F86899" w:rsidRDefault="00F86899" w:rsidP="00362D97">
      <w:pPr>
        <w:numPr>
          <w:ilvl w:val="0"/>
          <w:numId w:val="39"/>
        </w:numPr>
        <w:ind w:left="1080"/>
      </w:pPr>
      <w:r w:rsidRPr="00F86899">
        <w:t xml:space="preserve">The Operation and Maintenance Program Manual must include descriptions of all wastewater system components and equipment, accurately dimensioned site plans identifying the locations of all components and relevant site features (buildings, wells, roads, etc.), recommended strategies and procedures for system operations in accordance with system designs and discharge requirements, procedures and criteria for process control monitoring, maintenance activities necessary to ensure continuous proper operation for the wastewater system, and identification of persons responsible for operation and maintenance of the wastewater systems and how these persons can be contacted. </w:t>
      </w:r>
    </w:p>
    <w:p w14:paraId="4526AE11" w14:textId="77777777" w:rsidR="00F86899" w:rsidRPr="00F86899" w:rsidRDefault="00F86899" w:rsidP="007D713A">
      <w:pPr>
        <w:ind w:left="1080" w:hanging="360"/>
      </w:pPr>
    </w:p>
    <w:p w14:paraId="77F0A12F" w14:textId="3C7A9299" w:rsidR="00F86899" w:rsidRDefault="00F86899" w:rsidP="00362D97">
      <w:pPr>
        <w:numPr>
          <w:ilvl w:val="0"/>
          <w:numId w:val="39"/>
        </w:numPr>
        <w:ind w:left="1080"/>
      </w:pPr>
      <w:r w:rsidRPr="00F86899">
        <w:t>Wastewater systems shall be operated and maintained by a qualified professional service provider or certified wastewater treatment plant operators who are experienced in and knowledgeable of the wastewater system’s design and proper operation. The certified wastewater treatment plant operator may be an employee of the Discharger or a contract employee.</w:t>
      </w:r>
    </w:p>
    <w:p w14:paraId="6A7E24AB" w14:textId="77777777" w:rsidR="0026330F" w:rsidRDefault="0026330F" w:rsidP="0026330F">
      <w:pPr>
        <w:pStyle w:val="ListParagraph"/>
      </w:pPr>
    </w:p>
    <w:p w14:paraId="58E48A8B" w14:textId="018BC55F" w:rsidR="00F86899" w:rsidRPr="00F676E6" w:rsidRDefault="00F86899" w:rsidP="00BC13B3">
      <w:pPr>
        <w:pStyle w:val="ListParagraph"/>
        <w:numPr>
          <w:ilvl w:val="0"/>
          <w:numId w:val="42"/>
        </w:numPr>
        <w:spacing w:after="120"/>
        <w:contextualSpacing w:val="0"/>
        <w:rPr>
          <w:bCs/>
        </w:rPr>
      </w:pPr>
      <w:bookmarkStart w:id="72" w:name="_Toc470706591"/>
      <w:r w:rsidRPr="00F676E6">
        <w:rPr>
          <w:b/>
          <w:bCs/>
        </w:rPr>
        <w:t>Monitoring and Reporting Program</w:t>
      </w:r>
      <w:bookmarkEnd w:id="72"/>
      <w:r w:rsidRPr="00F676E6">
        <w:rPr>
          <w:b/>
          <w:bCs/>
        </w:rPr>
        <w:t xml:space="preserve">. </w:t>
      </w:r>
      <w:r w:rsidRPr="00F676E6">
        <w:rPr>
          <w:bCs/>
        </w:rPr>
        <w:t xml:space="preserve">The Discharger shall conduct monitoring and reporting pursuant to the Monitoring and Reporting Program, </w:t>
      </w:r>
      <w:r w:rsidRPr="00F676E6">
        <w:rPr>
          <w:b/>
          <w:bCs/>
        </w:rPr>
        <w:t>Attachment A</w:t>
      </w:r>
      <w:r w:rsidRPr="00F676E6">
        <w:rPr>
          <w:bCs/>
        </w:rPr>
        <w:t xml:space="preserve"> of this Order.</w:t>
      </w:r>
    </w:p>
    <w:p w14:paraId="52A3E58A" w14:textId="7B157A0A" w:rsidR="00F86899" w:rsidRPr="00944BD9" w:rsidRDefault="00F86899" w:rsidP="00362D97">
      <w:pPr>
        <w:pStyle w:val="ListParagraph"/>
        <w:numPr>
          <w:ilvl w:val="0"/>
          <w:numId w:val="41"/>
        </w:numPr>
        <w:rPr>
          <w:bCs/>
        </w:rPr>
      </w:pPr>
      <w:r w:rsidRPr="00944BD9">
        <w:rPr>
          <w:b/>
          <w:bCs/>
        </w:rPr>
        <w:t>Analyses</w:t>
      </w:r>
      <w:r w:rsidRPr="00944BD9">
        <w:rPr>
          <w:bCs/>
        </w:rPr>
        <w:t>. All analyses shall be conducted at a laboratory certified for such analyses by the State Department of Health Services. All analyses shall be conducted in accordance with the latest edition of “Guidelines Establishing Test Procedures for Analysis of Pollutants,” promulgated by the U.S. EPA.</w:t>
      </w:r>
      <w:r w:rsidRPr="00944BD9">
        <w:rPr>
          <w:bCs/>
        </w:rPr>
        <w:br/>
      </w:r>
    </w:p>
    <w:p w14:paraId="3D590E5A" w14:textId="3F32476A" w:rsidR="00F26E19" w:rsidRDefault="00F86899" w:rsidP="00362D97">
      <w:pPr>
        <w:pStyle w:val="ListParagraph"/>
        <w:numPr>
          <w:ilvl w:val="0"/>
          <w:numId w:val="41"/>
        </w:numPr>
        <w:rPr>
          <w:bCs/>
        </w:rPr>
      </w:pPr>
      <w:r w:rsidRPr="00944BD9">
        <w:rPr>
          <w:b/>
          <w:bCs/>
        </w:rPr>
        <w:t>Record Retention.</w:t>
      </w:r>
      <w:r w:rsidRPr="00944BD9">
        <w:rPr>
          <w:bCs/>
        </w:rPr>
        <w:t xml:space="preserve"> The Discharger shall retain records of all monitoring information obtained to document performance of the wastewater system and compliance with the requirements of this Order. Records shall include data from performance monitoring observations, measurements, sampling and analyses, maintenance and calibration of equipment, copies of all monitoring reports required by this Order. Monitoring and maintenance data records shall be maintained for a minimum of three years from the date of the monitoring or maintenance activity. This period may be extended during the course of any unresolved litigation regarding the discharge(s) or as specified by the Regional Water Board’s Executive Officer.</w:t>
      </w:r>
    </w:p>
    <w:p w14:paraId="06EA7930" w14:textId="77777777" w:rsidR="00F26E19" w:rsidRDefault="00F26E19" w:rsidP="00F26E19">
      <w:pPr>
        <w:pStyle w:val="ListParagraph"/>
        <w:ind w:left="1080"/>
        <w:rPr>
          <w:bCs/>
        </w:rPr>
      </w:pPr>
    </w:p>
    <w:p w14:paraId="722CD76B" w14:textId="4DB39D82" w:rsidR="00F26E19" w:rsidRPr="00F26E19" w:rsidRDefault="00F26E19" w:rsidP="00362D97">
      <w:pPr>
        <w:pStyle w:val="ListParagraph"/>
        <w:numPr>
          <w:ilvl w:val="0"/>
          <w:numId w:val="41"/>
        </w:numPr>
        <w:rPr>
          <w:bCs/>
        </w:rPr>
      </w:pPr>
      <w:r>
        <w:rPr>
          <w:bCs/>
        </w:rPr>
        <w:t xml:space="preserve">Dischargers </w:t>
      </w:r>
      <w:r w:rsidRPr="00F26E19">
        <w:rPr>
          <w:bCs/>
        </w:rPr>
        <w:t>requires</w:t>
      </w:r>
      <w:r>
        <w:rPr>
          <w:bCs/>
        </w:rPr>
        <w:t xml:space="preserve"> </w:t>
      </w:r>
      <w:r w:rsidRPr="00F26E19">
        <w:rPr>
          <w:bCs/>
        </w:rPr>
        <w:t xml:space="preserve">sampling of existing groundwater wells, including existing monitoring wells, at any </w:t>
      </w:r>
      <w:r>
        <w:rPr>
          <w:bCs/>
        </w:rPr>
        <w:t>facility that discharges in areas of nitrate-impacted groundwater</w:t>
      </w:r>
      <w:r w:rsidRPr="00F26E19">
        <w:rPr>
          <w:bCs/>
        </w:rPr>
        <w:t>.</w:t>
      </w:r>
    </w:p>
    <w:p w14:paraId="2F43AD75" w14:textId="77777777" w:rsidR="00F86899" w:rsidRPr="00F86899" w:rsidRDefault="00F86899" w:rsidP="00F86899">
      <w:pPr>
        <w:ind w:left="0"/>
      </w:pPr>
    </w:p>
    <w:p w14:paraId="526226A9" w14:textId="10DB1FB0" w:rsidR="00F86899" w:rsidRPr="00F676E6" w:rsidRDefault="00F86899" w:rsidP="00BC13B3">
      <w:pPr>
        <w:pStyle w:val="ListParagraph"/>
        <w:numPr>
          <w:ilvl w:val="0"/>
          <w:numId w:val="42"/>
        </w:numPr>
        <w:spacing w:after="120"/>
        <w:contextualSpacing w:val="0"/>
        <w:rPr>
          <w:b/>
          <w:bCs/>
        </w:rPr>
      </w:pPr>
      <w:bookmarkStart w:id="73" w:name="_Toc470706601"/>
      <w:r w:rsidRPr="00F676E6">
        <w:rPr>
          <w:b/>
          <w:bCs/>
        </w:rPr>
        <w:t>General and Standard Provisions</w:t>
      </w:r>
      <w:bookmarkEnd w:id="73"/>
      <w:r w:rsidRPr="00F676E6">
        <w:rPr>
          <w:b/>
          <w:bCs/>
        </w:rPr>
        <w:t>.</w:t>
      </w:r>
    </w:p>
    <w:p w14:paraId="1048DB8B" w14:textId="57AE580E" w:rsidR="007D713A" w:rsidRDefault="00F86899" w:rsidP="00362D97">
      <w:pPr>
        <w:pStyle w:val="ListParagraph"/>
        <w:numPr>
          <w:ilvl w:val="0"/>
          <w:numId w:val="56"/>
        </w:numPr>
        <w:contextualSpacing w:val="0"/>
        <w:rPr>
          <w:bCs/>
        </w:rPr>
      </w:pPr>
      <w:r w:rsidRPr="007D713A">
        <w:rPr>
          <w:bCs/>
        </w:rPr>
        <w:t xml:space="preserve">The Discharger shall maintain a copy of this Order and the associated Discharger Authorization Letter at the discharge facility and available at all times for reference by discharge facility operating personnel. </w:t>
      </w:r>
    </w:p>
    <w:p w14:paraId="5674ED52" w14:textId="77777777" w:rsidR="0040735C" w:rsidRDefault="0040735C" w:rsidP="0040735C">
      <w:pPr>
        <w:pStyle w:val="ListParagraph"/>
        <w:ind w:left="1080"/>
        <w:contextualSpacing w:val="0"/>
        <w:rPr>
          <w:bCs/>
        </w:rPr>
      </w:pPr>
    </w:p>
    <w:p w14:paraId="606B6B36" w14:textId="4437B6F0" w:rsidR="0040735C" w:rsidRDefault="00F86899" w:rsidP="00362D97">
      <w:pPr>
        <w:pStyle w:val="ListParagraph"/>
        <w:numPr>
          <w:ilvl w:val="0"/>
          <w:numId w:val="56"/>
        </w:numPr>
        <w:rPr>
          <w:bCs/>
        </w:rPr>
      </w:pPr>
      <w:r w:rsidRPr="007D713A">
        <w:rPr>
          <w:bCs/>
        </w:rPr>
        <w:t>The Discharger shall ensure that all operating and management personnel are knowledgeable of this Order, its requirements, and means for maintaining compliance with this Order.</w:t>
      </w:r>
    </w:p>
    <w:p w14:paraId="7B5C9F83" w14:textId="77777777" w:rsidR="0040735C" w:rsidRPr="0040735C" w:rsidRDefault="0040735C" w:rsidP="0040735C">
      <w:pPr>
        <w:pStyle w:val="ListParagraph"/>
        <w:rPr>
          <w:bCs/>
        </w:rPr>
      </w:pPr>
    </w:p>
    <w:p w14:paraId="3CA737E7" w14:textId="5A4F3B36" w:rsidR="0040735C" w:rsidRDefault="00F86899" w:rsidP="00362D97">
      <w:pPr>
        <w:pStyle w:val="ListParagraph"/>
        <w:numPr>
          <w:ilvl w:val="0"/>
          <w:numId w:val="56"/>
        </w:numPr>
        <w:rPr>
          <w:bCs/>
        </w:rPr>
      </w:pPr>
      <w:r w:rsidRPr="0040735C">
        <w:rPr>
          <w:b/>
          <w:bCs/>
        </w:rPr>
        <w:t xml:space="preserve">Change in Discharge. </w:t>
      </w:r>
      <w:r w:rsidRPr="0040735C">
        <w:rPr>
          <w:bCs/>
        </w:rPr>
        <w:t>The Discharger shall</w:t>
      </w:r>
      <w:r w:rsidRPr="0040735C">
        <w:rPr>
          <w:b/>
          <w:bCs/>
        </w:rPr>
        <w:t xml:space="preserve"> </w:t>
      </w:r>
      <w:r w:rsidRPr="0040735C">
        <w:rPr>
          <w:bCs/>
        </w:rPr>
        <w:t xml:space="preserve">submit a written report to the Regional Water Board prior to making any material change or proposed change in the volume, character or location of the discharge as originally described in the NOI Package and authorized in the Discharge Authorization Letter. The written report shall be submitted at least 120 days prior to the changes. The written report shall include a complete description of the proposed changes, an implementation time schedule, and any other information pertinent to maintaining coverage under and compliance with this Order.  The Regional Water Board shall issue a revised Discharge Authorization Letter to </w:t>
      </w:r>
      <w:r w:rsidR="00D84123">
        <w:rPr>
          <w:bCs/>
        </w:rPr>
        <w:t>document</w:t>
      </w:r>
      <w:r w:rsidRPr="0040735C">
        <w:rPr>
          <w:bCs/>
        </w:rPr>
        <w:t xml:space="preserve"> the changes.</w:t>
      </w:r>
    </w:p>
    <w:p w14:paraId="3640C575" w14:textId="77777777" w:rsidR="0040735C" w:rsidRPr="0040735C" w:rsidRDefault="0040735C" w:rsidP="0040735C">
      <w:pPr>
        <w:pStyle w:val="ListParagraph"/>
        <w:rPr>
          <w:b/>
          <w:bCs/>
        </w:rPr>
      </w:pPr>
    </w:p>
    <w:p w14:paraId="292F28DC" w14:textId="77777777" w:rsidR="0040735C" w:rsidRDefault="00F86899" w:rsidP="00362D97">
      <w:pPr>
        <w:pStyle w:val="ListParagraph"/>
        <w:numPr>
          <w:ilvl w:val="0"/>
          <w:numId w:val="56"/>
        </w:numPr>
        <w:rPr>
          <w:bCs/>
        </w:rPr>
      </w:pPr>
      <w:r w:rsidRPr="0040735C">
        <w:rPr>
          <w:b/>
          <w:bCs/>
        </w:rPr>
        <w:t>Containment Failure Notification.</w:t>
      </w:r>
      <w:r w:rsidRPr="0040735C">
        <w:rPr>
          <w:bCs/>
        </w:rPr>
        <w:t xml:space="preserve"> The Discharger shall notify the Regional Water Board, and the local County Environmental Health Department or equivalent agency, of any failure of any wastewater containment facility or of any unauthorized release of wastewater from the wastewater system. This notification shall be provided immediately upon the Discharger's knowledge of such an event. The release shall be controlled, and the problem that caused the release shall be corrected, as quickly as possible, and in accordance with the requirements of this Order.</w:t>
      </w:r>
    </w:p>
    <w:p w14:paraId="12DD4A3D" w14:textId="77777777" w:rsidR="0040735C" w:rsidRPr="0040735C" w:rsidRDefault="0040735C" w:rsidP="0040735C">
      <w:pPr>
        <w:pStyle w:val="ListParagraph"/>
        <w:rPr>
          <w:b/>
          <w:bCs/>
        </w:rPr>
      </w:pPr>
    </w:p>
    <w:p w14:paraId="2BC0053F" w14:textId="77777777" w:rsidR="00A869BE" w:rsidRDefault="00A869BE" w:rsidP="00362D97">
      <w:pPr>
        <w:pStyle w:val="ListParagraph"/>
        <w:numPr>
          <w:ilvl w:val="0"/>
          <w:numId w:val="56"/>
        </w:numPr>
        <w:spacing w:after="120"/>
        <w:contextualSpacing w:val="0"/>
        <w:rPr>
          <w:bCs/>
        </w:rPr>
      </w:pPr>
      <w:r w:rsidRPr="0040735C">
        <w:rPr>
          <w:b/>
          <w:bCs/>
        </w:rPr>
        <w:t>Noncompliance Reporting</w:t>
      </w:r>
      <w:r w:rsidRPr="0040735C">
        <w:rPr>
          <w:bCs/>
        </w:rPr>
        <w:t xml:space="preserve">. </w:t>
      </w:r>
      <w:r w:rsidRPr="00A869BE">
        <w:rPr>
          <w:bCs/>
        </w:rPr>
        <w:t xml:space="preserve">The Discharger shall report any event where the Discharger is unable to comply with any condition of this Order (noncompliance). The Discharger shall provide verbal notification to Regional Water Board staff by telephone or electronic email as soon as the Discharger or designated agents have knowledge of the noncompliance event. Electronic mail notification shall be sent to WDR.Monitoring@waterboards.ca.gov. </w:t>
      </w:r>
    </w:p>
    <w:p w14:paraId="60CC7D7F" w14:textId="77777777" w:rsidR="00A869BE" w:rsidRDefault="00A869BE" w:rsidP="00A869BE">
      <w:pPr>
        <w:pStyle w:val="ListParagraph"/>
        <w:spacing w:after="120"/>
        <w:ind w:left="1080"/>
        <w:contextualSpacing w:val="0"/>
        <w:rPr>
          <w:bCs/>
        </w:rPr>
      </w:pPr>
      <w:r w:rsidRPr="00A869BE">
        <w:rPr>
          <w:bCs/>
        </w:rPr>
        <w:t xml:space="preserve">The Discharger shall submit a written report within </w:t>
      </w:r>
      <w:r w:rsidRPr="00A869BE">
        <w:rPr>
          <w:b/>
          <w:bCs/>
        </w:rPr>
        <w:t>two weeks</w:t>
      </w:r>
      <w:r w:rsidRPr="00A869BE">
        <w:rPr>
          <w:bCs/>
        </w:rPr>
        <w:t xml:space="preserve"> of the telephone or email notification. The written report shall include </w:t>
      </w:r>
      <w:r>
        <w:rPr>
          <w:bCs/>
        </w:rPr>
        <w:t>the following:</w:t>
      </w:r>
    </w:p>
    <w:p w14:paraId="469F0895" w14:textId="77777777" w:rsidR="00A869BE" w:rsidRDefault="00A869BE" w:rsidP="00362D97">
      <w:pPr>
        <w:pStyle w:val="ListParagraph"/>
        <w:numPr>
          <w:ilvl w:val="0"/>
          <w:numId w:val="75"/>
        </w:numPr>
        <w:spacing w:after="40"/>
        <w:contextualSpacing w:val="0"/>
        <w:rPr>
          <w:bCs/>
        </w:rPr>
      </w:pPr>
      <w:r w:rsidRPr="00A869BE">
        <w:rPr>
          <w:bCs/>
        </w:rPr>
        <w:t xml:space="preserve">description of the event, </w:t>
      </w:r>
    </w:p>
    <w:p w14:paraId="59E458B3" w14:textId="77777777" w:rsidR="00A869BE" w:rsidRDefault="00A869BE" w:rsidP="00362D97">
      <w:pPr>
        <w:pStyle w:val="ListParagraph"/>
        <w:numPr>
          <w:ilvl w:val="0"/>
          <w:numId w:val="75"/>
        </w:numPr>
        <w:spacing w:after="40"/>
        <w:contextualSpacing w:val="0"/>
        <w:rPr>
          <w:bCs/>
        </w:rPr>
      </w:pPr>
      <w:r w:rsidRPr="00A869BE">
        <w:rPr>
          <w:bCs/>
        </w:rPr>
        <w:t xml:space="preserve">reasons for the noncompliance, </w:t>
      </w:r>
    </w:p>
    <w:p w14:paraId="35F35669" w14:textId="77777777" w:rsidR="00A869BE" w:rsidRDefault="00A869BE" w:rsidP="00362D97">
      <w:pPr>
        <w:pStyle w:val="ListParagraph"/>
        <w:numPr>
          <w:ilvl w:val="0"/>
          <w:numId w:val="75"/>
        </w:numPr>
        <w:spacing w:after="40"/>
        <w:contextualSpacing w:val="0"/>
        <w:rPr>
          <w:bCs/>
        </w:rPr>
      </w:pPr>
      <w:r w:rsidRPr="00A869BE">
        <w:rPr>
          <w:bCs/>
        </w:rPr>
        <w:t xml:space="preserve">actions taken or planned to correct the problem and to prevent the problem from recurring, </w:t>
      </w:r>
    </w:p>
    <w:p w14:paraId="3F7F9D6B" w14:textId="658BCA35" w:rsidR="00A869BE" w:rsidRDefault="00A869BE" w:rsidP="00362D97">
      <w:pPr>
        <w:pStyle w:val="ListParagraph"/>
        <w:numPr>
          <w:ilvl w:val="0"/>
          <w:numId w:val="75"/>
        </w:numPr>
        <w:spacing w:after="120"/>
        <w:contextualSpacing w:val="0"/>
        <w:rPr>
          <w:bCs/>
        </w:rPr>
      </w:pPr>
      <w:proofErr w:type="gramStart"/>
      <w:r w:rsidRPr="00A869BE">
        <w:rPr>
          <w:bCs/>
        </w:rPr>
        <w:t>time</w:t>
      </w:r>
      <w:proofErr w:type="gramEnd"/>
      <w:r w:rsidRPr="00A869BE">
        <w:rPr>
          <w:bCs/>
        </w:rPr>
        <w:t xml:space="preserve"> schedule of completion or anticipated completion of these actions. </w:t>
      </w:r>
    </w:p>
    <w:p w14:paraId="2595477C" w14:textId="2CB53A05" w:rsidR="00A869BE" w:rsidRPr="00A869BE" w:rsidRDefault="00A869BE" w:rsidP="00A869BE">
      <w:pPr>
        <w:pStyle w:val="ListParagraph"/>
        <w:spacing w:after="120"/>
        <w:ind w:left="1080"/>
        <w:contextualSpacing w:val="0"/>
        <w:rPr>
          <w:bCs/>
        </w:rPr>
      </w:pPr>
      <w:r w:rsidRPr="00A869BE">
        <w:rPr>
          <w:bCs/>
        </w:rPr>
        <w:t>Reporting shall include, but not be limited to, noncompliance events due to:</w:t>
      </w:r>
    </w:p>
    <w:p w14:paraId="6AE42607" w14:textId="77777777" w:rsidR="00A869BE" w:rsidRPr="00F86899" w:rsidRDefault="00A869BE" w:rsidP="00362D97">
      <w:pPr>
        <w:numPr>
          <w:ilvl w:val="1"/>
          <w:numId w:val="38"/>
        </w:numPr>
        <w:tabs>
          <w:tab w:val="clear" w:pos="1440"/>
        </w:tabs>
        <w:spacing w:afterLines="40" w:after="96"/>
        <w:ind w:left="1800"/>
      </w:pPr>
      <w:r w:rsidRPr="00F86899">
        <w:t>breakdown of waste treatment equipment;</w:t>
      </w:r>
    </w:p>
    <w:p w14:paraId="4D93CD68" w14:textId="77777777" w:rsidR="00A869BE" w:rsidRPr="00F86899" w:rsidRDefault="00A869BE" w:rsidP="00362D97">
      <w:pPr>
        <w:numPr>
          <w:ilvl w:val="1"/>
          <w:numId w:val="38"/>
        </w:numPr>
        <w:tabs>
          <w:tab w:val="clear" w:pos="1440"/>
        </w:tabs>
        <w:spacing w:afterLines="40" w:after="96"/>
        <w:ind w:left="1800"/>
      </w:pPr>
      <w:r w:rsidRPr="00F86899">
        <w:t>accidents caused by human error or negligence; or</w:t>
      </w:r>
    </w:p>
    <w:p w14:paraId="3A3BFA27" w14:textId="77777777" w:rsidR="00A869BE" w:rsidRPr="00F86899" w:rsidRDefault="00A869BE" w:rsidP="00362D97">
      <w:pPr>
        <w:numPr>
          <w:ilvl w:val="1"/>
          <w:numId w:val="38"/>
        </w:numPr>
        <w:tabs>
          <w:tab w:val="clear" w:pos="1440"/>
        </w:tabs>
        <w:ind w:left="1800"/>
      </w:pPr>
      <w:proofErr w:type="gramStart"/>
      <w:r w:rsidRPr="00F86899">
        <w:t>other</w:t>
      </w:r>
      <w:proofErr w:type="gramEnd"/>
      <w:r w:rsidRPr="00F86899">
        <w:t xml:space="preserve"> causes such as acts of nature.</w:t>
      </w:r>
      <w:r w:rsidRPr="00F86899">
        <w:rPr>
          <w:b/>
          <w:bCs/>
        </w:rPr>
        <w:t xml:space="preserve"> </w:t>
      </w:r>
    </w:p>
    <w:p w14:paraId="29F88F2C" w14:textId="77777777" w:rsidR="00A869BE" w:rsidRPr="00F86899" w:rsidRDefault="00A869BE" w:rsidP="00A869BE">
      <w:pPr>
        <w:ind w:left="0"/>
        <w:rPr>
          <w:bCs/>
        </w:rPr>
      </w:pPr>
    </w:p>
    <w:p w14:paraId="1322FD41" w14:textId="471497E5" w:rsidR="00A869BE" w:rsidRPr="00A869BE" w:rsidRDefault="00A869BE" w:rsidP="00362D97">
      <w:pPr>
        <w:pStyle w:val="ListParagraph"/>
        <w:numPr>
          <w:ilvl w:val="0"/>
          <w:numId w:val="56"/>
        </w:numPr>
        <w:contextualSpacing w:val="0"/>
        <w:rPr>
          <w:bCs/>
        </w:rPr>
      </w:pPr>
      <w:r w:rsidRPr="00A869BE">
        <w:rPr>
          <w:b/>
          <w:bCs/>
        </w:rPr>
        <w:t>Anticipated Noncompliance.</w:t>
      </w:r>
      <w:r w:rsidRPr="00F676E6">
        <w:rPr>
          <w:bCs/>
        </w:rPr>
        <w:t xml:space="preserve"> The Discharger shall give advance notice to the Regional Water Board of any planned changes in the regulated facility or discharges that may result in noncompliance with this Order.</w:t>
      </w:r>
    </w:p>
    <w:p w14:paraId="1F0F64EB" w14:textId="77777777" w:rsidR="00A869BE" w:rsidRPr="00A869BE" w:rsidRDefault="00A869BE" w:rsidP="00A869BE">
      <w:pPr>
        <w:pStyle w:val="ListParagraph"/>
        <w:rPr>
          <w:b/>
          <w:bCs/>
        </w:rPr>
      </w:pPr>
    </w:p>
    <w:p w14:paraId="49F8281E" w14:textId="700F39A2" w:rsidR="0040735C" w:rsidRDefault="00F86899" w:rsidP="00362D97">
      <w:pPr>
        <w:pStyle w:val="ListParagraph"/>
        <w:numPr>
          <w:ilvl w:val="0"/>
          <w:numId w:val="56"/>
        </w:numPr>
        <w:rPr>
          <w:bCs/>
        </w:rPr>
      </w:pPr>
      <w:r w:rsidRPr="0040735C">
        <w:rPr>
          <w:b/>
          <w:bCs/>
        </w:rPr>
        <w:t>Vested Rights</w:t>
      </w:r>
      <w:r w:rsidRPr="0040735C">
        <w:rPr>
          <w:bCs/>
        </w:rPr>
        <w:t>. This Order does not convey any property rights or exclusive privileges. The requirements prescribed herein do not authorize the commission of any act causing injury to persons or property, do not protect the Discharger from liability under federal, state, or local laws, and do not create a vested right to continue to discharge waste.</w:t>
      </w:r>
    </w:p>
    <w:p w14:paraId="38BE0824" w14:textId="77777777" w:rsidR="0040735C" w:rsidRPr="0040735C" w:rsidRDefault="0040735C" w:rsidP="0040735C">
      <w:pPr>
        <w:pStyle w:val="ListParagraph"/>
        <w:rPr>
          <w:b/>
          <w:bCs/>
        </w:rPr>
      </w:pPr>
    </w:p>
    <w:p w14:paraId="23616EE8" w14:textId="77777777" w:rsidR="0040735C" w:rsidRDefault="00F86899" w:rsidP="00362D97">
      <w:pPr>
        <w:pStyle w:val="ListParagraph"/>
        <w:numPr>
          <w:ilvl w:val="0"/>
          <w:numId w:val="56"/>
        </w:numPr>
        <w:rPr>
          <w:bCs/>
        </w:rPr>
      </w:pPr>
      <w:r w:rsidRPr="0040735C">
        <w:rPr>
          <w:b/>
          <w:bCs/>
        </w:rPr>
        <w:t xml:space="preserve">Permits by Other Agencies. </w:t>
      </w:r>
      <w:r w:rsidRPr="0040735C">
        <w:rPr>
          <w:bCs/>
        </w:rPr>
        <w:t xml:space="preserve">This Order does not relieve the Discharger from responsibility to obtain other necessary local, state, and federal permits to construct facilities necessary for compliance with this Order, nor does this Order prevent imposition of additional standards, requirements, or conditions by any other regulatory agency. </w:t>
      </w:r>
    </w:p>
    <w:p w14:paraId="675FC938" w14:textId="77777777" w:rsidR="0040735C" w:rsidRPr="0040735C" w:rsidRDefault="0040735C" w:rsidP="0040735C">
      <w:pPr>
        <w:pStyle w:val="ListParagraph"/>
        <w:rPr>
          <w:b/>
          <w:bCs/>
        </w:rPr>
      </w:pPr>
    </w:p>
    <w:p w14:paraId="1A0BA560" w14:textId="787DE57E" w:rsidR="00F86899" w:rsidRPr="0040735C" w:rsidRDefault="00F86899" w:rsidP="00362D97">
      <w:pPr>
        <w:pStyle w:val="ListParagraph"/>
        <w:numPr>
          <w:ilvl w:val="0"/>
          <w:numId w:val="56"/>
        </w:numPr>
        <w:spacing w:after="120"/>
        <w:contextualSpacing w:val="0"/>
        <w:rPr>
          <w:bCs/>
        </w:rPr>
      </w:pPr>
      <w:r w:rsidRPr="0040735C">
        <w:rPr>
          <w:b/>
          <w:bCs/>
        </w:rPr>
        <w:t>Inspections.</w:t>
      </w:r>
      <w:r w:rsidRPr="0040735C">
        <w:rPr>
          <w:bCs/>
        </w:rPr>
        <w:t xml:space="preserve"> All wastewater treatment and di</w:t>
      </w:r>
      <w:r w:rsidR="00731573">
        <w:rPr>
          <w:bCs/>
        </w:rPr>
        <w:t>scharge</w:t>
      </w:r>
      <w:r w:rsidRPr="0040735C">
        <w:rPr>
          <w:bCs/>
        </w:rPr>
        <w:t xml:space="preserve"> systems for the discharges regulated by this Order shall be readily accessible for sampling and inspection. The</w:t>
      </w:r>
      <w:r w:rsidR="0040735C">
        <w:rPr>
          <w:bCs/>
        </w:rPr>
        <w:t xml:space="preserve"> </w:t>
      </w:r>
      <w:r w:rsidRPr="0040735C">
        <w:rPr>
          <w:bCs/>
        </w:rPr>
        <w:t>Discharger shall allow the Regional Water Board or an authorized representative, upon presentation of credentials and other documents as may be required by law, to:</w:t>
      </w:r>
    </w:p>
    <w:p w14:paraId="4BD42313" w14:textId="77777777" w:rsidR="00F86899" w:rsidRPr="00F86899" w:rsidRDefault="00F86899" w:rsidP="00362D97">
      <w:pPr>
        <w:numPr>
          <w:ilvl w:val="1"/>
          <w:numId w:val="40"/>
        </w:numPr>
        <w:spacing w:after="120"/>
        <w:rPr>
          <w:bCs/>
        </w:rPr>
      </w:pPr>
      <w:r w:rsidRPr="00F86899">
        <w:rPr>
          <w:bCs/>
        </w:rPr>
        <w:t>Enter upon the premises where a regulated facility or activity is located or conducted or where records are required to be kept under the conditions of this Order;</w:t>
      </w:r>
    </w:p>
    <w:p w14:paraId="24526985" w14:textId="77777777" w:rsidR="00F86899" w:rsidRPr="00F86899" w:rsidRDefault="00F86899" w:rsidP="00362D97">
      <w:pPr>
        <w:numPr>
          <w:ilvl w:val="1"/>
          <w:numId w:val="40"/>
        </w:numPr>
        <w:spacing w:after="120"/>
        <w:rPr>
          <w:bCs/>
        </w:rPr>
      </w:pPr>
      <w:r w:rsidRPr="00F86899">
        <w:rPr>
          <w:bCs/>
        </w:rPr>
        <w:t>Have access to and copy at reasonable times any records required to be kept under the conditions of this Order;</w:t>
      </w:r>
    </w:p>
    <w:p w14:paraId="08A6D016" w14:textId="77777777" w:rsidR="00F86899" w:rsidRPr="00F86899" w:rsidRDefault="00F86899" w:rsidP="00362D97">
      <w:pPr>
        <w:numPr>
          <w:ilvl w:val="1"/>
          <w:numId w:val="40"/>
        </w:numPr>
        <w:spacing w:after="120"/>
        <w:rPr>
          <w:bCs/>
        </w:rPr>
      </w:pPr>
      <w:r w:rsidRPr="00F86899">
        <w:rPr>
          <w:bCs/>
        </w:rPr>
        <w:t>Inspect, at reasonable times, any facilities, equipment, practices, or operations regulated or required under this Order; and</w:t>
      </w:r>
    </w:p>
    <w:p w14:paraId="02899B63" w14:textId="77777777" w:rsidR="00F86899" w:rsidRPr="00F86899" w:rsidRDefault="00F86899" w:rsidP="00362D97">
      <w:pPr>
        <w:numPr>
          <w:ilvl w:val="1"/>
          <w:numId w:val="40"/>
        </w:numPr>
        <w:rPr>
          <w:bCs/>
        </w:rPr>
      </w:pPr>
      <w:r w:rsidRPr="00F86899">
        <w:rPr>
          <w:bCs/>
        </w:rPr>
        <w:t>Sample, photograph, video record, and/or monitor at reasonable times, for the purposes of assuring compliance with this Order or as otherwise authorized by the Water Code, any equipment, substances or parameters at this location.</w:t>
      </w:r>
      <w:r w:rsidRPr="00F86899">
        <w:rPr>
          <w:bCs/>
        </w:rPr>
        <w:br/>
      </w:r>
    </w:p>
    <w:p w14:paraId="4AF19325" w14:textId="70D9EBB8" w:rsidR="0040735C" w:rsidRDefault="00F86899" w:rsidP="00362D97">
      <w:pPr>
        <w:pStyle w:val="ListParagraph"/>
        <w:numPr>
          <w:ilvl w:val="0"/>
          <w:numId w:val="56"/>
        </w:numPr>
        <w:rPr>
          <w:bCs/>
        </w:rPr>
      </w:pPr>
      <w:r w:rsidRPr="0040735C">
        <w:rPr>
          <w:bCs/>
        </w:rPr>
        <w:t>The Discharger shall furnish, within a reasonable time, any information the Regional Water Board may request to determine whether cause exists for modifying, revoking and reissuing, or terminating the Discharger’s coverage under this Order. The Discharger shall also furnish to the Regional Water Board, upon request, copies of all records required to be kept by this Order.</w:t>
      </w:r>
    </w:p>
    <w:p w14:paraId="7334F7E3" w14:textId="77777777" w:rsidR="00D84123" w:rsidRDefault="00D84123" w:rsidP="00D84123">
      <w:pPr>
        <w:pStyle w:val="ListParagraph"/>
        <w:ind w:left="1080"/>
        <w:rPr>
          <w:bCs/>
        </w:rPr>
      </w:pPr>
    </w:p>
    <w:p w14:paraId="31F63824" w14:textId="643FE7D8" w:rsidR="00D84123" w:rsidRPr="00D84123" w:rsidRDefault="00D84123" w:rsidP="00362D97">
      <w:pPr>
        <w:pStyle w:val="ListParagraph"/>
        <w:numPr>
          <w:ilvl w:val="0"/>
          <w:numId w:val="56"/>
        </w:numPr>
        <w:rPr>
          <w:bCs/>
        </w:rPr>
      </w:pPr>
      <w:r w:rsidRPr="00D84123">
        <w:rPr>
          <w:b/>
          <w:bCs/>
        </w:rPr>
        <w:t>Terminate Permit Coverage.</w:t>
      </w:r>
      <w:r>
        <w:rPr>
          <w:b/>
          <w:bCs/>
        </w:rPr>
        <w:t xml:space="preserve"> </w:t>
      </w:r>
      <w:r w:rsidRPr="00D84123">
        <w:rPr>
          <w:bCs/>
        </w:rPr>
        <w:t xml:space="preserve">The Discharger may request termination of permit coverage by submitting a Notice of Termination Form </w:t>
      </w:r>
      <w:r w:rsidR="00602176">
        <w:rPr>
          <w:bCs/>
        </w:rPr>
        <w:t>(</w:t>
      </w:r>
      <w:r w:rsidR="00602176">
        <w:rPr>
          <w:b/>
          <w:bCs/>
        </w:rPr>
        <w:t>Attachment L</w:t>
      </w:r>
      <w:r w:rsidR="00602176">
        <w:rPr>
          <w:bCs/>
        </w:rPr>
        <w:t>) t</w:t>
      </w:r>
      <w:r w:rsidRPr="00D84123">
        <w:rPr>
          <w:bCs/>
        </w:rPr>
        <w:t>o the Regional Water Board when</w:t>
      </w:r>
      <w:r>
        <w:rPr>
          <w:bCs/>
        </w:rPr>
        <w:t xml:space="preserve"> one or more</w:t>
      </w:r>
      <w:r w:rsidRPr="00D84123">
        <w:rPr>
          <w:bCs/>
        </w:rPr>
        <w:t xml:space="preserve"> of the following conditions are met:</w:t>
      </w:r>
    </w:p>
    <w:p w14:paraId="0D835D2D" w14:textId="77777777" w:rsidR="00D84123" w:rsidRDefault="00D84123" w:rsidP="00D84123">
      <w:pPr>
        <w:pStyle w:val="ListParagraph"/>
        <w:ind w:left="1080"/>
        <w:rPr>
          <w:bCs/>
        </w:rPr>
      </w:pPr>
    </w:p>
    <w:p w14:paraId="7FA626E6" w14:textId="17ACA9A1" w:rsidR="00D84123" w:rsidRDefault="00D84123" w:rsidP="00362D97">
      <w:pPr>
        <w:pStyle w:val="ListParagraph"/>
        <w:numPr>
          <w:ilvl w:val="0"/>
          <w:numId w:val="74"/>
        </w:numPr>
        <w:spacing w:after="120"/>
        <w:ind w:left="1440"/>
        <w:contextualSpacing w:val="0"/>
        <w:rPr>
          <w:bCs/>
        </w:rPr>
      </w:pPr>
      <w:r>
        <w:rPr>
          <w:bCs/>
        </w:rPr>
        <w:t>The facility is closed and all closure, moving, and clean-up activities are complete.</w:t>
      </w:r>
    </w:p>
    <w:p w14:paraId="55F44447" w14:textId="0BEDF1FA" w:rsidR="00D84123" w:rsidRDefault="00D84123" w:rsidP="00362D97">
      <w:pPr>
        <w:pStyle w:val="ListParagraph"/>
        <w:numPr>
          <w:ilvl w:val="0"/>
          <w:numId w:val="74"/>
        </w:numPr>
        <w:spacing w:after="120"/>
        <w:ind w:left="1440"/>
        <w:contextualSpacing w:val="0"/>
        <w:rPr>
          <w:bCs/>
        </w:rPr>
      </w:pPr>
      <w:r>
        <w:rPr>
          <w:bCs/>
        </w:rPr>
        <w:t>The facility was transferred to a new owner.</w:t>
      </w:r>
    </w:p>
    <w:p w14:paraId="4268AF21" w14:textId="5F8CD838" w:rsidR="00D84123" w:rsidRDefault="00D84123" w:rsidP="00362D97">
      <w:pPr>
        <w:pStyle w:val="ListParagraph"/>
        <w:numPr>
          <w:ilvl w:val="0"/>
          <w:numId w:val="74"/>
        </w:numPr>
        <w:spacing w:after="120"/>
        <w:ind w:left="1440"/>
        <w:contextualSpacing w:val="0"/>
        <w:rPr>
          <w:bCs/>
        </w:rPr>
      </w:pPr>
      <w:r>
        <w:rPr>
          <w:bCs/>
        </w:rPr>
        <w:t>The facility is no longer discharging to land.</w:t>
      </w:r>
    </w:p>
    <w:p w14:paraId="394FC146" w14:textId="1F1C1C45" w:rsidR="00D84123" w:rsidRDefault="00D84123" w:rsidP="00362D97">
      <w:pPr>
        <w:pStyle w:val="ListParagraph"/>
        <w:numPr>
          <w:ilvl w:val="0"/>
          <w:numId w:val="74"/>
        </w:numPr>
        <w:ind w:left="1440"/>
        <w:rPr>
          <w:bCs/>
        </w:rPr>
      </w:pPr>
      <w:r>
        <w:rPr>
          <w:bCs/>
        </w:rPr>
        <w:t>The facility’s discharge is regulated by individual waste discharge requirements.</w:t>
      </w:r>
    </w:p>
    <w:p w14:paraId="1475526B" w14:textId="294BBA4B" w:rsidR="00D84123" w:rsidRPr="00D84123" w:rsidRDefault="00D84123" w:rsidP="00D84123">
      <w:pPr>
        <w:pStyle w:val="ListParagraph"/>
        <w:ind w:left="1800"/>
        <w:rPr>
          <w:bCs/>
        </w:rPr>
      </w:pPr>
    </w:p>
    <w:p w14:paraId="4740B01D" w14:textId="4B3B16A1" w:rsidR="00F86899" w:rsidRPr="0040735C" w:rsidRDefault="00F86899" w:rsidP="00362D97">
      <w:pPr>
        <w:pStyle w:val="ListParagraph"/>
        <w:numPr>
          <w:ilvl w:val="0"/>
          <w:numId w:val="56"/>
        </w:numPr>
        <w:spacing w:after="120"/>
        <w:contextualSpacing w:val="0"/>
        <w:rPr>
          <w:bCs/>
        </w:rPr>
      </w:pPr>
      <w:r w:rsidRPr="0040735C">
        <w:rPr>
          <w:b/>
          <w:bCs/>
        </w:rPr>
        <w:t>Document Signatory Requirements.</w:t>
      </w:r>
    </w:p>
    <w:p w14:paraId="17B113C4" w14:textId="14BF7B9D" w:rsidR="00F86899" w:rsidRDefault="00F86899" w:rsidP="00362D97">
      <w:pPr>
        <w:pStyle w:val="ListParagraph"/>
        <w:numPr>
          <w:ilvl w:val="0"/>
          <w:numId w:val="57"/>
        </w:numPr>
        <w:ind w:left="1440"/>
      </w:pPr>
      <w:r w:rsidRPr="00F86899">
        <w:t>All reports required to be submitted to the Regional Water Board by this Order, including applications, reports or other information requested by the Regional Water Board, shall be signed and certified by a per</w:t>
      </w:r>
      <w:r w:rsidR="00D84123">
        <w:t>son described in paragraph a.</w:t>
      </w:r>
      <w:r w:rsidRPr="00F86899">
        <w:t xml:space="preserve"> below, or by a duly authorized representative of that person,</w:t>
      </w:r>
      <w:r w:rsidR="00D84123">
        <w:t xml:space="preserve"> as described in paragraph b.</w:t>
      </w:r>
      <w:r w:rsidRPr="00F86899">
        <w:t xml:space="preserve"> below, with the certificatio</w:t>
      </w:r>
      <w:r w:rsidR="00D84123">
        <w:t>n statement given in paragraph 3</w:t>
      </w:r>
      <w:r w:rsidRPr="00F86899">
        <w:t xml:space="preserve">. </w:t>
      </w:r>
      <w:proofErr w:type="gramStart"/>
      <w:r w:rsidRPr="00F86899">
        <w:t>below</w:t>
      </w:r>
      <w:proofErr w:type="gramEnd"/>
      <w:r w:rsidRPr="00F86899">
        <w:t>.</w:t>
      </w:r>
    </w:p>
    <w:p w14:paraId="1D596A52" w14:textId="77777777" w:rsidR="0040735C" w:rsidRPr="00F86899" w:rsidRDefault="0040735C" w:rsidP="0040735C">
      <w:pPr>
        <w:pStyle w:val="ListParagraph"/>
        <w:ind w:left="1440"/>
      </w:pPr>
    </w:p>
    <w:p w14:paraId="7F5007C3" w14:textId="3CDAB70E" w:rsidR="00F86899" w:rsidRPr="00F86899" w:rsidRDefault="00F86899" w:rsidP="00362D97">
      <w:pPr>
        <w:pStyle w:val="ListParagraph"/>
        <w:numPr>
          <w:ilvl w:val="0"/>
          <w:numId w:val="58"/>
        </w:numPr>
        <w:spacing w:after="120"/>
        <w:ind w:left="1800"/>
        <w:contextualSpacing w:val="0"/>
      </w:pPr>
      <w:r w:rsidRPr="00F86899">
        <w:t>Reports submitted to the Regional Water Board shall be signed and certified by the following:</w:t>
      </w:r>
    </w:p>
    <w:p w14:paraId="53A0615C" w14:textId="77777777" w:rsidR="0040735C" w:rsidRDefault="00F86899" w:rsidP="00362D97">
      <w:pPr>
        <w:pStyle w:val="ListParagraph"/>
        <w:numPr>
          <w:ilvl w:val="0"/>
          <w:numId w:val="59"/>
        </w:numPr>
        <w:spacing w:after="120"/>
        <w:ind w:left="2174" w:hanging="187"/>
        <w:contextualSpacing w:val="0"/>
      </w:pPr>
      <w:r w:rsidRPr="00F86899">
        <w:t>For a corporation, by a principal executive officer or at least the level of vice president;</w:t>
      </w:r>
    </w:p>
    <w:p w14:paraId="017CCFF1" w14:textId="337CBE61" w:rsidR="00F86899" w:rsidRPr="00F86899" w:rsidRDefault="00F86899" w:rsidP="00362D97">
      <w:pPr>
        <w:pStyle w:val="ListParagraph"/>
        <w:numPr>
          <w:ilvl w:val="0"/>
          <w:numId w:val="59"/>
        </w:numPr>
        <w:ind w:left="2160" w:hanging="180"/>
      </w:pPr>
      <w:r w:rsidRPr="00F86899">
        <w:t>For a partnership or sole proprietorship, by a general partner or the proprietor, respectively.</w:t>
      </w:r>
    </w:p>
    <w:p w14:paraId="2C41F21F" w14:textId="77777777" w:rsidR="00F86899" w:rsidRPr="00F86899" w:rsidRDefault="00F86899" w:rsidP="00F86899">
      <w:pPr>
        <w:ind w:left="0"/>
      </w:pPr>
    </w:p>
    <w:p w14:paraId="78F2511F" w14:textId="7CAABF90" w:rsidR="00F86899" w:rsidRPr="00F86899" w:rsidRDefault="00F86899" w:rsidP="00362D97">
      <w:pPr>
        <w:pStyle w:val="ListParagraph"/>
        <w:numPr>
          <w:ilvl w:val="0"/>
          <w:numId w:val="58"/>
        </w:numPr>
        <w:spacing w:after="120"/>
        <w:ind w:left="1800"/>
        <w:contextualSpacing w:val="0"/>
      </w:pPr>
      <w:r w:rsidRPr="00F86899">
        <w:t>A person is a duly authorized representative only if:</w:t>
      </w:r>
    </w:p>
    <w:p w14:paraId="031F1102" w14:textId="4AC08B2D" w:rsidR="00F86899" w:rsidRPr="00F86899" w:rsidRDefault="00F86899" w:rsidP="00362D97">
      <w:pPr>
        <w:pStyle w:val="ListParagraph"/>
        <w:numPr>
          <w:ilvl w:val="0"/>
          <w:numId w:val="60"/>
        </w:numPr>
        <w:spacing w:after="120"/>
        <w:ind w:left="2174" w:hanging="187"/>
        <w:contextualSpacing w:val="0"/>
      </w:pPr>
      <w:r w:rsidRPr="00F86899">
        <w:t>The authorization is made in writing by a person described in paragraph (a) of this provision;</w:t>
      </w:r>
    </w:p>
    <w:p w14:paraId="59DC2376" w14:textId="068B1567" w:rsidR="00F86899" w:rsidRPr="00F86899" w:rsidRDefault="00F86899" w:rsidP="00362D97">
      <w:pPr>
        <w:pStyle w:val="ListParagraph"/>
        <w:numPr>
          <w:ilvl w:val="0"/>
          <w:numId w:val="60"/>
        </w:numPr>
        <w:spacing w:after="120"/>
        <w:ind w:left="2174" w:hanging="187"/>
        <w:contextualSpacing w:val="0"/>
      </w:pPr>
      <w:r w:rsidRPr="00F86899">
        <w:t>The authorization specified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14:paraId="6D494660" w14:textId="35229A40" w:rsidR="00F86899" w:rsidRDefault="00F86899" w:rsidP="00362D97">
      <w:pPr>
        <w:pStyle w:val="ListParagraph"/>
        <w:numPr>
          <w:ilvl w:val="0"/>
          <w:numId w:val="60"/>
        </w:numPr>
        <w:ind w:left="2160" w:hanging="180"/>
      </w:pPr>
      <w:r w:rsidRPr="00F86899">
        <w:t>The written authorization is submitted to the Regional Water Board Executive Officer.</w:t>
      </w:r>
    </w:p>
    <w:p w14:paraId="0B846B8F" w14:textId="77777777" w:rsidR="0040735C" w:rsidRPr="00F86899" w:rsidRDefault="0040735C" w:rsidP="0040735C">
      <w:pPr>
        <w:pStyle w:val="ListParagraph"/>
        <w:ind w:left="2160"/>
      </w:pPr>
    </w:p>
    <w:p w14:paraId="2F1DBFEC" w14:textId="04850BC7" w:rsidR="00F86899" w:rsidRPr="00F86899" w:rsidRDefault="00F86899" w:rsidP="00362D97">
      <w:pPr>
        <w:pStyle w:val="ListParagraph"/>
        <w:numPr>
          <w:ilvl w:val="0"/>
          <w:numId w:val="57"/>
        </w:numPr>
        <w:ind w:left="1440"/>
      </w:pPr>
      <w:r w:rsidRPr="00F86899">
        <w:t>If an authorization under paragraph (1</w:t>
      </w:r>
      <w:proofErr w:type="gramStart"/>
      <w:r w:rsidRPr="00F86899">
        <w:t>)(</w:t>
      </w:r>
      <w:proofErr w:type="gramEnd"/>
      <w:r w:rsidRPr="00F86899">
        <w:t>b) of this provision is no longer accurate because a different individual or position has responsibility for the overall operation of the facility, a new authorization satisfying the requirements of paragraph (1)(b) of this provision shall be submitted to the Regional Water Board Executive Officer prior to, or with, any reports, information, or applications, to be signed by an authorized representative.</w:t>
      </w:r>
      <w:r w:rsidRPr="00F86899">
        <w:br/>
      </w:r>
    </w:p>
    <w:p w14:paraId="23587B8E" w14:textId="0C6D96A3" w:rsidR="00F86899" w:rsidRPr="00F86899" w:rsidRDefault="00F86899" w:rsidP="00362D97">
      <w:pPr>
        <w:pStyle w:val="ListParagraph"/>
        <w:numPr>
          <w:ilvl w:val="0"/>
          <w:numId w:val="57"/>
        </w:numPr>
        <w:ind w:left="1440"/>
      </w:pPr>
      <w:r w:rsidRPr="00F86899">
        <w:t>Any person signing a document under paragraph a. of this provision shall make the following certification:</w:t>
      </w:r>
      <w:r w:rsidRPr="00F86899">
        <w:br/>
      </w:r>
    </w:p>
    <w:p w14:paraId="1488C09E" w14:textId="6D91ACF6" w:rsidR="00F86899" w:rsidRPr="00F86899" w:rsidRDefault="00F86899" w:rsidP="0040735C">
      <w:pPr>
        <w:ind w:left="1080"/>
        <w:rPr>
          <w:bCs/>
        </w:rPr>
      </w:pPr>
      <w:r w:rsidRPr="00F86899">
        <w:rPr>
          <w:bCs/>
        </w:rPr>
        <w:t xml:space="preserve">“I certify under penalty of </w:t>
      </w:r>
      <w:r w:rsidR="0040735C">
        <w:rPr>
          <w:bCs/>
        </w:rPr>
        <w:t>perjury</w:t>
      </w:r>
      <w:r w:rsidRPr="00F86899">
        <w:rPr>
          <w:bCs/>
        </w:rPr>
        <w:t xml:space="preserve">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14:paraId="5D52328E" w14:textId="7371B6A1" w:rsidR="00F86899" w:rsidRPr="00F86899" w:rsidRDefault="00F86899" w:rsidP="00F86899">
      <w:pPr>
        <w:ind w:left="0"/>
        <w:rPr>
          <w:bCs/>
        </w:rPr>
      </w:pPr>
    </w:p>
    <w:p w14:paraId="356A6487" w14:textId="4C666D59" w:rsidR="00F86899" w:rsidRPr="0040735C" w:rsidRDefault="00F86899" w:rsidP="00362D97">
      <w:pPr>
        <w:pStyle w:val="ListParagraph"/>
        <w:numPr>
          <w:ilvl w:val="0"/>
          <w:numId w:val="56"/>
        </w:numPr>
        <w:rPr>
          <w:bCs/>
        </w:rPr>
      </w:pPr>
      <w:r w:rsidRPr="0040735C">
        <w:rPr>
          <w:b/>
          <w:bCs/>
        </w:rPr>
        <w:t>Severability</w:t>
      </w:r>
      <w:r w:rsidRPr="0040735C">
        <w:rPr>
          <w:bCs/>
        </w:rPr>
        <w:t>. Provisions of these waste discharge requirements are severable. If any provision of these requirements is found invalid, the remainder of these requirements shall not be affected.</w:t>
      </w:r>
      <w:r w:rsidRPr="0040735C">
        <w:rPr>
          <w:bCs/>
        </w:rPr>
        <w:br/>
      </w:r>
    </w:p>
    <w:p w14:paraId="713E99C9" w14:textId="2987880D" w:rsidR="00F86899" w:rsidRPr="00F676E6" w:rsidRDefault="00F86899" w:rsidP="00362D97">
      <w:pPr>
        <w:pStyle w:val="ListParagraph"/>
        <w:numPr>
          <w:ilvl w:val="0"/>
          <w:numId w:val="56"/>
        </w:numPr>
        <w:contextualSpacing w:val="0"/>
        <w:rPr>
          <w:bCs/>
        </w:rPr>
      </w:pPr>
      <w:r w:rsidRPr="00F676E6">
        <w:rPr>
          <w:bCs/>
        </w:rPr>
        <w:t>Other Information. When the Discharger becomes aware that it failed to submit any relevant facts in a permit application or submitted incorrect information in a permit application, or in any report to the Regional Water Board, the Discharger shall promptly submit correct information.</w:t>
      </w:r>
    </w:p>
    <w:p w14:paraId="34D9D2B6" w14:textId="77777777" w:rsidR="00F676E6" w:rsidRDefault="00F676E6" w:rsidP="00F676E6">
      <w:pPr>
        <w:ind w:left="0"/>
      </w:pPr>
      <w:bookmarkStart w:id="74" w:name="_Toc448403925"/>
      <w:bookmarkStart w:id="75" w:name="_Toc470706600"/>
    </w:p>
    <w:p w14:paraId="2943B725" w14:textId="7211EDB9" w:rsidR="00F86899" w:rsidRPr="00F676E6" w:rsidRDefault="00F86899" w:rsidP="00362D97">
      <w:pPr>
        <w:pStyle w:val="ListParagraph"/>
        <w:numPr>
          <w:ilvl w:val="0"/>
          <w:numId w:val="42"/>
        </w:numPr>
        <w:spacing w:after="120"/>
        <w:contextualSpacing w:val="0"/>
        <w:rPr>
          <w:b/>
        </w:rPr>
      </w:pPr>
      <w:r w:rsidRPr="00F676E6">
        <w:rPr>
          <w:b/>
        </w:rPr>
        <w:t>Regional Water Board Authorities</w:t>
      </w:r>
    </w:p>
    <w:p w14:paraId="15CB4135" w14:textId="4E4DAC69" w:rsidR="00F86899" w:rsidRPr="00F86899" w:rsidRDefault="00F86899" w:rsidP="00362D97">
      <w:pPr>
        <w:pStyle w:val="ListParagraph"/>
        <w:numPr>
          <w:ilvl w:val="0"/>
          <w:numId w:val="61"/>
        </w:numPr>
        <w:ind w:left="1080"/>
      </w:pPr>
      <w:r w:rsidRPr="00F86899">
        <w:t xml:space="preserve">The Regional Water Board may review a Discharger’s </w:t>
      </w:r>
      <w:r w:rsidR="00873D79">
        <w:t>Notice of Intent Package</w:t>
      </w:r>
      <w:r w:rsidR="00873D79" w:rsidRPr="00F86899">
        <w:t xml:space="preserve"> </w:t>
      </w:r>
      <w:r w:rsidRPr="00F86899">
        <w:t xml:space="preserve">and administratively reject Order coverage if the </w:t>
      </w:r>
      <w:r w:rsidR="00873D79">
        <w:t>Notice of Intent Package</w:t>
      </w:r>
      <w:r w:rsidR="00873D79" w:rsidRPr="00F86899">
        <w:t xml:space="preserve"> </w:t>
      </w:r>
      <w:r w:rsidR="00873D79">
        <w:t>is</w:t>
      </w:r>
      <w:r w:rsidRPr="00F86899">
        <w:t xml:space="preserve"> deemed incomplete. The Regional Water Board may take actions that include rescinding Order coverage, requiring a Discharger to revise and resubmit their </w:t>
      </w:r>
      <w:r w:rsidR="00873D79">
        <w:t xml:space="preserve">Notice of Intent Package </w:t>
      </w:r>
      <w:r w:rsidRPr="00F86899">
        <w:t>within a specified time period, requiring the Discharge</w:t>
      </w:r>
      <w:r w:rsidR="00A869BE">
        <w:t xml:space="preserve"> to apply for an o</w:t>
      </w:r>
      <w:r w:rsidRPr="00F86899">
        <w:t>rder coverage or a different indivi</w:t>
      </w:r>
      <w:r w:rsidR="00A869BE">
        <w:t>dual order, or take</w:t>
      </w:r>
      <w:r w:rsidRPr="00F86899">
        <w:t xml:space="preserve"> no action.</w:t>
      </w:r>
    </w:p>
    <w:p w14:paraId="31914301" w14:textId="77777777" w:rsidR="00F86899" w:rsidRPr="00F86899" w:rsidRDefault="00F86899" w:rsidP="00F86899">
      <w:pPr>
        <w:ind w:left="0"/>
      </w:pPr>
    </w:p>
    <w:p w14:paraId="2CC45269" w14:textId="2D40D841" w:rsidR="00F86899" w:rsidRPr="00F86899" w:rsidRDefault="00F86899" w:rsidP="00362D97">
      <w:pPr>
        <w:pStyle w:val="ListParagraph"/>
        <w:numPr>
          <w:ilvl w:val="0"/>
          <w:numId w:val="61"/>
        </w:numPr>
        <w:ind w:left="1080"/>
      </w:pPr>
      <w:r w:rsidRPr="00F86899">
        <w:t>The Regional Water Board has the authority to enforce the provisions and requirements of</w:t>
      </w:r>
      <w:r w:rsidR="00873D79">
        <w:t xml:space="preserve"> this </w:t>
      </w:r>
      <w:r w:rsidRPr="00F86899">
        <w:t xml:space="preserve">Order. This includes, but is not limited to, reviewing </w:t>
      </w:r>
      <w:r w:rsidR="00873D79">
        <w:t>the Notice of Intent Package</w:t>
      </w:r>
      <w:r w:rsidRPr="00F86899">
        <w:t>,</w:t>
      </w:r>
      <w:r w:rsidR="00873D79">
        <w:t xml:space="preserve"> Pond Infiltration Study, Operations and Maintenance Program Manual, Monitoring and Reporting Program</w:t>
      </w:r>
      <w:r w:rsidRPr="00F86899">
        <w:t>, conducting compliance inspections, and taking enforcement actions.</w:t>
      </w:r>
    </w:p>
    <w:p w14:paraId="029A3FD8" w14:textId="77777777" w:rsidR="00F86899" w:rsidRPr="00F86899" w:rsidRDefault="00F86899" w:rsidP="00F86899">
      <w:pPr>
        <w:ind w:left="0"/>
      </w:pPr>
    </w:p>
    <w:p w14:paraId="728FEFB2" w14:textId="396D6ABB" w:rsidR="00F86899" w:rsidRPr="00F86899" w:rsidRDefault="00F86899" w:rsidP="00362D97">
      <w:pPr>
        <w:pStyle w:val="ListParagraph"/>
        <w:numPr>
          <w:ilvl w:val="0"/>
          <w:numId w:val="61"/>
        </w:numPr>
        <w:ind w:left="1080"/>
      </w:pPr>
      <w:r w:rsidRPr="00F86899">
        <w:t xml:space="preserve">The Regional Water Board may require a Discharger to </w:t>
      </w:r>
      <w:r w:rsidR="00A869BE">
        <w:t xml:space="preserve">change, modify, and improve the components of the NOI Package, report submitted in response to a numeric action level exceedance, Pond Infiltration Study, or the Operations and Maintenance Program Manual, </w:t>
      </w:r>
      <w:r w:rsidRPr="00F86899">
        <w:t>to achie</w:t>
      </w:r>
      <w:r w:rsidR="00873D79">
        <w:t xml:space="preserve">ve compliance with this </w:t>
      </w:r>
      <w:r w:rsidRPr="00F86899">
        <w:t>Order. In this case, the Discharger shall implement these revisions in accordance with a schedule provided by the Regional Water Board.</w:t>
      </w:r>
    </w:p>
    <w:p w14:paraId="16EB82A5" w14:textId="77777777" w:rsidR="00F86899" w:rsidRPr="00F86899" w:rsidRDefault="00F86899" w:rsidP="00F86899">
      <w:pPr>
        <w:ind w:left="0"/>
      </w:pPr>
    </w:p>
    <w:p w14:paraId="63FFAB76" w14:textId="77777777" w:rsidR="00F86899" w:rsidRPr="00F86899" w:rsidRDefault="00F86899" w:rsidP="00362D97">
      <w:pPr>
        <w:pStyle w:val="ListParagraph"/>
        <w:numPr>
          <w:ilvl w:val="0"/>
          <w:numId w:val="61"/>
        </w:numPr>
        <w:ind w:left="1080"/>
      </w:pPr>
      <w:r w:rsidRPr="00F86899">
        <w:t>The Regional Water Board may require additional monitoring and reporting.</w:t>
      </w:r>
    </w:p>
    <w:p w14:paraId="6261BE8F" w14:textId="77777777" w:rsidR="00F86899" w:rsidRPr="00F86899" w:rsidRDefault="00F86899" w:rsidP="00F676E6">
      <w:pPr>
        <w:ind w:left="1080" w:hanging="360"/>
      </w:pPr>
    </w:p>
    <w:p w14:paraId="5AD854FB" w14:textId="052FE343" w:rsidR="00F86899" w:rsidRPr="00A869BE" w:rsidRDefault="00F86899" w:rsidP="003F28D0">
      <w:pPr>
        <w:pStyle w:val="OrderItem"/>
        <w:ind w:left="1080" w:firstLine="0"/>
        <w:rPr>
          <w:szCs w:val="24"/>
        </w:rPr>
      </w:pPr>
      <w:r w:rsidRPr="00F86899">
        <w:t xml:space="preserve">All Regional Water Board actions that modify a Discharger’s obligations under this General Order must be in writing and should also be submitted </w:t>
      </w:r>
      <w:r w:rsidR="00A869BE">
        <w:t xml:space="preserve">via email to </w:t>
      </w:r>
      <w:r w:rsidR="00A869BE" w:rsidRPr="003F524C">
        <w:rPr>
          <w:szCs w:val="24"/>
        </w:rPr>
        <w:t>WDR.Monitoring@waterboards.ca.gov</w:t>
      </w:r>
      <w:r w:rsidR="00A869BE">
        <w:rPr>
          <w:szCs w:val="24"/>
        </w:rPr>
        <w:t>.</w:t>
      </w:r>
    </w:p>
    <w:bookmarkEnd w:id="74"/>
    <w:bookmarkEnd w:id="75"/>
    <w:p w14:paraId="384103A4" w14:textId="77777777" w:rsidR="00F86899" w:rsidRPr="00F86899" w:rsidRDefault="00F86899" w:rsidP="00F676E6">
      <w:pPr>
        <w:ind w:left="1080" w:hanging="360"/>
        <w:rPr>
          <w:b/>
        </w:rPr>
      </w:pPr>
    </w:p>
    <w:p w14:paraId="313577FB" w14:textId="77777777" w:rsidR="00F86899" w:rsidRPr="00F676E6" w:rsidRDefault="00F86899" w:rsidP="00362D97">
      <w:pPr>
        <w:pStyle w:val="ListParagraph"/>
        <w:numPr>
          <w:ilvl w:val="0"/>
          <w:numId w:val="61"/>
        </w:numPr>
        <w:ind w:left="1080"/>
        <w:rPr>
          <w:bCs/>
        </w:rPr>
      </w:pPr>
      <w:r w:rsidRPr="00F676E6">
        <w:rPr>
          <w:b/>
          <w:bCs/>
        </w:rPr>
        <w:t>CEQA</w:t>
      </w:r>
      <w:r w:rsidRPr="00F676E6">
        <w:rPr>
          <w:bCs/>
        </w:rPr>
        <w:t>.  The Regional Water Board directs the Executive Officer to file a Notice of Determination within five days from the issuance of this Order.</w:t>
      </w:r>
    </w:p>
    <w:p w14:paraId="5CC8DA09" w14:textId="77777777" w:rsidR="00F86899" w:rsidRPr="00F86899" w:rsidRDefault="00F86899" w:rsidP="00F676E6">
      <w:pPr>
        <w:ind w:left="1080" w:hanging="360"/>
        <w:rPr>
          <w:bCs/>
        </w:rPr>
      </w:pPr>
    </w:p>
    <w:p w14:paraId="2061681C" w14:textId="77777777" w:rsidR="00F86899" w:rsidRPr="00F676E6" w:rsidRDefault="00F86899" w:rsidP="00362D97">
      <w:pPr>
        <w:pStyle w:val="ListParagraph"/>
        <w:numPr>
          <w:ilvl w:val="0"/>
          <w:numId w:val="61"/>
        </w:numPr>
        <w:ind w:left="1080"/>
        <w:rPr>
          <w:bCs/>
        </w:rPr>
      </w:pPr>
      <w:r w:rsidRPr="00F676E6">
        <w:rPr>
          <w:b/>
          <w:bCs/>
        </w:rPr>
        <w:t>Order Review.</w:t>
      </w:r>
      <w:r w:rsidRPr="00F676E6">
        <w:rPr>
          <w:bCs/>
        </w:rPr>
        <w:t xml:space="preserve"> The Regional Water Board will periodically review this Order and revise requirements when necessary.</w:t>
      </w:r>
    </w:p>
    <w:p w14:paraId="60D7277C" w14:textId="77777777" w:rsidR="00F86899" w:rsidRPr="00F86899" w:rsidRDefault="00F86899" w:rsidP="00F86899">
      <w:pPr>
        <w:ind w:left="0"/>
      </w:pPr>
    </w:p>
    <w:p w14:paraId="02C99430" w14:textId="07D642EB" w:rsidR="00F86899" w:rsidRPr="00F86899" w:rsidRDefault="00F86899" w:rsidP="00F86899">
      <w:pPr>
        <w:ind w:left="0"/>
      </w:pPr>
      <w:r w:rsidRPr="00F86899">
        <w:t xml:space="preserve">I, Bruce H. Wolfe, Executive Officer, do hereby certify that the foregoing is a full, true, and correct copy of an Order adopted by the California Regional Water Quality Control Board, San Francisco Bay Region, on </w:t>
      </w:r>
      <w:r w:rsidR="003F28D0">
        <w:rPr>
          <w:highlight w:val="yellow"/>
        </w:rPr>
        <w:t>December</w:t>
      </w:r>
      <w:r w:rsidR="00873D79" w:rsidRPr="00873D79">
        <w:rPr>
          <w:highlight w:val="yellow"/>
        </w:rPr>
        <w:t xml:space="preserve"> 13, 2017</w:t>
      </w:r>
      <w:r w:rsidR="00873D79" w:rsidRPr="00873D79">
        <w:t>.</w:t>
      </w:r>
    </w:p>
    <w:p w14:paraId="549421A1" w14:textId="77777777" w:rsidR="00F86899" w:rsidRPr="00F86899" w:rsidRDefault="00F86899" w:rsidP="00F86899">
      <w:pPr>
        <w:ind w:left="0"/>
      </w:pPr>
    </w:p>
    <w:p w14:paraId="51DAF9F1" w14:textId="77777777" w:rsidR="00F86899" w:rsidRPr="00F86899" w:rsidRDefault="00F86899" w:rsidP="00F86899">
      <w:pPr>
        <w:ind w:left="0"/>
      </w:pPr>
    </w:p>
    <w:p w14:paraId="58B362A6" w14:textId="77777777" w:rsidR="00F86899" w:rsidRPr="00F86899" w:rsidRDefault="00F86899" w:rsidP="00F86899">
      <w:pPr>
        <w:ind w:left="0"/>
      </w:pPr>
    </w:p>
    <w:p w14:paraId="74DC5ACF" w14:textId="77777777" w:rsidR="00F86899" w:rsidRPr="00F86899" w:rsidRDefault="00F86899" w:rsidP="00F86899">
      <w:pPr>
        <w:ind w:left="0"/>
      </w:pPr>
    </w:p>
    <w:p w14:paraId="4494B59A" w14:textId="77777777" w:rsidR="00F86899" w:rsidRPr="00F86899" w:rsidRDefault="00F86899" w:rsidP="00873D79">
      <w:pPr>
        <w:ind w:left="4860"/>
        <w:rPr>
          <w:b/>
        </w:rPr>
      </w:pPr>
      <w:r w:rsidRPr="00F86899">
        <w:rPr>
          <w:b/>
        </w:rPr>
        <w:tab/>
        <w:t>___________________________________</w:t>
      </w:r>
    </w:p>
    <w:p w14:paraId="1807BF45" w14:textId="2555D24B" w:rsidR="00F86899" w:rsidRPr="00F86899" w:rsidRDefault="00F86899" w:rsidP="00873D79">
      <w:pPr>
        <w:ind w:left="6480"/>
        <w:rPr>
          <w:bCs/>
        </w:rPr>
      </w:pPr>
      <w:r w:rsidRPr="00F86899">
        <w:rPr>
          <w:bCs/>
        </w:rPr>
        <w:t>Bruce H. Wolfe</w:t>
      </w:r>
    </w:p>
    <w:p w14:paraId="7C418A3C" w14:textId="023D7B85" w:rsidR="00F86899" w:rsidRPr="00F86899" w:rsidRDefault="00F86899" w:rsidP="00873D79">
      <w:pPr>
        <w:ind w:left="6390"/>
        <w:rPr>
          <w:bCs/>
        </w:rPr>
      </w:pPr>
      <w:r w:rsidRPr="00F86899">
        <w:tab/>
      </w:r>
      <w:r w:rsidRPr="00F86899">
        <w:rPr>
          <w:bCs/>
        </w:rPr>
        <w:t>Executive Officer</w:t>
      </w:r>
      <w:r w:rsidRPr="00F86899">
        <w:rPr>
          <w:bCs/>
        </w:rPr>
        <w:tab/>
      </w:r>
    </w:p>
    <w:p w14:paraId="79612DA2" w14:textId="199FD168" w:rsidR="00F676E6" w:rsidRDefault="00F676E6" w:rsidP="00F86899">
      <w:pPr>
        <w:ind w:left="0"/>
        <w:rPr>
          <w:b/>
          <w:bCs/>
        </w:rPr>
      </w:pPr>
    </w:p>
    <w:p w14:paraId="1ED09D6D" w14:textId="7E3D55BE" w:rsidR="00F676E6" w:rsidRPr="00F676E6" w:rsidRDefault="00F676E6" w:rsidP="00F676E6">
      <w:pPr>
        <w:suppressAutoHyphens/>
        <w:spacing w:after="120"/>
        <w:ind w:left="0"/>
        <w:rPr>
          <w:b/>
          <w:bCs/>
        </w:rPr>
      </w:pPr>
      <w:r w:rsidRPr="00F676E6">
        <w:rPr>
          <w:b/>
          <w:bCs/>
        </w:rPr>
        <w:t>ATTACHMENTS</w:t>
      </w:r>
    </w:p>
    <w:p w14:paraId="4B6F7940" w14:textId="77777777" w:rsidR="00F17B48" w:rsidRDefault="00F676E6" w:rsidP="00BC13B3">
      <w:pPr>
        <w:pStyle w:val="ListParagraph"/>
        <w:numPr>
          <w:ilvl w:val="0"/>
          <w:numId w:val="80"/>
        </w:numPr>
        <w:suppressAutoHyphens/>
        <w:spacing w:after="120"/>
        <w:ind w:left="360"/>
        <w:contextualSpacing w:val="0"/>
        <w:rPr>
          <w:bCs/>
        </w:rPr>
      </w:pPr>
      <w:r w:rsidRPr="00F17B48">
        <w:rPr>
          <w:bCs/>
        </w:rPr>
        <w:t>Monitoring and Reporting Program</w:t>
      </w:r>
    </w:p>
    <w:p w14:paraId="596F6CD6" w14:textId="234967D1" w:rsidR="00F17B48" w:rsidRDefault="00F17B48" w:rsidP="00BC13B3">
      <w:pPr>
        <w:pStyle w:val="ListParagraph"/>
        <w:numPr>
          <w:ilvl w:val="0"/>
          <w:numId w:val="80"/>
        </w:numPr>
        <w:suppressAutoHyphens/>
        <w:spacing w:after="120"/>
        <w:ind w:left="360"/>
        <w:contextualSpacing w:val="0"/>
        <w:rPr>
          <w:bCs/>
        </w:rPr>
      </w:pPr>
      <w:r>
        <w:rPr>
          <w:bCs/>
        </w:rPr>
        <w:t>Notice of Intent Form</w:t>
      </w:r>
    </w:p>
    <w:p w14:paraId="2C27A4ED" w14:textId="77158B7B" w:rsidR="00F17B48" w:rsidRDefault="00F17B48" w:rsidP="00BC13B3">
      <w:pPr>
        <w:pStyle w:val="ListParagraph"/>
        <w:numPr>
          <w:ilvl w:val="0"/>
          <w:numId w:val="80"/>
        </w:numPr>
        <w:suppressAutoHyphens/>
        <w:spacing w:after="120"/>
        <w:ind w:left="360"/>
        <w:contextualSpacing w:val="0"/>
        <w:rPr>
          <w:bCs/>
        </w:rPr>
      </w:pPr>
      <w:r>
        <w:rPr>
          <w:bCs/>
        </w:rPr>
        <w:t>Notice of Intent Instructions</w:t>
      </w:r>
    </w:p>
    <w:p w14:paraId="1094E619" w14:textId="5C08D2AC" w:rsidR="00F17B48" w:rsidRDefault="00F17B48" w:rsidP="00F17B48">
      <w:pPr>
        <w:pStyle w:val="ListParagraph"/>
        <w:suppressAutoHyphens/>
        <w:spacing w:after="120"/>
        <w:ind w:left="900" w:hanging="540"/>
        <w:contextualSpacing w:val="0"/>
        <w:rPr>
          <w:bCs/>
        </w:rPr>
      </w:pPr>
      <w:r>
        <w:rPr>
          <w:bCs/>
        </w:rPr>
        <w:t>C-1</w:t>
      </w:r>
      <w:r>
        <w:rPr>
          <w:bCs/>
        </w:rPr>
        <w:tab/>
      </w:r>
      <w:r w:rsidRPr="00C8724A">
        <w:rPr>
          <w:bCs/>
        </w:rPr>
        <w:t>Pre-E</w:t>
      </w:r>
      <w:r>
        <w:rPr>
          <w:bCs/>
        </w:rPr>
        <w:t>nrollment Required Assessments a</w:t>
      </w:r>
      <w:r w:rsidRPr="00C8724A">
        <w:rPr>
          <w:bCs/>
        </w:rPr>
        <w:t>nd Plans</w:t>
      </w:r>
    </w:p>
    <w:p w14:paraId="5986F26A" w14:textId="1C722302" w:rsidR="00F17B48" w:rsidRDefault="00F17B48" w:rsidP="00F17B48">
      <w:pPr>
        <w:pStyle w:val="ListParagraph"/>
        <w:suppressAutoHyphens/>
        <w:spacing w:after="120"/>
        <w:ind w:left="900" w:hanging="540"/>
        <w:contextualSpacing w:val="0"/>
        <w:rPr>
          <w:bCs/>
        </w:rPr>
      </w:pPr>
      <w:r>
        <w:rPr>
          <w:bCs/>
        </w:rPr>
        <w:t>C-2</w:t>
      </w:r>
      <w:r>
        <w:rPr>
          <w:bCs/>
        </w:rPr>
        <w:tab/>
      </w:r>
      <w:r w:rsidRPr="00C8724A">
        <w:rPr>
          <w:bCs/>
        </w:rPr>
        <w:t>Hydraulic Loading Rate Guidance</w:t>
      </w:r>
    </w:p>
    <w:p w14:paraId="61B5D060" w14:textId="4D4B61A2" w:rsidR="00F17B48" w:rsidRDefault="00F17B48" w:rsidP="00F17B48">
      <w:pPr>
        <w:pStyle w:val="ListParagraph"/>
        <w:suppressAutoHyphens/>
        <w:spacing w:after="120"/>
        <w:ind w:left="900" w:hanging="540"/>
        <w:contextualSpacing w:val="0"/>
        <w:rPr>
          <w:bCs/>
        </w:rPr>
      </w:pPr>
      <w:r>
        <w:rPr>
          <w:bCs/>
        </w:rPr>
        <w:t>C-3</w:t>
      </w:r>
      <w:r>
        <w:rPr>
          <w:bCs/>
        </w:rPr>
        <w:tab/>
        <w:t>Pond Infiltration a</w:t>
      </w:r>
      <w:r w:rsidRPr="00C8724A">
        <w:rPr>
          <w:bCs/>
        </w:rPr>
        <w:t>nd Water Balance Guidance</w:t>
      </w:r>
    </w:p>
    <w:p w14:paraId="1BC2B9EB" w14:textId="77777777" w:rsidR="00F17B48" w:rsidRDefault="00F676E6" w:rsidP="00BC13B3">
      <w:pPr>
        <w:pStyle w:val="ListParagraph"/>
        <w:numPr>
          <w:ilvl w:val="0"/>
          <w:numId w:val="80"/>
        </w:numPr>
        <w:suppressAutoHyphens/>
        <w:spacing w:after="120"/>
        <w:ind w:left="360"/>
        <w:contextualSpacing w:val="0"/>
        <w:rPr>
          <w:bCs/>
        </w:rPr>
      </w:pPr>
      <w:r w:rsidRPr="00F17B48">
        <w:rPr>
          <w:bCs/>
        </w:rPr>
        <w:t>Request for Authorization of County Oversight (Tier 3)</w:t>
      </w:r>
    </w:p>
    <w:p w14:paraId="377191E4" w14:textId="77777777" w:rsidR="00F17B48" w:rsidRDefault="00F676E6" w:rsidP="00BC13B3">
      <w:pPr>
        <w:pStyle w:val="ListParagraph"/>
        <w:numPr>
          <w:ilvl w:val="0"/>
          <w:numId w:val="80"/>
        </w:numPr>
        <w:suppressAutoHyphens/>
        <w:spacing w:after="120"/>
        <w:ind w:left="360"/>
        <w:contextualSpacing w:val="0"/>
        <w:rPr>
          <w:bCs/>
        </w:rPr>
      </w:pPr>
      <w:r w:rsidRPr="00F17B48">
        <w:rPr>
          <w:bCs/>
        </w:rPr>
        <w:t>Tier 3 County Oversight Permitting Program Framework</w:t>
      </w:r>
    </w:p>
    <w:p w14:paraId="422E51C2" w14:textId="7D58659B" w:rsidR="00F17B48" w:rsidRDefault="00F676E6" w:rsidP="00BC13B3">
      <w:pPr>
        <w:pStyle w:val="ListParagraph"/>
        <w:numPr>
          <w:ilvl w:val="0"/>
          <w:numId w:val="80"/>
        </w:numPr>
        <w:suppressAutoHyphens/>
        <w:spacing w:after="120"/>
        <w:ind w:left="360"/>
        <w:contextualSpacing w:val="0"/>
        <w:rPr>
          <w:bCs/>
        </w:rPr>
      </w:pPr>
      <w:r w:rsidRPr="00F17B48">
        <w:rPr>
          <w:bCs/>
        </w:rPr>
        <w:t xml:space="preserve">Nitrogen Assessment </w:t>
      </w:r>
      <w:r w:rsidR="00F17B48">
        <w:rPr>
          <w:bCs/>
        </w:rPr>
        <w:t xml:space="preserve">and Management </w:t>
      </w:r>
      <w:r w:rsidRPr="00F17B48">
        <w:rPr>
          <w:bCs/>
        </w:rPr>
        <w:t>Plan</w:t>
      </w:r>
    </w:p>
    <w:p w14:paraId="7E5F79D3" w14:textId="78BCF707" w:rsidR="00F17B48" w:rsidRDefault="00F676E6" w:rsidP="00BC13B3">
      <w:pPr>
        <w:pStyle w:val="ListParagraph"/>
        <w:numPr>
          <w:ilvl w:val="0"/>
          <w:numId w:val="80"/>
        </w:numPr>
        <w:suppressAutoHyphens/>
        <w:spacing w:after="120"/>
        <w:ind w:left="360"/>
        <w:contextualSpacing w:val="0"/>
        <w:rPr>
          <w:bCs/>
        </w:rPr>
      </w:pPr>
      <w:r w:rsidRPr="00F17B48">
        <w:rPr>
          <w:bCs/>
        </w:rPr>
        <w:t xml:space="preserve">Chloride Assessment </w:t>
      </w:r>
      <w:r w:rsidR="00F17B48">
        <w:rPr>
          <w:bCs/>
        </w:rPr>
        <w:t xml:space="preserve">and Management </w:t>
      </w:r>
      <w:r w:rsidRPr="00F17B48">
        <w:rPr>
          <w:bCs/>
        </w:rPr>
        <w:t>Plan</w:t>
      </w:r>
    </w:p>
    <w:p w14:paraId="045DBF35" w14:textId="4222966B" w:rsidR="00B21E6D" w:rsidRDefault="00B21E6D" w:rsidP="00BC13B3">
      <w:pPr>
        <w:pStyle w:val="ListParagraph"/>
        <w:numPr>
          <w:ilvl w:val="0"/>
          <w:numId w:val="80"/>
        </w:numPr>
        <w:suppressAutoHyphens/>
        <w:spacing w:after="120"/>
        <w:ind w:left="360"/>
        <w:contextualSpacing w:val="0"/>
        <w:rPr>
          <w:bCs/>
        </w:rPr>
      </w:pPr>
      <w:proofErr w:type="spellStart"/>
      <w:r>
        <w:rPr>
          <w:bCs/>
        </w:rPr>
        <w:t>Sodicity</w:t>
      </w:r>
      <w:proofErr w:type="spellEnd"/>
      <w:r>
        <w:rPr>
          <w:bCs/>
        </w:rPr>
        <w:t xml:space="preserve"> </w:t>
      </w:r>
      <w:r w:rsidRPr="00F17B48">
        <w:rPr>
          <w:bCs/>
        </w:rPr>
        <w:t xml:space="preserve">Assessment </w:t>
      </w:r>
      <w:r>
        <w:rPr>
          <w:bCs/>
        </w:rPr>
        <w:t xml:space="preserve">and Management </w:t>
      </w:r>
      <w:r w:rsidRPr="00F17B48">
        <w:rPr>
          <w:bCs/>
        </w:rPr>
        <w:t>Plan</w:t>
      </w:r>
    </w:p>
    <w:p w14:paraId="13459EA7" w14:textId="77777777" w:rsidR="00F17B48" w:rsidRDefault="00F676E6" w:rsidP="00BC13B3">
      <w:pPr>
        <w:pStyle w:val="ListParagraph"/>
        <w:numPr>
          <w:ilvl w:val="0"/>
          <w:numId w:val="80"/>
        </w:numPr>
        <w:suppressAutoHyphens/>
        <w:spacing w:after="120"/>
        <w:ind w:left="360"/>
        <w:contextualSpacing w:val="0"/>
        <w:rPr>
          <w:bCs/>
        </w:rPr>
      </w:pPr>
      <w:r w:rsidRPr="00F17B48">
        <w:rPr>
          <w:bCs/>
        </w:rPr>
        <w:t>Definitions</w:t>
      </w:r>
    </w:p>
    <w:p w14:paraId="674964A1" w14:textId="77777777" w:rsidR="00F17B48" w:rsidRDefault="00F676E6" w:rsidP="00BC13B3">
      <w:pPr>
        <w:pStyle w:val="ListParagraph"/>
        <w:numPr>
          <w:ilvl w:val="0"/>
          <w:numId w:val="80"/>
        </w:numPr>
        <w:suppressAutoHyphens/>
        <w:spacing w:after="120"/>
        <w:ind w:left="360"/>
        <w:contextualSpacing w:val="0"/>
        <w:rPr>
          <w:bCs/>
        </w:rPr>
      </w:pPr>
      <w:r w:rsidRPr="00F17B48">
        <w:rPr>
          <w:bCs/>
        </w:rPr>
        <w:t>Figures</w:t>
      </w:r>
    </w:p>
    <w:p w14:paraId="79AEE847" w14:textId="1573A16C" w:rsidR="00F17B48" w:rsidRPr="00F6686F" w:rsidRDefault="00F17B48" w:rsidP="00BC13B3">
      <w:pPr>
        <w:pStyle w:val="ListParagraph"/>
        <w:numPr>
          <w:ilvl w:val="0"/>
          <w:numId w:val="80"/>
        </w:numPr>
        <w:suppressAutoHyphens/>
        <w:spacing w:after="120"/>
        <w:ind w:left="360"/>
        <w:contextualSpacing w:val="0"/>
        <w:rPr>
          <w:bCs/>
        </w:rPr>
      </w:pPr>
      <w:r w:rsidRPr="00F17B48">
        <w:rPr>
          <w:bCs/>
          <w:szCs w:val="24"/>
        </w:rPr>
        <w:t xml:space="preserve">Requirements for Monitoring Well Installation </w:t>
      </w:r>
      <w:proofErr w:type="spellStart"/>
      <w:r w:rsidRPr="00F17B48">
        <w:rPr>
          <w:bCs/>
          <w:szCs w:val="24"/>
        </w:rPr>
        <w:t>Workplans</w:t>
      </w:r>
      <w:proofErr w:type="spellEnd"/>
      <w:r w:rsidRPr="00F17B48">
        <w:rPr>
          <w:bCs/>
          <w:szCs w:val="24"/>
        </w:rPr>
        <w:t xml:space="preserve"> and Monitoring Well Installation Reports </w:t>
      </w:r>
    </w:p>
    <w:p w14:paraId="10047837" w14:textId="2736B2A6" w:rsidR="00F6686F" w:rsidRPr="00F17B48" w:rsidRDefault="00F6686F" w:rsidP="00BC13B3">
      <w:pPr>
        <w:pStyle w:val="ListParagraph"/>
        <w:numPr>
          <w:ilvl w:val="0"/>
          <w:numId w:val="80"/>
        </w:numPr>
        <w:suppressAutoHyphens/>
        <w:ind w:left="360"/>
        <w:rPr>
          <w:bCs/>
        </w:rPr>
      </w:pPr>
      <w:r>
        <w:rPr>
          <w:bCs/>
          <w:szCs w:val="24"/>
        </w:rPr>
        <w:t>Notice of Termination Form</w:t>
      </w:r>
    </w:p>
    <w:p w14:paraId="40F0D513" w14:textId="77777777" w:rsidR="00F676E6" w:rsidRPr="00D21BC8" w:rsidRDefault="00F676E6" w:rsidP="00F676E6">
      <w:pPr>
        <w:tabs>
          <w:tab w:val="left" w:pos="120"/>
          <w:tab w:val="left" w:pos="720"/>
          <w:tab w:val="left" w:pos="1200"/>
          <w:tab w:val="left" w:pos="4440"/>
        </w:tabs>
        <w:suppressAutoHyphens/>
        <w:rPr>
          <w:bCs/>
        </w:rPr>
      </w:pPr>
    </w:p>
    <w:p w14:paraId="722B03EE" w14:textId="1E236A29" w:rsidR="00F676E6" w:rsidRPr="00F676E6" w:rsidRDefault="00F676E6" w:rsidP="00F676E6">
      <w:pPr>
        <w:suppressAutoHyphens/>
        <w:spacing w:after="120"/>
        <w:ind w:left="0"/>
        <w:rPr>
          <w:b/>
          <w:bCs/>
        </w:rPr>
      </w:pPr>
      <w:r w:rsidRPr="00F676E6">
        <w:rPr>
          <w:b/>
          <w:bCs/>
        </w:rPr>
        <w:t>APPENDICES</w:t>
      </w:r>
    </w:p>
    <w:p w14:paraId="593F46B1" w14:textId="77777777" w:rsidR="007C138B" w:rsidRPr="00D21BC8" w:rsidRDefault="007C138B" w:rsidP="00BC13B3">
      <w:pPr>
        <w:pStyle w:val="ListParagraph"/>
        <w:numPr>
          <w:ilvl w:val="3"/>
          <w:numId w:val="81"/>
        </w:numPr>
        <w:suppressAutoHyphens/>
        <w:spacing w:afterLines="40" w:after="96"/>
        <w:ind w:left="360"/>
        <w:contextualSpacing w:val="0"/>
        <w:rPr>
          <w:bCs/>
          <w:szCs w:val="24"/>
        </w:rPr>
      </w:pPr>
      <w:r>
        <w:rPr>
          <w:bCs/>
          <w:szCs w:val="24"/>
        </w:rPr>
        <w:t>Agronomic Rate Guidance</w:t>
      </w:r>
    </w:p>
    <w:p w14:paraId="69520CE6" w14:textId="77777777" w:rsidR="00F17B48" w:rsidRPr="00D21BC8" w:rsidRDefault="00F17B48" w:rsidP="00BC13B3">
      <w:pPr>
        <w:pStyle w:val="ListParagraph"/>
        <w:numPr>
          <w:ilvl w:val="3"/>
          <w:numId w:val="81"/>
        </w:numPr>
        <w:suppressAutoHyphens/>
        <w:spacing w:afterLines="40" w:after="96"/>
        <w:ind w:left="360"/>
        <w:rPr>
          <w:bCs/>
          <w:szCs w:val="24"/>
        </w:rPr>
      </w:pPr>
      <w:r w:rsidRPr="00D21BC8">
        <w:rPr>
          <w:bCs/>
          <w:szCs w:val="24"/>
        </w:rPr>
        <w:t>County Onsite Wastewater Treatment System Technical Standards, Code, And Ordinance Resources</w:t>
      </w:r>
    </w:p>
    <w:p w14:paraId="228F6698" w14:textId="77777777" w:rsidR="00F86899" w:rsidRPr="00F86899" w:rsidRDefault="00F86899" w:rsidP="00F86899">
      <w:pPr>
        <w:ind w:left="0"/>
        <w:rPr>
          <w:b/>
          <w:bCs/>
        </w:rPr>
      </w:pPr>
      <w:r w:rsidRPr="00F676E6">
        <w:br w:type="page"/>
      </w:r>
      <w:r w:rsidRPr="00F86899">
        <w:rPr>
          <w:b/>
          <w:bCs/>
        </w:rPr>
        <w:t>REFERENCES</w:t>
      </w:r>
    </w:p>
    <w:p w14:paraId="20209A36" w14:textId="77777777" w:rsidR="00F86899" w:rsidRPr="00F86899" w:rsidRDefault="00F86899" w:rsidP="00F86899">
      <w:pPr>
        <w:ind w:left="0"/>
      </w:pPr>
    </w:p>
    <w:p w14:paraId="524E0DC4" w14:textId="77777777" w:rsidR="00CF654D" w:rsidRPr="00CF654D" w:rsidRDefault="00F86899" w:rsidP="00CF654D">
      <w:pPr>
        <w:pStyle w:val="Bibliography"/>
        <w:spacing w:after="120"/>
        <w:ind w:hanging="720"/>
        <w:rPr>
          <w:noProof/>
          <w:sz w:val="24"/>
          <w:szCs w:val="24"/>
        </w:rPr>
      </w:pPr>
      <w:r w:rsidRPr="00CF654D">
        <w:rPr>
          <w:sz w:val="24"/>
          <w:szCs w:val="24"/>
        </w:rPr>
        <w:fldChar w:fldCharType="begin"/>
      </w:r>
      <w:r w:rsidRPr="00CF654D">
        <w:rPr>
          <w:sz w:val="24"/>
          <w:szCs w:val="24"/>
        </w:rPr>
        <w:instrText xml:space="preserve"> BIBLIOGRAPHY  \l 1033 </w:instrText>
      </w:r>
      <w:r w:rsidRPr="00CF654D">
        <w:rPr>
          <w:sz w:val="24"/>
          <w:szCs w:val="24"/>
        </w:rPr>
        <w:fldChar w:fldCharType="separate"/>
      </w:r>
      <w:r w:rsidR="00CF654D" w:rsidRPr="00CF654D">
        <w:rPr>
          <w:noProof/>
          <w:sz w:val="24"/>
          <w:szCs w:val="24"/>
        </w:rPr>
        <w:t xml:space="preserve">Brown and Caldwell &amp; Kennedy/Jenks Consultants. (2007). </w:t>
      </w:r>
      <w:r w:rsidR="00CF654D" w:rsidRPr="00CF654D">
        <w:rPr>
          <w:i/>
          <w:iCs/>
          <w:noProof/>
          <w:sz w:val="24"/>
          <w:szCs w:val="24"/>
        </w:rPr>
        <w:t>Manual of Good Practice for Land Application of Food Processing/Rinse Water.</w:t>
      </w:r>
      <w:r w:rsidR="00CF654D" w:rsidRPr="00CF654D">
        <w:rPr>
          <w:noProof/>
          <w:sz w:val="24"/>
          <w:szCs w:val="24"/>
        </w:rPr>
        <w:t xml:space="preserve"> Prepared for California League of Food Processors.</w:t>
      </w:r>
    </w:p>
    <w:p w14:paraId="17730A66"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Buelow, M. S. (2015). Characterization of Winery Wastewater for Reuse in California. </w:t>
      </w:r>
      <w:r w:rsidRPr="00CF654D">
        <w:rPr>
          <w:i/>
          <w:iCs/>
          <w:noProof/>
          <w:sz w:val="24"/>
          <w:szCs w:val="24"/>
        </w:rPr>
        <w:t>American Society for Enology and Viticulture, 66</w:t>
      </w:r>
      <w:r w:rsidRPr="00CF654D">
        <w:rPr>
          <w:noProof/>
          <w:sz w:val="24"/>
          <w:szCs w:val="24"/>
        </w:rPr>
        <w:t>(3), pp. 302-310.</w:t>
      </w:r>
    </w:p>
    <w:p w14:paraId="336297A3" w14:textId="77777777" w:rsidR="00CF654D" w:rsidRPr="00CF654D" w:rsidRDefault="00CF654D" w:rsidP="00CF654D">
      <w:pPr>
        <w:pStyle w:val="Bibliography"/>
        <w:spacing w:after="120"/>
        <w:ind w:hanging="720"/>
        <w:rPr>
          <w:noProof/>
          <w:sz w:val="24"/>
          <w:szCs w:val="24"/>
        </w:rPr>
      </w:pPr>
      <w:r w:rsidRPr="00CF654D">
        <w:rPr>
          <w:noProof/>
          <w:sz w:val="24"/>
          <w:szCs w:val="24"/>
        </w:rPr>
        <w:t>Central Coast Regional Water Quality Control Board. (2008). General Waste Discharge Requirements for Discharges of Winery Waste Order No. R3-2008-0018.</w:t>
      </w:r>
    </w:p>
    <w:p w14:paraId="686024F9"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Crites, R., &amp; Tchobanoglous, G. (1998). </w:t>
      </w:r>
      <w:r w:rsidRPr="00CF654D">
        <w:rPr>
          <w:i/>
          <w:iCs/>
          <w:noProof/>
          <w:sz w:val="24"/>
          <w:szCs w:val="24"/>
        </w:rPr>
        <w:t>Small and Decentralized Wastewater Management Systems.</w:t>
      </w:r>
      <w:r w:rsidRPr="00CF654D">
        <w:rPr>
          <w:noProof/>
          <w:sz w:val="24"/>
          <w:szCs w:val="24"/>
        </w:rPr>
        <w:t xml:space="preserve"> WCB/McGraw-Hill.</w:t>
      </w:r>
    </w:p>
    <w:p w14:paraId="4B775FB7" w14:textId="77777777" w:rsidR="00CF654D" w:rsidRPr="00CF654D" w:rsidRDefault="00CF654D" w:rsidP="00CF654D">
      <w:pPr>
        <w:pStyle w:val="Bibliography"/>
        <w:spacing w:after="120"/>
        <w:ind w:hanging="720"/>
        <w:rPr>
          <w:noProof/>
          <w:sz w:val="24"/>
          <w:szCs w:val="24"/>
        </w:rPr>
      </w:pPr>
      <w:r w:rsidRPr="00CF654D">
        <w:rPr>
          <w:noProof/>
          <w:sz w:val="24"/>
          <w:szCs w:val="24"/>
        </w:rPr>
        <w:t>FSA Consulting. (2006, May). Best Practice Guide for Water and Waste Management in the Queensland Wine Industry. Brisbane, Queensland, Australia. Retrieved from http://www.fsaconsulting.net/pdfs/EPA_Wine_Industry_Best_Practice_water_use.pdf</w:t>
      </w:r>
    </w:p>
    <w:p w14:paraId="3D9FC19A"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Jenssen, P. D., &amp; Siegrist, R. L. (1990). Technology assessment of wastewater treatment by soil infiltration systems. </w:t>
      </w:r>
      <w:r w:rsidRPr="00CF654D">
        <w:rPr>
          <w:i/>
          <w:iCs/>
          <w:noProof/>
          <w:sz w:val="24"/>
          <w:szCs w:val="24"/>
        </w:rPr>
        <w:t>Water Science and Technology, 22</w:t>
      </w:r>
      <w:r w:rsidRPr="00CF654D">
        <w:rPr>
          <w:noProof/>
          <w:sz w:val="24"/>
          <w:szCs w:val="24"/>
        </w:rPr>
        <w:t>(3/4), 83-92.</w:t>
      </w:r>
    </w:p>
    <w:p w14:paraId="34D30DC8"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Julien, R. (2014). </w:t>
      </w:r>
      <w:r w:rsidRPr="00CF654D">
        <w:rPr>
          <w:i/>
          <w:iCs/>
          <w:noProof/>
          <w:sz w:val="24"/>
          <w:szCs w:val="24"/>
        </w:rPr>
        <w:t>Evaluation of Organic Loading and Hydraulic Rest Period of Food Processing Wastewater Irrigation to Prevent Mobilization of Transition Metals.</w:t>
      </w:r>
      <w:r w:rsidRPr="00CF654D">
        <w:rPr>
          <w:noProof/>
          <w:sz w:val="24"/>
          <w:szCs w:val="24"/>
        </w:rPr>
        <w:t xml:space="preserve"> Michigan State University.</w:t>
      </w:r>
    </w:p>
    <w:p w14:paraId="1FC48D85" w14:textId="77777777" w:rsidR="00CF654D" w:rsidRPr="00CF654D" w:rsidRDefault="00CF654D" w:rsidP="00CF654D">
      <w:pPr>
        <w:pStyle w:val="Bibliography"/>
        <w:spacing w:after="120"/>
        <w:ind w:hanging="720"/>
        <w:rPr>
          <w:noProof/>
          <w:sz w:val="24"/>
          <w:szCs w:val="24"/>
        </w:rPr>
      </w:pPr>
      <w:r w:rsidRPr="00CF654D">
        <w:rPr>
          <w:noProof/>
          <w:sz w:val="24"/>
          <w:szCs w:val="24"/>
        </w:rPr>
        <w:t>Kemker, C. (2014, March 03). Conductivity, Salinity and Total Dissolved Solids. Fundamentals of Environmental Measurements. Fondriest Environmental, Inc. Retrieved from http://www.fondriest.com/environmental-measurements/parameters/water-quality/conductivity-salinity-tds/</w:t>
      </w:r>
    </w:p>
    <w:p w14:paraId="5275F551"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Lesch, S. M., &amp; Suarez, D. L. (2009). A Short Note of Calculating the Adjusted SAR Index. </w:t>
      </w:r>
      <w:r w:rsidRPr="00CF654D">
        <w:rPr>
          <w:i/>
          <w:iCs/>
          <w:noProof/>
          <w:sz w:val="24"/>
          <w:szCs w:val="24"/>
        </w:rPr>
        <w:t>American Society of Agricultural and Biological Engineers, 52</w:t>
      </w:r>
      <w:r w:rsidRPr="00CF654D">
        <w:rPr>
          <w:noProof/>
          <w:sz w:val="24"/>
          <w:szCs w:val="24"/>
        </w:rPr>
        <w:t>(2), 493-496.</w:t>
      </w:r>
    </w:p>
    <w:p w14:paraId="125101A4"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Masclaux-Daubresse, C., Daniel-Vedele, F., Dechorgnat, J., Chardon, F., Gaufichon, L., &amp; Suzuki, A. (2010). Nitrogen uptake, assimilation and remobilization in plants: challenges for sustainable and productive agriculture. </w:t>
      </w:r>
      <w:r w:rsidRPr="00CF654D">
        <w:rPr>
          <w:i/>
          <w:iCs/>
          <w:noProof/>
          <w:sz w:val="24"/>
          <w:szCs w:val="24"/>
        </w:rPr>
        <w:t>Annals of Botany, 117</w:t>
      </w:r>
      <w:r w:rsidRPr="00CF654D">
        <w:rPr>
          <w:noProof/>
          <w:sz w:val="24"/>
          <w:szCs w:val="24"/>
        </w:rPr>
        <w:t>(3), 1141-1157.</w:t>
      </w:r>
    </w:p>
    <w:p w14:paraId="48B8A28E"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McDaniel, P. A. (2006). </w:t>
      </w:r>
      <w:r w:rsidRPr="00CF654D">
        <w:rPr>
          <w:i/>
          <w:iCs/>
          <w:noProof/>
          <w:sz w:val="24"/>
          <w:szCs w:val="24"/>
        </w:rPr>
        <w:t>Anaerobic Processes. Encyclopedia of Soil Science.</w:t>
      </w:r>
      <w:r w:rsidRPr="00CF654D">
        <w:rPr>
          <w:noProof/>
          <w:sz w:val="24"/>
          <w:szCs w:val="24"/>
        </w:rPr>
        <w:t xml:space="preserve"> Boca Raton, FL: Taylor &amp; Francis Group.</w:t>
      </w:r>
    </w:p>
    <w:p w14:paraId="6E410157"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Napa Sanitation District, &amp; Oakley Water Strategies. (2009). </w:t>
      </w:r>
      <w:r w:rsidRPr="00CF654D">
        <w:rPr>
          <w:i/>
          <w:iCs/>
          <w:noProof/>
          <w:sz w:val="24"/>
          <w:szCs w:val="24"/>
        </w:rPr>
        <w:t>Winery Waste Management - Technical Memorandum.</w:t>
      </w:r>
      <w:r w:rsidRPr="00CF654D">
        <w:rPr>
          <w:noProof/>
          <w:sz w:val="24"/>
          <w:szCs w:val="24"/>
        </w:rPr>
        <w:t xml:space="preserve"> </w:t>
      </w:r>
    </w:p>
    <w:p w14:paraId="4EDD6C0D"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Qasim, S. (1999). </w:t>
      </w:r>
      <w:r w:rsidRPr="00CF654D">
        <w:rPr>
          <w:i/>
          <w:iCs/>
          <w:noProof/>
          <w:sz w:val="24"/>
          <w:szCs w:val="24"/>
        </w:rPr>
        <w:t>Wastewater Treatment Plants Planning, Design, and Operation</w:t>
      </w:r>
      <w:r w:rsidRPr="00CF654D">
        <w:rPr>
          <w:noProof/>
          <w:sz w:val="24"/>
          <w:szCs w:val="24"/>
        </w:rPr>
        <w:t xml:space="preserve"> (Second ed.). Lancaster, Pennsylvania: Technomic Publishing Company, Inc.</w:t>
      </w:r>
    </w:p>
    <w:p w14:paraId="1F871BE5"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Smith, D. J. (2006). </w:t>
      </w:r>
      <w:r w:rsidRPr="00CF654D">
        <w:rPr>
          <w:i/>
          <w:iCs/>
          <w:noProof/>
          <w:sz w:val="24"/>
          <w:szCs w:val="24"/>
        </w:rPr>
        <w:t>EPA Process Design Manual Land Treatment of Municipal Wastewater Effluents</w:t>
      </w:r>
      <w:r w:rsidRPr="00CF654D">
        <w:rPr>
          <w:noProof/>
          <w:sz w:val="24"/>
          <w:szCs w:val="24"/>
        </w:rPr>
        <w:t xml:space="preserve"> (Vols. EPA/625/R-06/016).</w:t>
      </w:r>
    </w:p>
    <w:p w14:paraId="1D45EC9F" w14:textId="77777777" w:rsidR="00CF654D" w:rsidRPr="00CF654D" w:rsidRDefault="00CF654D" w:rsidP="00CF654D">
      <w:pPr>
        <w:pStyle w:val="Bibliography"/>
        <w:spacing w:after="120"/>
        <w:ind w:hanging="720"/>
        <w:rPr>
          <w:noProof/>
          <w:sz w:val="24"/>
          <w:szCs w:val="24"/>
        </w:rPr>
      </w:pPr>
      <w:r w:rsidRPr="00CF654D">
        <w:rPr>
          <w:noProof/>
          <w:sz w:val="24"/>
          <w:szCs w:val="24"/>
        </w:rPr>
        <w:t>State Board, C. S. (2014). Water Quality Order 2014-0153-DWQ General Waste Discharge Requirements for Discharges to Land by Small Domestic Systems.</w:t>
      </w:r>
    </w:p>
    <w:p w14:paraId="1E934DBB"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Tchobanoglous, G., &amp; Burton, F. (1991). </w:t>
      </w:r>
      <w:r w:rsidRPr="00CF654D">
        <w:rPr>
          <w:i/>
          <w:iCs/>
          <w:noProof/>
          <w:sz w:val="24"/>
          <w:szCs w:val="24"/>
        </w:rPr>
        <w:t>Metcalf and Eddy Wastewater Engineering Treatment, Disposal, and Reuse</w:t>
      </w:r>
      <w:r w:rsidRPr="00CF654D">
        <w:rPr>
          <w:noProof/>
          <w:sz w:val="24"/>
          <w:szCs w:val="24"/>
        </w:rPr>
        <w:t xml:space="preserve"> (3 ed.). McGraw-Hill.</w:t>
      </w:r>
    </w:p>
    <w:p w14:paraId="1419BABB"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U.S. Environmental Protection Agency. (2002). </w:t>
      </w:r>
      <w:r w:rsidRPr="00CF654D">
        <w:rPr>
          <w:i/>
          <w:iCs/>
          <w:noProof/>
          <w:sz w:val="24"/>
          <w:szCs w:val="24"/>
        </w:rPr>
        <w:t>Onsite Wastewater Treatment Systems Manual</w:t>
      </w:r>
      <w:r w:rsidRPr="00CF654D">
        <w:rPr>
          <w:noProof/>
          <w:sz w:val="24"/>
          <w:szCs w:val="24"/>
        </w:rPr>
        <w:t xml:space="preserve"> (Vols. EPA/625/R-00/008).</w:t>
      </w:r>
    </w:p>
    <w:p w14:paraId="3A1D4976" w14:textId="77777777" w:rsidR="00CF654D" w:rsidRPr="00CF654D" w:rsidRDefault="00CF654D" w:rsidP="00CF654D">
      <w:pPr>
        <w:pStyle w:val="Bibliography"/>
        <w:spacing w:after="120"/>
        <w:ind w:hanging="720"/>
        <w:rPr>
          <w:noProof/>
          <w:sz w:val="24"/>
          <w:szCs w:val="24"/>
        </w:rPr>
      </w:pPr>
      <w:r w:rsidRPr="00CF654D">
        <w:rPr>
          <w:noProof/>
          <w:sz w:val="24"/>
          <w:szCs w:val="24"/>
        </w:rPr>
        <w:t xml:space="preserve">Wine Institute. (2008). </w:t>
      </w:r>
      <w:r w:rsidRPr="00CF654D">
        <w:rPr>
          <w:i/>
          <w:iCs/>
          <w:noProof/>
          <w:sz w:val="24"/>
          <w:szCs w:val="24"/>
        </w:rPr>
        <w:t>Comprehensive Guide to Sustainable Managment of Winery Water and Associated Energy.</w:t>
      </w:r>
      <w:r w:rsidRPr="00CF654D">
        <w:rPr>
          <w:noProof/>
          <w:sz w:val="24"/>
          <w:szCs w:val="24"/>
        </w:rPr>
        <w:t xml:space="preserve"> San Francisco. Retrieved from http://www.wineinstitute.org/winerywaterguide</w:t>
      </w:r>
    </w:p>
    <w:p w14:paraId="1098102F" w14:textId="77777777" w:rsidR="00CF654D" w:rsidRPr="00CF654D" w:rsidRDefault="00CF654D" w:rsidP="00CF654D">
      <w:pPr>
        <w:pStyle w:val="Bibliography"/>
        <w:spacing w:after="120"/>
        <w:ind w:hanging="720"/>
        <w:rPr>
          <w:noProof/>
          <w:sz w:val="24"/>
          <w:szCs w:val="24"/>
        </w:rPr>
      </w:pPr>
      <w:r w:rsidRPr="00CF654D">
        <w:rPr>
          <w:noProof/>
          <w:sz w:val="24"/>
          <w:szCs w:val="24"/>
        </w:rPr>
        <w:t>Zoecklein, D. B. (2010, August 9). Enology Notes #155. Wine / Enology Grape Chemistry Group. Blacksburg, Virginia. Retrieved from http://www.apps.fst.vt.edu/extension/enology/EN/155.html#5</w:t>
      </w:r>
    </w:p>
    <w:p w14:paraId="2C7917E3" w14:textId="504C2716" w:rsidR="00063478" w:rsidRPr="006008DB" w:rsidRDefault="00F86899" w:rsidP="00CF654D">
      <w:pPr>
        <w:spacing w:after="120"/>
        <w:ind w:left="0"/>
      </w:pPr>
      <w:r w:rsidRPr="00CF654D">
        <w:fldChar w:fldCharType="end"/>
      </w:r>
    </w:p>
    <w:p w14:paraId="2FB76FD3" w14:textId="77777777" w:rsidR="00063478" w:rsidRPr="0003370C" w:rsidRDefault="00063478" w:rsidP="00D64AC7">
      <w:pPr>
        <w:ind w:left="0"/>
      </w:pPr>
    </w:p>
    <w:sectPr w:rsidR="00063478" w:rsidRPr="0003370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3654" w14:textId="77777777" w:rsidR="003F28D0" w:rsidRDefault="003F28D0" w:rsidP="00567627">
      <w:r>
        <w:separator/>
      </w:r>
    </w:p>
  </w:endnote>
  <w:endnote w:type="continuationSeparator" w:id="0">
    <w:p w14:paraId="4A63F348" w14:textId="77777777" w:rsidR="003F28D0" w:rsidRDefault="003F28D0" w:rsidP="00567627">
      <w:r>
        <w:continuationSeparator/>
      </w:r>
    </w:p>
  </w:endnote>
  <w:endnote w:type="continuationNotice" w:id="1">
    <w:p w14:paraId="764ED99F" w14:textId="77777777" w:rsidR="003F28D0" w:rsidRDefault="003F2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9C25" w14:textId="77777777" w:rsidR="003F28D0" w:rsidRDefault="003F2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474793"/>
      <w:docPartObj>
        <w:docPartGallery w:val="Page Numbers (Bottom of Page)"/>
        <w:docPartUnique/>
      </w:docPartObj>
    </w:sdtPr>
    <w:sdtEndPr>
      <w:rPr>
        <w:noProof/>
      </w:rPr>
    </w:sdtEndPr>
    <w:sdtContent>
      <w:p w14:paraId="744D5299" w14:textId="64AEAE63" w:rsidR="003F28D0" w:rsidRDefault="003F28D0">
        <w:pPr>
          <w:pStyle w:val="Footer"/>
          <w:jc w:val="center"/>
        </w:pPr>
        <w:r>
          <w:fldChar w:fldCharType="begin"/>
        </w:r>
        <w:r>
          <w:instrText xml:space="preserve"> PAGE   \* MERGEFORMAT </w:instrText>
        </w:r>
        <w:r>
          <w:fldChar w:fldCharType="separate"/>
        </w:r>
        <w:r w:rsidR="00D237CC">
          <w:rPr>
            <w:noProof/>
          </w:rPr>
          <w:t>42</w:t>
        </w:r>
        <w:r>
          <w:rPr>
            <w:noProof/>
          </w:rPr>
          <w:fldChar w:fldCharType="end"/>
        </w:r>
      </w:p>
    </w:sdtContent>
  </w:sdt>
  <w:p w14:paraId="7BF9D6C1" w14:textId="39D3255E" w:rsidR="003F28D0" w:rsidRDefault="003F2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A708" w14:textId="77777777" w:rsidR="003F28D0" w:rsidRDefault="003F2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D7568" w14:textId="77777777" w:rsidR="003F28D0" w:rsidRDefault="003F28D0" w:rsidP="00567627">
      <w:r>
        <w:separator/>
      </w:r>
    </w:p>
  </w:footnote>
  <w:footnote w:type="continuationSeparator" w:id="0">
    <w:p w14:paraId="20D09B63" w14:textId="77777777" w:rsidR="003F28D0" w:rsidRDefault="003F28D0" w:rsidP="00567627">
      <w:r>
        <w:continuationSeparator/>
      </w:r>
    </w:p>
  </w:footnote>
  <w:footnote w:type="continuationNotice" w:id="1">
    <w:p w14:paraId="7545BD60" w14:textId="77777777" w:rsidR="003F28D0" w:rsidRDefault="003F28D0"/>
  </w:footnote>
  <w:footnote w:id="2">
    <w:p w14:paraId="1969786E" w14:textId="77777777" w:rsidR="003F28D0" w:rsidRDefault="003F28D0" w:rsidP="0094383D">
      <w:pPr>
        <w:pStyle w:val="FootnoteText"/>
        <w:ind w:left="0"/>
      </w:pPr>
      <w:r>
        <w:rPr>
          <w:rStyle w:val="FootnoteReference"/>
        </w:rPr>
        <w:footnoteRef/>
      </w:r>
      <w:r>
        <w:t xml:space="preserve"> General Waste Discharge Requirements for Composting Operations, Order No. WQ 2015-0121-DWQ can be accessed at </w:t>
      </w:r>
      <w:hyperlink r:id="rId1" w:history="1">
        <w:r w:rsidRPr="00C915EB">
          <w:rPr>
            <w:rStyle w:val="Hyperlink"/>
            <w:rFonts w:eastAsiaTheme="majorEastAsia"/>
          </w:rPr>
          <w:t>http://www.waterboards.ca.gov/board_decisions/adopted_orders/water_quality/2015/wqo2015_0121_dwq.pdf</w:t>
        </w:r>
      </w:hyperlink>
      <w:r>
        <w:t xml:space="preserve">. </w:t>
      </w:r>
    </w:p>
  </w:footnote>
  <w:footnote w:id="3">
    <w:p w14:paraId="274D032E" w14:textId="091A79F3" w:rsidR="003F28D0" w:rsidRPr="0094383D" w:rsidRDefault="003F28D0" w:rsidP="00063478">
      <w:pPr>
        <w:pStyle w:val="OrderItem"/>
        <w:ind w:left="0" w:firstLine="0"/>
        <w:rPr>
          <w:color w:val="0000FF"/>
          <w:sz w:val="20"/>
          <w:u w:val="single"/>
        </w:rPr>
      </w:pPr>
      <w:r w:rsidRPr="0094383D">
        <w:rPr>
          <w:rStyle w:val="FootnoteReference"/>
          <w:sz w:val="20"/>
        </w:rPr>
        <w:footnoteRef/>
      </w:r>
      <w:r w:rsidRPr="0094383D">
        <w:rPr>
          <w:sz w:val="20"/>
        </w:rPr>
        <w:t xml:space="preserve"> Certified California Sustainable Winegrowing program information is accessible online at </w:t>
      </w:r>
      <w:hyperlink r:id="rId2" w:history="1">
        <w:r w:rsidRPr="0094383D">
          <w:rPr>
            <w:rStyle w:val="Hyperlink"/>
            <w:rFonts w:eastAsiaTheme="majorEastAsia"/>
            <w:sz w:val="20"/>
          </w:rPr>
          <w:t>http://www.sustainablewinegrowing.org/certified-sustainable-winegrowing.php</w:t>
        </w:r>
      </w:hyperlink>
    </w:p>
  </w:footnote>
  <w:footnote w:id="4">
    <w:p w14:paraId="5153295D" w14:textId="32F0CCF6" w:rsidR="003F28D0" w:rsidRPr="0094383D" w:rsidRDefault="003F28D0" w:rsidP="00063478">
      <w:pPr>
        <w:pStyle w:val="OrderItem"/>
        <w:spacing w:after="0"/>
        <w:ind w:left="0" w:firstLine="0"/>
        <w:rPr>
          <w:rStyle w:val="Hyperlink"/>
          <w:color w:val="auto"/>
          <w:sz w:val="20"/>
          <w:u w:val="none"/>
        </w:rPr>
      </w:pPr>
      <w:r w:rsidRPr="0094383D">
        <w:rPr>
          <w:rStyle w:val="FootnoteReference"/>
          <w:sz w:val="20"/>
        </w:rPr>
        <w:footnoteRef/>
      </w:r>
      <w:r w:rsidRPr="0094383D">
        <w:rPr>
          <w:sz w:val="20"/>
        </w:rPr>
        <w:t xml:space="preserve"> Sustainability in Practice Certified Sustainable Winery Certification program information is accessible online at </w:t>
      </w:r>
      <w:hyperlink r:id="rId3" w:history="1">
        <w:r w:rsidRPr="0094383D">
          <w:rPr>
            <w:rStyle w:val="Hyperlink"/>
            <w:rFonts w:eastAsiaTheme="majorEastAsia"/>
            <w:sz w:val="20"/>
          </w:rPr>
          <w:t>http://www.sipcertified.org/</w:t>
        </w:r>
      </w:hyperlink>
    </w:p>
    <w:p w14:paraId="7E66A7BA" w14:textId="77777777" w:rsidR="003F28D0" w:rsidRDefault="003F28D0" w:rsidP="00063478">
      <w:pPr>
        <w:pStyle w:val="FootnoteText"/>
      </w:pPr>
    </w:p>
  </w:footnote>
  <w:footnote w:id="5">
    <w:p w14:paraId="450ED212" w14:textId="77777777" w:rsidR="003F28D0" w:rsidRPr="00003DE1" w:rsidRDefault="003F28D0" w:rsidP="000E7751">
      <w:pPr>
        <w:pStyle w:val="FootnoteText"/>
        <w:ind w:left="0"/>
        <w:rPr>
          <w:sz w:val="18"/>
          <w:szCs w:val="18"/>
        </w:rPr>
      </w:pPr>
      <w:r w:rsidRPr="000E7751">
        <w:rPr>
          <w:rStyle w:val="FootnoteReference"/>
        </w:rPr>
        <w:footnoteRef/>
      </w:r>
      <w:r w:rsidRPr="000E7751">
        <w:t xml:space="preserve"> </w:t>
      </w:r>
      <w:proofErr w:type="gramStart"/>
      <w:r w:rsidRPr="000E7751">
        <w:t>s.u</w:t>
      </w:r>
      <w:proofErr w:type="gramEnd"/>
      <w:r w:rsidRPr="000E7751">
        <w:t xml:space="preserve">. denotes standard units as the unit of measurement for </w:t>
      </w:r>
      <w:proofErr w:type="spellStart"/>
      <w:r w:rsidRPr="000E7751">
        <w:t>pH.</w:t>
      </w:r>
      <w:proofErr w:type="spellEnd"/>
    </w:p>
  </w:footnote>
  <w:footnote w:id="6">
    <w:p w14:paraId="3CD3D47B" w14:textId="77777777" w:rsidR="003F28D0" w:rsidRPr="000E7751" w:rsidRDefault="003F28D0" w:rsidP="00BF2B01">
      <w:pPr>
        <w:pStyle w:val="FootnoteText"/>
        <w:ind w:left="0"/>
      </w:pPr>
      <w:r w:rsidRPr="000E7751">
        <w:rPr>
          <w:rStyle w:val="FootnoteReference"/>
        </w:rPr>
        <w:footnoteRef/>
      </w:r>
      <w:r w:rsidRPr="000E7751">
        <w:t xml:space="preserve"> Source: Zone 7 Water Agency 2015 Nutrient Management Plan, page 68 and Figure 6-6.</w:t>
      </w:r>
    </w:p>
  </w:footnote>
  <w:footnote w:id="7">
    <w:p w14:paraId="0E21E7A5" w14:textId="77777777" w:rsidR="003F28D0" w:rsidRDefault="003F28D0" w:rsidP="00CA1F25">
      <w:pPr>
        <w:pStyle w:val="FootnoteText"/>
        <w:ind w:left="0"/>
      </w:pPr>
      <w:r>
        <w:rPr>
          <w:rStyle w:val="FootnoteReference"/>
        </w:rPr>
        <w:footnoteRef/>
      </w:r>
      <w:r>
        <w:t xml:space="preserve"> </w:t>
      </w:r>
      <w:r w:rsidRPr="00003DE1">
        <w:rPr>
          <w:sz w:val="18"/>
          <w:szCs w:val="18"/>
        </w:rPr>
        <w:t xml:space="preserve">The sodium concentration of 3 </w:t>
      </w:r>
      <w:proofErr w:type="spellStart"/>
      <w:r w:rsidRPr="00003DE1">
        <w:rPr>
          <w:sz w:val="18"/>
          <w:szCs w:val="18"/>
        </w:rPr>
        <w:t>dS</w:t>
      </w:r>
      <w:proofErr w:type="spellEnd"/>
      <w:r w:rsidRPr="00003DE1">
        <w:rPr>
          <w:sz w:val="18"/>
          <w:szCs w:val="18"/>
        </w:rPr>
        <w:t>/cm</w:t>
      </w:r>
      <w:r>
        <w:rPr>
          <w:sz w:val="18"/>
          <w:szCs w:val="18"/>
        </w:rPr>
        <w:t xml:space="preserve"> (or 0.3 </w:t>
      </w:r>
      <w:proofErr w:type="spellStart"/>
      <w:r>
        <w:rPr>
          <w:sz w:val="18"/>
          <w:szCs w:val="18"/>
        </w:rPr>
        <w:t>dS</w:t>
      </w:r>
      <w:proofErr w:type="spellEnd"/>
      <w:r>
        <w:rPr>
          <w:sz w:val="18"/>
          <w:szCs w:val="18"/>
        </w:rPr>
        <w:t>/meter)</w:t>
      </w:r>
      <w:r w:rsidRPr="00003DE1">
        <w:rPr>
          <w:sz w:val="18"/>
          <w:szCs w:val="18"/>
        </w:rPr>
        <w:t xml:space="preserve"> and the maximum electrical conductivity value of 1 </w:t>
      </w:r>
      <w:proofErr w:type="spellStart"/>
      <w:r w:rsidRPr="00003DE1">
        <w:rPr>
          <w:sz w:val="18"/>
          <w:szCs w:val="18"/>
        </w:rPr>
        <w:t>dS</w:t>
      </w:r>
      <w:proofErr w:type="spellEnd"/>
      <w:r w:rsidRPr="00003DE1">
        <w:rPr>
          <w:sz w:val="18"/>
          <w:szCs w:val="18"/>
        </w:rPr>
        <w:t xml:space="preserve">/cm </w:t>
      </w:r>
      <w:r>
        <w:rPr>
          <w:sz w:val="18"/>
          <w:szCs w:val="18"/>
        </w:rPr>
        <w:t xml:space="preserve">(or 0.1 </w:t>
      </w:r>
      <w:proofErr w:type="spellStart"/>
      <w:r>
        <w:rPr>
          <w:sz w:val="18"/>
          <w:szCs w:val="18"/>
        </w:rPr>
        <w:t>dS</w:t>
      </w:r>
      <w:proofErr w:type="spellEnd"/>
      <w:r>
        <w:rPr>
          <w:sz w:val="18"/>
          <w:szCs w:val="18"/>
        </w:rPr>
        <w:t xml:space="preserve">/meter) </w:t>
      </w:r>
      <w:r w:rsidRPr="00003DE1">
        <w:rPr>
          <w:sz w:val="18"/>
          <w:szCs w:val="18"/>
        </w:rPr>
        <w:t xml:space="preserve">were recommended by </w:t>
      </w:r>
      <w:proofErr w:type="spellStart"/>
      <w:r w:rsidRPr="00003DE1">
        <w:rPr>
          <w:sz w:val="18"/>
          <w:szCs w:val="18"/>
        </w:rPr>
        <w:t>Buelow</w:t>
      </w:r>
      <w:proofErr w:type="spellEnd"/>
      <w:r w:rsidRPr="00003DE1">
        <w:rPr>
          <w:sz w:val="18"/>
          <w:szCs w:val="18"/>
        </w:rPr>
        <w:t xml:space="preserve"> et al. as the most common risk scenario for California wineries and negative impacts to soil permeability due to sodium accumulation.</w:t>
      </w:r>
    </w:p>
  </w:footnote>
  <w:footnote w:id="8">
    <w:p w14:paraId="16A913BD" w14:textId="069AAEA6" w:rsidR="003F28D0" w:rsidRPr="000B31B4" w:rsidRDefault="003F28D0" w:rsidP="0094383D">
      <w:pPr>
        <w:pStyle w:val="FootnoteText"/>
        <w:ind w:left="0"/>
        <w:rPr>
          <w:sz w:val="18"/>
          <w:szCs w:val="18"/>
        </w:rPr>
      </w:pPr>
      <w:r w:rsidRPr="000B31B4">
        <w:rPr>
          <w:rStyle w:val="FootnoteReference"/>
          <w:rFonts w:eastAsiaTheme="majorEastAsia"/>
          <w:sz w:val="18"/>
          <w:szCs w:val="18"/>
        </w:rPr>
        <w:footnoteRef/>
      </w:r>
      <w:r w:rsidRPr="000B31B4">
        <w:rPr>
          <w:sz w:val="18"/>
          <w:szCs w:val="18"/>
        </w:rPr>
        <w:t xml:space="preserve"> </w:t>
      </w:r>
      <w:proofErr w:type="spellStart"/>
      <w:proofErr w:type="gramStart"/>
      <w:r w:rsidRPr="000B31B4">
        <w:rPr>
          <w:sz w:val="18"/>
          <w:szCs w:val="18"/>
        </w:rPr>
        <w:t>dS</w:t>
      </w:r>
      <w:proofErr w:type="spellEnd"/>
      <w:r w:rsidRPr="000B31B4">
        <w:rPr>
          <w:sz w:val="18"/>
          <w:szCs w:val="18"/>
        </w:rPr>
        <w:t>/m</w:t>
      </w:r>
      <w:proofErr w:type="gramEnd"/>
      <w:r w:rsidRPr="000B31B4">
        <w:rPr>
          <w:sz w:val="18"/>
          <w:szCs w:val="18"/>
        </w:rPr>
        <w:t xml:space="preserve"> is the unit of measurement </w:t>
      </w:r>
      <w:proofErr w:type="spellStart"/>
      <w:r w:rsidRPr="000B31B4">
        <w:rPr>
          <w:sz w:val="18"/>
          <w:szCs w:val="18"/>
        </w:rPr>
        <w:t>deciSiemen</w:t>
      </w:r>
      <w:proofErr w:type="spellEnd"/>
      <w:r w:rsidRPr="000B31B4">
        <w:rPr>
          <w:sz w:val="18"/>
          <w:szCs w:val="18"/>
        </w:rPr>
        <w:t xml:space="preserve"> per meter. </w:t>
      </w:r>
      <w:r>
        <w:rPr>
          <w:sz w:val="18"/>
          <w:szCs w:val="18"/>
        </w:rPr>
        <w:t xml:space="preserve">µS/cm is the unit of measurement </w:t>
      </w:r>
      <w:proofErr w:type="spellStart"/>
      <w:r w:rsidRPr="000B31B4">
        <w:rPr>
          <w:sz w:val="18"/>
          <w:szCs w:val="18"/>
        </w:rPr>
        <w:t>microSiem</w:t>
      </w:r>
      <w:r>
        <w:rPr>
          <w:sz w:val="18"/>
          <w:szCs w:val="18"/>
        </w:rPr>
        <w:t>e</w:t>
      </w:r>
      <w:r w:rsidRPr="000B31B4">
        <w:rPr>
          <w:sz w:val="18"/>
          <w:szCs w:val="18"/>
        </w:rPr>
        <w:t>n</w:t>
      </w:r>
      <w:proofErr w:type="spellEnd"/>
      <w:r w:rsidRPr="000B31B4">
        <w:rPr>
          <w:sz w:val="18"/>
          <w:szCs w:val="18"/>
        </w:rPr>
        <w:t xml:space="preserve"> per centimeter</w:t>
      </w:r>
      <w:r>
        <w:rPr>
          <w:sz w:val="18"/>
          <w:szCs w:val="18"/>
        </w:rPr>
        <w:t>.</w:t>
      </w:r>
    </w:p>
    <w:p w14:paraId="6F6707A8" w14:textId="77777777" w:rsidR="003F28D0" w:rsidRDefault="003F28D0" w:rsidP="0094383D">
      <w:pPr>
        <w:pStyle w:val="FootnoteText"/>
        <w:ind w:left="0"/>
      </w:pPr>
      <w:r w:rsidRPr="000B31B4">
        <w:rPr>
          <w:sz w:val="18"/>
          <w:szCs w:val="18"/>
        </w:rPr>
        <w:t xml:space="preserve">1 </w:t>
      </w:r>
      <w:proofErr w:type="spellStart"/>
      <w:r w:rsidRPr="000B31B4">
        <w:rPr>
          <w:sz w:val="18"/>
          <w:szCs w:val="18"/>
        </w:rPr>
        <w:t>dS</w:t>
      </w:r>
      <w:proofErr w:type="spellEnd"/>
      <w:r w:rsidRPr="000B31B4">
        <w:rPr>
          <w:sz w:val="18"/>
          <w:szCs w:val="18"/>
        </w:rPr>
        <w:t xml:space="preserve">/m = 1,000 µS/cm. </w:t>
      </w:r>
      <w:r>
        <w:rPr>
          <w:sz w:val="18"/>
          <w:szCs w:val="18"/>
        </w:rPr>
        <w:t>Conversion example:</w:t>
      </w:r>
      <w:r w:rsidRPr="000B31B4">
        <w:rPr>
          <w:sz w:val="18"/>
          <w:szCs w:val="18"/>
        </w:rPr>
        <w:t xml:space="preserve"> 0.3 </w:t>
      </w:r>
      <w:proofErr w:type="spellStart"/>
      <w:r w:rsidRPr="000B31B4">
        <w:rPr>
          <w:sz w:val="18"/>
          <w:szCs w:val="18"/>
        </w:rPr>
        <w:t>dS</w:t>
      </w:r>
      <w:proofErr w:type="spellEnd"/>
      <w:r w:rsidRPr="000B31B4">
        <w:rPr>
          <w:sz w:val="18"/>
          <w:szCs w:val="18"/>
        </w:rPr>
        <w:t>/cm = 3,000 µS/cm</w:t>
      </w:r>
    </w:p>
  </w:footnote>
  <w:footnote w:id="9">
    <w:p w14:paraId="643301A6" w14:textId="77777777" w:rsidR="003F28D0" w:rsidRDefault="003F28D0" w:rsidP="0094383D">
      <w:pPr>
        <w:pStyle w:val="FootnoteText"/>
        <w:ind w:left="0"/>
      </w:pPr>
      <w:r>
        <w:rPr>
          <w:rStyle w:val="FootnoteReference"/>
        </w:rPr>
        <w:footnoteRef/>
      </w:r>
      <w:r>
        <w:t xml:space="preserve"> </w:t>
      </w:r>
      <w:r w:rsidRPr="00F8287A">
        <w:rPr>
          <w:sz w:val="18"/>
          <w:szCs w:val="18"/>
        </w:rPr>
        <w:t>Guidelines for the Preparation of an Engineering Report for the Production, Distribut</w:t>
      </w:r>
      <w:r>
        <w:rPr>
          <w:sz w:val="18"/>
          <w:szCs w:val="18"/>
        </w:rPr>
        <w:t>ion and Use of Recycled Water are</w:t>
      </w:r>
      <w:r w:rsidRPr="00F8287A">
        <w:rPr>
          <w:sz w:val="18"/>
          <w:szCs w:val="18"/>
        </w:rPr>
        <w:t xml:space="preserve"> accessible at http://www.waterboards.ca.gov/drinking_water/certlic/drinkingwater/documents/recharge/ERGUIDE2001.pdf</w:t>
      </w:r>
      <w:r>
        <w:rPr>
          <w:sz w:val="18"/>
          <w:szCs w:val="18"/>
        </w:rPr>
        <w:t>.</w:t>
      </w:r>
    </w:p>
  </w:footnote>
  <w:footnote w:id="10">
    <w:p w14:paraId="13D31D11" w14:textId="77777777" w:rsidR="003F28D0" w:rsidRPr="00D12E40" w:rsidRDefault="003F28D0" w:rsidP="0094383D">
      <w:pPr>
        <w:pStyle w:val="FootnoteText"/>
        <w:ind w:left="0"/>
        <w:rPr>
          <w:sz w:val="18"/>
          <w:szCs w:val="18"/>
        </w:rPr>
      </w:pPr>
      <w:r w:rsidRPr="00D12E40">
        <w:rPr>
          <w:rStyle w:val="FootnoteReference"/>
          <w:sz w:val="18"/>
          <w:szCs w:val="18"/>
        </w:rPr>
        <w:footnoteRef/>
      </w:r>
      <w:r w:rsidRPr="00D12E40">
        <w:rPr>
          <w:sz w:val="18"/>
          <w:szCs w:val="18"/>
        </w:rPr>
        <w:t xml:space="preserve"> The State Water Board’s Order WQ 2015-0121-DWQ, General Waste Discharge Requirements for Composting Operations, dated August 4, 2015, can be accessed online at http://www.waterboards.ca.gov/board_decisions/adopted_orders/water_quality/2015/wqo2015_0121_dwq.pdf</w:t>
      </w:r>
    </w:p>
  </w:footnote>
  <w:footnote w:id="11">
    <w:p w14:paraId="0334B744" w14:textId="53118211" w:rsidR="003F28D0" w:rsidRPr="003C145B" w:rsidRDefault="003F28D0" w:rsidP="003C145B">
      <w:pPr>
        <w:pStyle w:val="FootnoteText"/>
        <w:ind w:left="0"/>
      </w:pPr>
      <w:r w:rsidRPr="003C145B">
        <w:rPr>
          <w:rStyle w:val="FootnoteReference"/>
        </w:rPr>
        <w:footnoteRef/>
      </w:r>
      <w:r w:rsidRPr="003C145B">
        <w:t xml:space="preserve"> Chapter 1.7 of the U.S. EPA Process Design Manual for Land Application of Municipal Wastewater Effluents contains information the limiting design parameter concept and is accessible online at https://nepis.epa.gov/Exe/ZyPDF.cgi/2000ZYD5.PDF?Dockey=2000ZYD5.PDF</w:t>
      </w:r>
      <w:r>
        <w:t>.</w:t>
      </w:r>
    </w:p>
  </w:footnote>
  <w:footnote w:id="12">
    <w:p w14:paraId="250ECDE6" w14:textId="77777777" w:rsidR="003F28D0" w:rsidRPr="0094383D" w:rsidRDefault="003F28D0" w:rsidP="0094383D">
      <w:pPr>
        <w:pStyle w:val="FootnoteText"/>
        <w:ind w:left="0"/>
      </w:pPr>
      <w:r w:rsidRPr="003C145B">
        <w:rPr>
          <w:rStyle w:val="FootnoteReference"/>
        </w:rPr>
        <w:footnoteRef/>
      </w:r>
      <w:r w:rsidRPr="003C145B">
        <w:t xml:space="preserve"> U.S. Environmental Protection Agency onsite wastewater treatment and disposal systems resources can be accessed online at https://www.epa.gov/septic/onsite-wastewater-treatment-and-disposal-systems.</w:t>
      </w:r>
    </w:p>
  </w:footnote>
  <w:footnote w:id="13">
    <w:p w14:paraId="6FA02DE3" w14:textId="6B318182" w:rsidR="003F28D0" w:rsidRPr="004F63A4" w:rsidRDefault="003F28D0" w:rsidP="0092694A">
      <w:pPr>
        <w:pStyle w:val="FootnoteText"/>
        <w:ind w:left="0"/>
      </w:pPr>
      <w:r>
        <w:rPr>
          <w:rStyle w:val="FootnoteReference"/>
        </w:rPr>
        <w:footnoteRef/>
      </w:r>
      <w:r>
        <w:t xml:space="preserve"> </w:t>
      </w:r>
      <w:r w:rsidRPr="004F63A4">
        <w:t xml:space="preserve">  Source: Wine Institute, Kennedy/Jenks Consultants. 2004. Land Application of Winery Stillage and Non-Stillage Process Water: Study Results and Proposed Guidelines. Chapter 5.</w:t>
      </w:r>
    </w:p>
  </w:footnote>
  <w:footnote w:id="14">
    <w:p w14:paraId="348E5DE6" w14:textId="15A0A12D" w:rsidR="003F28D0" w:rsidRDefault="003F28D0" w:rsidP="0092694A">
      <w:pPr>
        <w:pStyle w:val="FootnoteText"/>
        <w:ind w:left="0"/>
      </w:pPr>
      <w:r>
        <w:rPr>
          <w:rStyle w:val="FootnoteReference"/>
        </w:rPr>
        <w:footnoteRef/>
      </w:r>
      <w:r>
        <w:t xml:space="preserve"> A Natural Resources Conservation Service soil survey report is accessible online at </w:t>
      </w:r>
      <w:r w:rsidRPr="004F63A4">
        <w:t>https://websoilsurvey.sc.egov.usda.gov/</w:t>
      </w:r>
      <w:r>
        <w:t>.</w:t>
      </w:r>
    </w:p>
  </w:footnote>
  <w:footnote w:id="15">
    <w:p w14:paraId="5B7B1A71" w14:textId="3E2C3808" w:rsidR="003F28D0" w:rsidRDefault="003F28D0" w:rsidP="0092694A">
      <w:pPr>
        <w:pStyle w:val="FootnoteText"/>
        <w:ind w:left="0"/>
      </w:pPr>
      <w:r>
        <w:rPr>
          <w:rStyle w:val="FootnoteReference"/>
        </w:rPr>
        <w:footnoteRef/>
      </w:r>
      <w:r>
        <w:t xml:space="preserve"> Title 22 of the California Code of Regulations is accessible online at </w:t>
      </w:r>
      <w:r w:rsidRPr="0092694A">
        <w:t>http://www.waterboards.ca.gov/drinking_water/certlic/drinkingwater/Lawbook.shtml</w:t>
      </w:r>
      <w:r>
        <w:t>.</w:t>
      </w:r>
    </w:p>
  </w:footnote>
  <w:footnote w:id="16">
    <w:p w14:paraId="776D5757" w14:textId="77777777" w:rsidR="003F28D0" w:rsidRDefault="003F28D0" w:rsidP="0094383D">
      <w:pPr>
        <w:pStyle w:val="FootnoteText"/>
        <w:ind w:left="0"/>
      </w:pPr>
      <w:r>
        <w:rPr>
          <w:rStyle w:val="FootnoteReference"/>
        </w:rPr>
        <w:footnoteRef/>
      </w:r>
      <w:r>
        <w:t xml:space="preserve"> The seepage rate of 1x10</w:t>
      </w:r>
      <w:r w:rsidRPr="00CE0D77">
        <w:rPr>
          <w:vertAlign w:val="superscript"/>
        </w:rPr>
        <w:t>-6</w:t>
      </w:r>
      <w:r>
        <w:t xml:space="preserve"> cm/sec per the California National Resources Conservation Service Conservation Practice Standard 313, which is accessible at </w:t>
      </w:r>
      <w:r w:rsidRPr="00346BAF">
        <w:t>https://efotg.sc.egov.usda.gov/references/public/CA/313-std-ca-01-14.pdf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F747" w14:textId="4F072344" w:rsidR="003F28D0" w:rsidRDefault="003F28D0">
    <w:pPr>
      <w:pStyle w:val="Header"/>
    </w:pPr>
    <w:r>
      <w:rPr>
        <w:noProof/>
      </w:rPr>
      <w:pict w14:anchorId="0552A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5610" o:spid="_x0000_s2050" type="#_x0000_t136" style="position:absolute;left:0;text-align:left;margin-left:0;margin-top:0;width:201pt;height:66.75pt;z-index:-25165516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A01D" w14:textId="3F983CCC" w:rsidR="003F28D0" w:rsidRDefault="003F28D0">
    <w:pPr>
      <w:pStyle w:val="Header"/>
    </w:pPr>
    <w:r>
      <w:rPr>
        <w:noProof/>
      </w:rPr>
      <w:pict w14:anchorId="60769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5611" o:spid="_x0000_s2051" type="#_x0000_t136" style="position:absolute;left:0;text-align:left;margin-left:0;margin-top:0;width:201pt;height:66.75pt;z-index:-25165312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2D7C" w14:textId="6FC054C6" w:rsidR="003F28D0" w:rsidRDefault="003F28D0">
    <w:pPr>
      <w:pStyle w:val="Header"/>
    </w:pPr>
    <w:r>
      <w:rPr>
        <w:noProof/>
      </w:rPr>
      <w:pict w14:anchorId="7897B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5609" o:spid="_x0000_s2049" type="#_x0000_t136" style="position:absolute;left:0;text-align:left;margin-left:0;margin-top:0;width:201pt;height:66.75pt;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26E"/>
    <w:multiLevelType w:val="hybridMultilevel"/>
    <w:tmpl w:val="B436E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A30EF"/>
    <w:multiLevelType w:val="hybridMultilevel"/>
    <w:tmpl w:val="295E5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1CD"/>
    <w:multiLevelType w:val="singleLevel"/>
    <w:tmpl w:val="04090019"/>
    <w:lvl w:ilvl="0">
      <w:start w:val="1"/>
      <w:numFmt w:val="lowerLetter"/>
      <w:lvlText w:val="%1."/>
      <w:lvlJc w:val="left"/>
      <w:pPr>
        <w:ind w:left="720" w:hanging="360"/>
      </w:pPr>
      <w:rPr>
        <w:b w:val="0"/>
        <w:i w:val="0"/>
      </w:rPr>
    </w:lvl>
  </w:abstractNum>
  <w:abstractNum w:abstractNumId="3" w15:restartNumberingAfterBreak="0">
    <w:nsid w:val="05AF4418"/>
    <w:multiLevelType w:val="hybridMultilevel"/>
    <w:tmpl w:val="5E44B7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F77EF0"/>
    <w:multiLevelType w:val="hybridMultilevel"/>
    <w:tmpl w:val="885CD45E"/>
    <w:lvl w:ilvl="0" w:tplc="C69AA2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411DB9"/>
    <w:multiLevelType w:val="hybridMultilevel"/>
    <w:tmpl w:val="89E0D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23261"/>
    <w:multiLevelType w:val="multilevel"/>
    <w:tmpl w:val="2BC8F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D57227"/>
    <w:multiLevelType w:val="hybridMultilevel"/>
    <w:tmpl w:val="2D8C9F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A055D"/>
    <w:multiLevelType w:val="hybridMultilevel"/>
    <w:tmpl w:val="13EED60A"/>
    <w:lvl w:ilvl="0" w:tplc="04090019">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8560B4"/>
    <w:multiLevelType w:val="hybridMultilevel"/>
    <w:tmpl w:val="0A8A9B26"/>
    <w:lvl w:ilvl="0" w:tplc="04090019">
      <w:start w:val="1"/>
      <w:numFmt w:val="lowerLetter"/>
      <w:lvlText w:val="%1."/>
      <w:lvlJc w:val="left"/>
      <w:pPr>
        <w:tabs>
          <w:tab w:val="num" w:pos="360"/>
        </w:tabs>
        <w:ind w:left="360" w:hanging="360"/>
      </w:pPr>
      <w:rPr>
        <w:b w:val="0"/>
        <w:i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09249D"/>
    <w:multiLevelType w:val="multilevel"/>
    <w:tmpl w:val="9A74B9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356A71"/>
    <w:multiLevelType w:val="hybridMultilevel"/>
    <w:tmpl w:val="9DB00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6341C4"/>
    <w:multiLevelType w:val="multilevel"/>
    <w:tmpl w:val="73F4F8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460654"/>
    <w:multiLevelType w:val="hybridMultilevel"/>
    <w:tmpl w:val="3A288E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D67374"/>
    <w:multiLevelType w:val="hybridMultilevel"/>
    <w:tmpl w:val="C4C695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253D6D"/>
    <w:multiLevelType w:val="hybridMultilevel"/>
    <w:tmpl w:val="E0860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BF32E4"/>
    <w:multiLevelType w:val="singleLevel"/>
    <w:tmpl w:val="04090019"/>
    <w:lvl w:ilvl="0">
      <w:start w:val="1"/>
      <w:numFmt w:val="lowerLetter"/>
      <w:lvlText w:val="%1."/>
      <w:lvlJc w:val="left"/>
      <w:pPr>
        <w:ind w:left="720" w:hanging="360"/>
      </w:pPr>
      <w:rPr>
        <w:b w:val="0"/>
        <w:i w:val="0"/>
      </w:rPr>
    </w:lvl>
  </w:abstractNum>
  <w:abstractNum w:abstractNumId="17" w15:restartNumberingAfterBreak="0">
    <w:nsid w:val="1F232B9C"/>
    <w:multiLevelType w:val="hybridMultilevel"/>
    <w:tmpl w:val="6D34FF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FB10B17"/>
    <w:multiLevelType w:val="hybridMultilevel"/>
    <w:tmpl w:val="6066C3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D02571"/>
    <w:multiLevelType w:val="hybridMultilevel"/>
    <w:tmpl w:val="C7F81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B97330"/>
    <w:multiLevelType w:val="hybridMultilevel"/>
    <w:tmpl w:val="8084C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2870CE"/>
    <w:multiLevelType w:val="hybridMultilevel"/>
    <w:tmpl w:val="885CD45E"/>
    <w:lvl w:ilvl="0" w:tplc="C69AA2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546C07"/>
    <w:multiLevelType w:val="hybridMultilevel"/>
    <w:tmpl w:val="13EED60A"/>
    <w:lvl w:ilvl="0" w:tplc="04090019">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483EB1"/>
    <w:multiLevelType w:val="hybridMultilevel"/>
    <w:tmpl w:val="FCB8BF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FB062D"/>
    <w:multiLevelType w:val="hybridMultilevel"/>
    <w:tmpl w:val="D77C38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E0598D"/>
    <w:multiLevelType w:val="hybridMultilevel"/>
    <w:tmpl w:val="65B076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2D2AB2"/>
    <w:multiLevelType w:val="hybridMultilevel"/>
    <w:tmpl w:val="1400AEDE"/>
    <w:lvl w:ilvl="0" w:tplc="04090019">
      <w:start w:val="1"/>
      <w:numFmt w:val="lowerLetter"/>
      <w:lvlText w:val="%1."/>
      <w:lvlJc w:val="left"/>
      <w:pPr>
        <w:ind w:left="720" w:hanging="360"/>
      </w:pPr>
      <w:rPr>
        <w:b w:val="0"/>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2E6063"/>
    <w:multiLevelType w:val="hybridMultilevel"/>
    <w:tmpl w:val="D01EBA8C"/>
    <w:lvl w:ilvl="0" w:tplc="1A384BB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E442ECD"/>
    <w:multiLevelType w:val="hybridMultilevel"/>
    <w:tmpl w:val="46AEF2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18D36F3"/>
    <w:multiLevelType w:val="hybridMultilevel"/>
    <w:tmpl w:val="8438E328"/>
    <w:lvl w:ilvl="0" w:tplc="E018B7A8">
      <w:start w:val="1"/>
      <w:numFmt w:val="upperLetter"/>
      <w:pStyle w:val="Section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1B05902"/>
    <w:multiLevelType w:val="hybridMultilevel"/>
    <w:tmpl w:val="BD1EC2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30A55CE"/>
    <w:multiLevelType w:val="hybridMultilevel"/>
    <w:tmpl w:val="FFF64F02"/>
    <w:lvl w:ilvl="0" w:tplc="6F2EB1D8">
      <w:start w:val="1"/>
      <w:numFmt w:val="decimal"/>
      <w:lvlText w:val="%1."/>
      <w:lvlJc w:val="left"/>
      <w:pPr>
        <w:tabs>
          <w:tab w:val="num" w:pos="360"/>
        </w:tabs>
        <w:ind w:left="360" w:hanging="360"/>
      </w:pPr>
      <w:rPr>
        <w:b w:val="0"/>
        <w:i w:val="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710061"/>
    <w:multiLevelType w:val="hybridMultilevel"/>
    <w:tmpl w:val="83FA9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5AA6BBD"/>
    <w:multiLevelType w:val="hybridMultilevel"/>
    <w:tmpl w:val="53BEFA4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6DC57A2"/>
    <w:multiLevelType w:val="hybridMultilevel"/>
    <w:tmpl w:val="46A0D49E"/>
    <w:lvl w:ilvl="0" w:tplc="93CA3CA4">
      <w:start w:val="1"/>
      <w:numFmt w:val="lowerLetter"/>
      <w:lvlText w:val="%1."/>
      <w:lvlJc w:val="left"/>
      <w:pPr>
        <w:ind w:left="720" w:hanging="360"/>
      </w:pPr>
      <w:rPr>
        <w:rFont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38EE372F"/>
    <w:multiLevelType w:val="multilevel"/>
    <w:tmpl w:val="E1447780"/>
    <w:lvl w:ilvl="0">
      <w:start w:val="1"/>
      <w:numFmt w:val="decimal"/>
      <w:lvlText w:val="%1."/>
      <w:lvlJc w:val="left"/>
      <w:pPr>
        <w:tabs>
          <w:tab w:val="num" w:pos="360"/>
        </w:tabs>
        <w:ind w:left="360" w:hanging="360"/>
      </w:pPr>
      <w:rPr>
        <w:b w:val="0"/>
        <w:i w:val="0"/>
      </w:rPr>
    </w:lvl>
    <w:lvl w:ilvl="1">
      <w:numFmt w:val="decimal"/>
      <w:isLgl/>
      <w:lvlText w:val="%1.%2"/>
      <w:lvlJc w:val="left"/>
      <w:pPr>
        <w:ind w:left="3960" w:hanging="360"/>
      </w:pPr>
      <w:rPr>
        <w:rFonts w:hint="default"/>
      </w:rPr>
    </w:lvl>
    <w:lvl w:ilvl="2">
      <w:start w:val="1"/>
      <w:numFmt w:val="decimal"/>
      <w:isLgl/>
      <w:lvlText w:val="%1.%2.%3"/>
      <w:lvlJc w:val="left"/>
      <w:pPr>
        <w:ind w:left="7920" w:hanging="720"/>
      </w:pPr>
      <w:rPr>
        <w:rFonts w:hint="default"/>
      </w:rPr>
    </w:lvl>
    <w:lvl w:ilvl="3">
      <w:start w:val="1"/>
      <w:numFmt w:val="decimal"/>
      <w:isLgl/>
      <w:lvlText w:val="%1.%2.%3.%4"/>
      <w:lvlJc w:val="left"/>
      <w:pPr>
        <w:ind w:left="11520" w:hanging="720"/>
      </w:pPr>
      <w:rPr>
        <w:rFonts w:hint="default"/>
      </w:rPr>
    </w:lvl>
    <w:lvl w:ilvl="4">
      <w:start w:val="1"/>
      <w:numFmt w:val="decimal"/>
      <w:isLgl/>
      <w:lvlText w:val="%1.%2.%3.%4.%5"/>
      <w:lvlJc w:val="left"/>
      <w:pPr>
        <w:ind w:left="15480" w:hanging="1080"/>
      </w:pPr>
      <w:rPr>
        <w:rFonts w:hint="default"/>
      </w:rPr>
    </w:lvl>
    <w:lvl w:ilvl="5">
      <w:start w:val="1"/>
      <w:numFmt w:val="decimal"/>
      <w:isLgl/>
      <w:lvlText w:val="%1.%2.%3.%4.%5.%6"/>
      <w:lvlJc w:val="left"/>
      <w:pPr>
        <w:ind w:left="19080" w:hanging="1080"/>
      </w:pPr>
      <w:rPr>
        <w:rFonts w:hint="default"/>
      </w:rPr>
    </w:lvl>
    <w:lvl w:ilvl="6">
      <w:start w:val="1"/>
      <w:numFmt w:val="decimal"/>
      <w:isLgl/>
      <w:lvlText w:val="%1.%2.%3.%4.%5.%6.%7"/>
      <w:lvlJc w:val="left"/>
      <w:pPr>
        <w:ind w:left="23040" w:hanging="1440"/>
      </w:pPr>
      <w:rPr>
        <w:rFonts w:hint="default"/>
      </w:rPr>
    </w:lvl>
    <w:lvl w:ilvl="7">
      <w:start w:val="1"/>
      <w:numFmt w:val="decimal"/>
      <w:isLgl/>
      <w:lvlText w:val="%1.%2.%3.%4.%5.%6.%7.%8"/>
      <w:lvlJc w:val="left"/>
      <w:pPr>
        <w:ind w:left="26640" w:hanging="1440"/>
      </w:pPr>
      <w:rPr>
        <w:rFonts w:hint="default"/>
      </w:rPr>
    </w:lvl>
    <w:lvl w:ilvl="8">
      <w:start w:val="1"/>
      <w:numFmt w:val="decimal"/>
      <w:isLgl/>
      <w:lvlText w:val="%1.%2.%3.%4.%5.%6.%7.%8.%9"/>
      <w:lvlJc w:val="left"/>
      <w:pPr>
        <w:ind w:left="30240" w:hanging="1440"/>
      </w:pPr>
      <w:rPr>
        <w:rFonts w:hint="default"/>
      </w:rPr>
    </w:lvl>
  </w:abstractNum>
  <w:abstractNum w:abstractNumId="36" w15:restartNumberingAfterBreak="0">
    <w:nsid w:val="38FD037D"/>
    <w:multiLevelType w:val="hybridMultilevel"/>
    <w:tmpl w:val="E20A1628"/>
    <w:lvl w:ilvl="0" w:tplc="44B06D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9C57842"/>
    <w:multiLevelType w:val="hybridMultilevel"/>
    <w:tmpl w:val="AA68F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731C65"/>
    <w:multiLevelType w:val="hybridMultilevel"/>
    <w:tmpl w:val="1AE2A4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B6B2B28"/>
    <w:multiLevelType w:val="hybridMultilevel"/>
    <w:tmpl w:val="8EEA29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6F53E1"/>
    <w:multiLevelType w:val="singleLevel"/>
    <w:tmpl w:val="04090019"/>
    <w:lvl w:ilvl="0">
      <w:start w:val="1"/>
      <w:numFmt w:val="lowerLetter"/>
      <w:lvlText w:val="%1."/>
      <w:lvlJc w:val="left"/>
      <w:pPr>
        <w:ind w:left="1800" w:hanging="360"/>
      </w:pPr>
      <w:rPr>
        <w:b w:val="0"/>
        <w:i w:val="0"/>
      </w:rPr>
    </w:lvl>
  </w:abstractNum>
  <w:abstractNum w:abstractNumId="41" w15:restartNumberingAfterBreak="0">
    <w:nsid w:val="3DA52D5B"/>
    <w:multiLevelType w:val="hybridMultilevel"/>
    <w:tmpl w:val="BB24C9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FE3203B"/>
    <w:multiLevelType w:val="hybridMultilevel"/>
    <w:tmpl w:val="371EEC72"/>
    <w:lvl w:ilvl="0" w:tplc="04090019">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9B2057"/>
    <w:multiLevelType w:val="singleLevel"/>
    <w:tmpl w:val="CEC02D5A"/>
    <w:lvl w:ilvl="0">
      <w:start w:val="3"/>
      <w:numFmt w:val="decimal"/>
      <w:pStyle w:val="Agendanumber"/>
      <w:lvlText w:val="%1."/>
      <w:lvlJc w:val="left"/>
      <w:pPr>
        <w:tabs>
          <w:tab w:val="num" w:pos="1440"/>
        </w:tabs>
        <w:ind w:left="1440" w:hanging="855"/>
      </w:pPr>
      <w:rPr>
        <w:rFonts w:hint="default"/>
      </w:rPr>
    </w:lvl>
  </w:abstractNum>
  <w:abstractNum w:abstractNumId="44" w15:restartNumberingAfterBreak="0">
    <w:nsid w:val="41D9527F"/>
    <w:multiLevelType w:val="hybridMultilevel"/>
    <w:tmpl w:val="D4229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25203CE"/>
    <w:multiLevelType w:val="hybridMultilevel"/>
    <w:tmpl w:val="F15CF5CA"/>
    <w:lvl w:ilvl="0" w:tplc="D570D6C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C40771"/>
    <w:multiLevelType w:val="hybridMultilevel"/>
    <w:tmpl w:val="956E33E6"/>
    <w:lvl w:ilvl="0" w:tplc="7AF804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D515A1"/>
    <w:multiLevelType w:val="hybridMultilevel"/>
    <w:tmpl w:val="5032F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DB3F8A"/>
    <w:multiLevelType w:val="hybridMultilevel"/>
    <w:tmpl w:val="F6B2D6A0"/>
    <w:lvl w:ilvl="0" w:tplc="28DE152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127A5B"/>
    <w:multiLevelType w:val="hybridMultilevel"/>
    <w:tmpl w:val="87425AB4"/>
    <w:lvl w:ilvl="0" w:tplc="042EC67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6335B7B"/>
    <w:multiLevelType w:val="hybridMultilevel"/>
    <w:tmpl w:val="5EB47FD4"/>
    <w:lvl w:ilvl="0" w:tplc="9AFC2894">
      <w:start w:val="1"/>
      <w:numFmt w:val="decimal"/>
      <w:lvlText w:val="%1."/>
      <w:lvlJc w:val="left"/>
      <w:pPr>
        <w:ind w:left="360" w:hanging="360"/>
      </w:pPr>
      <w:rPr>
        <w:b w:val="0"/>
      </w:rPr>
    </w:lvl>
    <w:lvl w:ilvl="1" w:tplc="6332F9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66A08DC"/>
    <w:multiLevelType w:val="hybridMultilevel"/>
    <w:tmpl w:val="77AEE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9B706E"/>
    <w:multiLevelType w:val="hybridMultilevel"/>
    <w:tmpl w:val="3EB28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E33D4A"/>
    <w:multiLevelType w:val="hybridMultilevel"/>
    <w:tmpl w:val="D7BCC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7B8221A"/>
    <w:multiLevelType w:val="hybridMultilevel"/>
    <w:tmpl w:val="6316CE34"/>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A146B7"/>
    <w:multiLevelType w:val="hybridMultilevel"/>
    <w:tmpl w:val="28A00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B37A05"/>
    <w:multiLevelType w:val="singleLevel"/>
    <w:tmpl w:val="04090019"/>
    <w:lvl w:ilvl="0">
      <w:start w:val="1"/>
      <w:numFmt w:val="lowerLetter"/>
      <w:lvlText w:val="%1."/>
      <w:lvlJc w:val="left"/>
      <w:pPr>
        <w:ind w:left="720" w:hanging="360"/>
      </w:pPr>
      <w:rPr>
        <w:b w:val="0"/>
        <w:i w:val="0"/>
      </w:rPr>
    </w:lvl>
  </w:abstractNum>
  <w:abstractNum w:abstractNumId="57" w15:restartNumberingAfterBreak="0">
    <w:nsid w:val="509E7353"/>
    <w:multiLevelType w:val="hybridMultilevel"/>
    <w:tmpl w:val="AC584804"/>
    <w:lvl w:ilvl="0" w:tplc="18A0038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B37F9F"/>
    <w:multiLevelType w:val="multilevel"/>
    <w:tmpl w:val="0D08444A"/>
    <w:lvl w:ilvl="0">
      <w:start w:val="1"/>
      <w:numFmt w:val="decimal"/>
      <w:lvlText w:val="%1."/>
      <w:lvlJc w:val="left"/>
      <w:pPr>
        <w:ind w:left="360" w:hanging="360"/>
      </w:pPr>
      <w:rPr>
        <w:b w:val="0"/>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5C265BEA"/>
    <w:multiLevelType w:val="singleLevel"/>
    <w:tmpl w:val="0409000F"/>
    <w:lvl w:ilvl="0">
      <w:start w:val="1"/>
      <w:numFmt w:val="decimal"/>
      <w:lvlText w:val="%1."/>
      <w:lvlJc w:val="left"/>
      <w:pPr>
        <w:ind w:left="720" w:hanging="360"/>
      </w:pPr>
      <w:rPr>
        <w:b w:val="0"/>
        <w:i w:val="0"/>
      </w:rPr>
    </w:lvl>
  </w:abstractNum>
  <w:abstractNum w:abstractNumId="60" w15:restartNumberingAfterBreak="0">
    <w:nsid w:val="5FEE78C6"/>
    <w:multiLevelType w:val="hybridMultilevel"/>
    <w:tmpl w:val="886C0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7B0945"/>
    <w:multiLevelType w:val="singleLevel"/>
    <w:tmpl w:val="04090019"/>
    <w:lvl w:ilvl="0">
      <w:start w:val="1"/>
      <w:numFmt w:val="lowerLetter"/>
      <w:lvlText w:val="%1."/>
      <w:lvlJc w:val="left"/>
      <w:pPr>
        <w:ind w:left="1080" w:hanging="360"/>
      </w:pPr>
      <w:rPr>
        <w:b w:val="0"/>
        <w:i w:val="0"/>
      </w:rPr>
    </w:lvl>
  </w:abstractNum>
  <w:abstractNum w:abstractNumId="62" w15:restartNumberingAfterBreak="0">
    <w:nsid w:val="6212293B"/>
    <w:multiLevelType w:val="hybridMultilevel"/>
    <w:tmpl w:val="18A86490"/>
    <w:lvl w:ilvl="0" w:tplc="84E6FB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4735D8B"/>
    <w:multiLevelType w:val="hybridMultilevel"/>
    <w:tmpl w:val="885CD45E"/>
    <w:lvl w:ilvl="0" w:tplc="C69AA2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7306803"/>
    <w:multiLevelType w:val="hybridMultilevel"/>
    <w:tmpl w:val="9208B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EC14F4"/>
    <w:multiLevelType w:val="hybridMultilevel"/>
    <w:tmpl w:val="158042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8322313"/>
    <w:multiLevelType w:val="hybridMultilevel"/>
    <w:tmpl w:val="98C080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22682A"/>
    <w:multiLevelType w:val="hybridMultilevel"/>
    <w:tmpl w:val="D53CE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A237CB5"/>
    <w:multiLevelType w:val="hybridMultilevel"/>
    <w:tmpl w:val="0F7A09B0"/>
    <w:lvl w:ilvl="0" w:tplc="4A006C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2C0FBC"/>
    <w:multiLevelType w:val="hybridMultilevel"/>
    <w:tmpl w:val="BA7CC5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DD85913"/>
    <w:multiLevelType w:val="singleLevel"/>
    <w:tmpl w:val="0409000F"/>
    <w:lvl w:ilvl="0">
      <w:start w:val="1"/>
      <w:numFmt w:val="decimal"/>
      <w:lvlText w:val="%1."/>
      <w:lvlJc w:val="left"/>
      <w:pPr>
        <w:ind w:left="720" w:hanging="360"/>
      </w:pPr>
      <w:rPr>
        <w:b w:val="0"/>
        <w:i w:val="0"/>
      </w:rPr>
    </w:lvl>
  </w:abstractNum>
  <w:abstractNum w:abstractNumId="71" w15:restartNumberingAfterBreak="0">
    <w:nsid w:val="6F834064"/>
    <w:multiLevelType w:val="hybridMultilevel"/>
    <w:tmpl w:val="7C0A0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FA270CF"/>
    <w:multiLevelType w:val="hybridMultilevel"/>
    <w:tmpl w:val="CF08ED1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41476CF"/>
    <w:multiLevelType w:val="hybridMultilevel"/>
    <w:tmpl w:val="895ACC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992983"/>
    <w:multiLevelType w:val="hybridMultilevel"/>
    <w:tmpl w:val="A7B42F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251695"/>
    <w:multiLevelType w:val="hybridMultilevel"/>
    <w:tmpl w:val="CF08ED1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8FC1B75"/>
    <w:multiLevelType w:val="hybridMultilevel"/>
    <w:tmpl w:val="A806737C"/>
    <w:lvl w:ilvl="0" w:tplc="04090019">
      <w:start w:val="1"/>
      <w:numFmt w:val="lowerLetter"/>
      <w:lvlText w:val="%1."/>
      <w:lvlJc w:val="left"/>
      <w:pPr>
        <w:tabs>
          <w:tab w:val="num" w:pos="720"/>
        </w:tabs>
        <w:ind w:left="720" w:hanging="360"/>
      </w:pPr>
      <w:rPr>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99C1981"/>
    <w:multiLevelType w:val="hybridMultilevel"/>
    <w:tmpl w:val="FB0CB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A2E0948"/>
    <w:multiLevelType w:val="hybridMultilevel"/>
    <w:tmpl w:val="8082950A"/>
    <w:lvl w:ilvl="0" w:tplc="86D4F5E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A782DA7"/>
    <w:multiLevelType w:val="hybridMultilevel"/>
    <w:tmpl w:val="573E59F8"/>
    <w:lvl w:ilvl="0" w:tplc="04090019">
      <w:start w:val="1"/>
      <w:numFmt w:val="lowerLetter"/>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AF55811"/>
    <w:multiLevelType w:val="hybridMultilevel"/>
    <w:tmpl w:val="E5A8DF06"/>
    <w:lvl w:ilvl="0" w:tplc="A80E924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E18280C"/>
    <w:multiLevelType w:val="singleLevel"/>
    <w:tmpl w:val="04090019"/>
    <w:lvl w:ilvl="0">
      <w:start w:val="1"/>
      <w:numFmt w:val="lowerLetter"/>
      <w:lvlText w:val="%1."/>
      <w:lvlJc w:val="left"/>
      <w:pPr>
        <w:ind w:left="720" w:hanging="360"/>
      </w:pPr>
      <w:rPr>
        <w:b w:val="0"/>
        <w:i w:val="0"/>
      </w:rPr>
    </w:lvl>
  </w:abstractNum>
  <w:abstractNum w:abstractNumId="82" w15:restartNumberingAfterBreak="0">
    <w:nsid w:val="7E473F6D"/>
    <w:multiLevelType w:val="hybridMultilevel"/>
    <w:tmpl w:val="EB90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9"/>
  </w:num>
  <w:num w:numId="3">
    <w:abstractNumId w:val="10"/>
  </w:num>
  <w:num w:numId="4">
    <w:abstractNumId w:val="52"/>
  </w:num>
  <w:num w:numId="5">
    <w:abstractNumId w:val="55"/>
  </w:num>
  <w:num w:numId="6">
    <w:abstractNumId w:val="36"/>
  </w:num>
  <w:num w:numId="7">
    <w:abstractNumId w:val="3"/>
  </w:num>
  <w:num w:numId="8">
    <w:abstractNumId w:val="77"/>
  </w:num>
  <w:num w:numId="9">
    <w:abstractNumId w:val="80"/>
  </w:num>
  <w:num w:numId="10">
    <w:abstractNumId w:val="51"/>
  </w:num>
  <w:num w:numId="11">
    <w:abstractNumId w:val="49"/>
  </w:num>
  <w:num w:numId="12">
    <w:abstractNumId w:val="58"/>
  </w:num>
  <w:num w:numId="13">
    <w:abstractNumId w:val="70"/>
  </w:num>
  <w:num w:numId="14">
    <w:abstractNumId w:val="34"/>
  </w:num>
  <w:num w:numId="15">
    <w:abstractNumId w:val="61"/>
  </w:num>
  <w:num w:numId="16">
    <w:abstractNumId w:val="62"/>
  </w:num>
  <w:num w:numId="17">
    <w:abstractNumId w:val="37"/>
  </w:num>
  <w:num w:numId="18">
    <w:abstractNumId w:val="50"/>
  </w:num>
  <w:num w:numId="19">
    <w:abstractNumId w:val="6"/>
  </w:num>
  <w:num w:numId="20">
    <w:abstractNumId w:val="35"/>
  </w:num>
  <w:num w:numId="21">
    <w:abstractNumId w:val="78"/>
  </w:num>
  <w:num w:numId="22">
    <w:abstractNumId w:val="23"/>
  </w:num>
  <w:num w:numId="23">
    <w:abstractNumId w:val="16"/>
  </w:num>
  <w:num w:numId="24">
    <w:abstractNumId w:val="2"/>
  </w:num>
  <w:num w:numId="25">
    <w:abstractNumId w:val="24"/>
  </w:num>
  <w:num w:numId="26">
    <w:abstractNumId w:val="26"/>
  </w:num>
  <w:num w:numId="27">
    <w:abstractNumId w:val="56"/>
  </w:num>
  <w:num w:numId="28">
    <w:abstractNumId w:val="47"/>
  </w:num>
  <w:num w:numId="29">
    <w:abstractNumId w:val="81"/>
  </w:num>
  <w:num w:numId="30">
    <w:abstractNumId w:val="40"/>
  </w:num>
  <w:num w:numId="31">
    <w:abstractNumId w:val="1"/>
  </w:num>
  <w:num w:numId="32">
    <w:abstractNumId w:val="54"/>
  </w:num>
  <w:num w:numId="33">
    <w:abstractNumId w:val="82"/>
  </w:num>
  <w:num w:numId="34">
    <w:abstractNumId w:val="67"/>
  </w:num>
  <w:num w:numId="35">
    <w:abstractNumId w:val="79"/>
  </w:num>
  <w:num w:numId="36">
    <w:abstractNumId w:val="76"/>
  </w:num>
  <w:num w:numId="37">
    <w:abstractNumId w:val="71"/>
  </w:num>
  <w:num w:numId="38">
    <w:abstractNumId w:val="9"/>
  </w:num>
  <w:num w:numId="39">
    <w:abstractNumId w:val="42"/>
  </w:num>
  <w:num w:numId="40">
    <w:abstractNumId w:val="31"/>
  </w:num>
  <w:num w:numId="41">
    <w:abstractNumId w:val="7"/>
  </w:num>
  <w:num w:numId="42">
    <w:abstractNumId w:val="59"/>
  </w:num>
  <w:num w:numId="43">
    <w:abstractNumId w:val="19"/>
  </w:num>
  <w:num w:numId="44">
    <w:abstractNumId w:val="20"/>
  </w:num>
  <w:num w:numId="45">
    <w:abstractNumId w:val="13"/>
  </w:num>
  <w:num w:numId="46">
    <w:abstractNumId w:val="41"/>
  </w:num>
  <w:num w:numId="47">
    <w:abstractNumId w:val="57"/>
  </w:num>
  <w:num w:numId="48">
    <w:abstractNumId w:val="57"/>
    <w:lvlOverride w:ilvl="0">
      <w:startOverride w:val="1"/>
    </w:lvlOverride>
  </w:num>
  <w:num w:numId="49">
    <w:abstractNumId w:val="74"/>
  </w:num>
  <w:num w:numId="50">
    <w:abstractNumId w:val="45"/>
  </w:num>
  <w:num w:numId="51">
    <w:abstractNumId w:val="45"/>
    <w:lvlOverride w:ilvl="0">
      <w:startOverride w:val="1"/>
    </w:lvlOverride>
  </w:num>
  <w:num w:numId="52">
    <w:abstractNumId w:val="15"/>
  </w:num>
  <w:num w:numId="53">
    <w:abstractNumId w:val="48"/>
  </w:num>
  <w:num w:numId="54">
    <w:abstractNumId w:val="63"/>
  </w:num>
  <w:num w:numId="55">
    <w:abstractNumId w:val="4"/>
  </w:num>
  <w:num w:numId="56">
    <w:abstractNumId w:val="27"/>
  </w:num>
  <w:num w:numId="57">
    <w:abstractNumId w:val="60"/>
  </w:num>
  <w:num w:numId="58">
    <w:abstractNumId w:val="64"/>
  </w:num>
  <w:num w:numId="59">
    <w:abstractNumId w:val="73"/>
  </w:num>
  <w:num w:numId="60">
    <w:abstractNumId w:val="66"/>
  </w:num>
  <w:num w:numId="61">
    <w:abstractNumId w:val="5"/>
  </w:num>
  <w:num w:numId="62">
    <w:abstractNumId w:val="22"/>
  </w:num>
  <w:num w:numId="63">
    <w:abstractNumId w:val="75"/>
  </w:num>
  <w:num w:numId="64">
    <w:abstractNumId w:val="39"/>
  </w:num>
  <w:num w:numId="65">
    <w:abstractNumId w:val="65"/>
  </w:num>
  <w:num w:numId="66">
    <w:abstractNumId w:val="18"/>
  </w:num>
  <w:num w:numId="67">
    <w:abstractNumId w:val="53"/>
  </w:num>
  <w:num w:numId="68">
    <w:abstractNumId w:val="17"/>
  </w:num>
  <w:num w:numId="69">
    <w:abstractNumId w:val="33"/>
  </w:num>
  <w:num w:numId="70">
    <w:abstractNumId w:val="69"/>
  </w:num>
  <w:num w:numId="71">
    <w:abstractNumId w:val="38"/>
  </w:num>
  <w:num w:numId="72">
    <w:abstractNumId w:val="25"/>
  </w:num>
  <w:num w:numId="73">
    <w:abstractNumId w:val="0"/>
  </w:num>
  <w:num w:numId="74">
    <w:abstractNumId w:val="28"/>
  </w:num>
  <w:num w:numId="75">
    <w:abstractNumId w:val="44"/>
  </w:num>
  <w:num w:numId="76">
    <w:abstractNumId w:val="32"/>
  </w:num>
  <w:num w:numId="77">
    <w:abstractNumId w:val="21"/>
  </w:num>
  <w:num w:numId="78">
    <w:abstractNumId w:val="12"/>
  </w:num>
  <w:num w:numId="79">
    <w:abstractNumId w:val="11"/>
  </w:num>
  <w:num w:numId="80">
    <w:abstractNumId w:val="72"/>
  </w:num>
  <w:num w:numId="81">
    <w:abstractNumId w:val="8"/>
  </w:num>
  <w:num w:numId="82">
    <w:abstractNumId w:val="30"/>
  </w:num>
  <w:num w:numId="83">
    <w:abstractNumId w:val="14"/>
  </w:num>
  <w:num w:numId="84">
    <w:abstractNumId w:val="46"/>
  </w:num>
  <w:num w:numId="85">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E1"/>
    <w:rsid w:val="00001429"/>
    <w:rsid w:val="00011ADB"/>
    <w:rsid w:val="00013BE2"/>
    <w:rsid w:val="0003321F"/>
    <w:rsid w:val="0003370C"/>
    <w:rsid w:val="00033803"/>
    <w:rsid w:val="00037CB0"/>
    <w:rsid w:val="00042EC4"/>
    <w:rsid w:val="000562A5"/>
    <w:rsid w:val="00060DCE"/>
    <w:rsid w:val="00061096"/>
    <w:rsid w:val="00063478"/>
    <w:rsid w:val="000655F5"/>
    <w:rsid w:val="000A37D1"/>
    <w:rsid w:val="000B4573"/>
    <w:rsid w:val="000D4A53"/>
    <w:rsid w:val="000E0CF6"/>
    <w:rsid w:val="000E2917"/>
    <w:rsid w:val="000E440A"/>
    <w:rsid w:val="000E7751"/>
    <w:rsid w:val="000F09DF"/>
    <w:rsid w:val="000F4422"/>
    <w:rsid w:val="000F6C67"/>
    <w:rsid w:val="00110F8A"/>
    <w:rsid w:val="001238BC"/>
    <w:rsid w:val="0013522A"/>
    <w:rsid w:val="00145E84"/>
    <w:rsid w:val="001522B3"/>
    <w:rsid w:val="001555A2"/>
    <w:rsid w:val="00172212"/>
    <w:rsid w:val="001738FE"/>
    <w:rsid w:val="00175462"/>
    <w:rsid w:val="00181BB1"/>
    <w:rsid w:val="001822DC"/>
    <w:rsid w:val="001857B5"/>
    <w:rsid w:val="00190CAF"/>
    <w:rsid w:val="0019580E"/>
    <w:rsid w:val="001965DD"/>
    <w:rsid w:val="001A18A0"/>
    <w:rsid w:val="001A234B"/>
    <w:rsid w:val="001A5DAF"/>
    <w:rsid w:val="001B538D"/>
    <w:rsid w:val="001B786B"/>
    <w:rsid w:val="001C6387"/>
    <w:rsid w:val="001D4635"/>
    <w:rsid w:val="001D7C58"/>
    <w:rsid w:val="001E2DB0"/>
    <w:rsid w:val="001E3872"/>
    <w:rsid w:val="00204ADA"/>
    <w:rsid w:val="002122F6"/>
    <w:rsid w:val="00213792"/>
    <w:rsid w:val="00217DFB"/>
    <w:rsid w:val="00223F0B"/>
    <w:rsid w:val="00232A98"/>
    <w:rsid w:val="002402B5"/>
    <w:rsid w:val="00241564"/>
    <w:rsid w:val="00241994"/>
    <w:rsid w:val="0026330F"/>
    <w:rsid w:val="002641F0"/>
    <w:rsid w:val="00266236"/>
    <w:rsid w:val="002706C2"/>
    <w:rsid w:val="00271843"/>
    <w:rsid w:val="00280F59"/>
    <w:rsid w:val="002838B1"/>
    <w:rsid w:val="002858B2"/>
    <w:rsid w:val="00294366"/>
    <w:rsid w:val="002B1210"/>
    <w:rsid w:val="002B5582"/>
    <w:rsid w:val="002B558E"/>
    <w:rsid w:val="002B67E8"/>
    <w:rsid w:val="002B7903"/>
    <w:rsid w:val="002C42B3"/>
    <w:rsid w:val="002D5EEB"/>
    <w:rsid w:val="002D615F"/>
    <w:rsid w:val="002E08CF"/>
    <w:rsid w:val="002E5EFC"/>
    <w:rsid w:val="002E77EE"/>
    <w:rsid w:val="002F1B10"/>
    <w:rsid w:val="002F1E0B"/>
    <w:rsid w:val="00313572"/>
    <w:rsid w:val="00326924"/>
    <w:rsid w:val="003361AE"/>
    <w:rsid w:val="0034087A"/>
    <w:rsid w:val="00341301"/>
    <w:rsid w:val="00342187"/>
    <w:rsid w:val="00345945"/>
    <w:rsid w:val="00350C07"/>
    <w:rsid w:val="00351B8D"/>
    <w:rsid w:val="00362D97"/>
    <w:rsid w:val="0037255E"/>
    <w:rsid w:val="00376EC5"/>
    <w:rsid w:val="00386595"/>
    <w:rsid w:val="003B0746"/>
    <w:rsid w:val="003B138A"/>
    <w:rsid w:val="003B151C"/>
    <w:rsid w:val="003B17ED"/>
    <w:rsid w:val="003B486F"/>
    <w:rsid w:val="003C0343"/>
    <w:rsid w:val="003C145B"/>
    <w:rsid w:val="003C4AED"/>
    <w:rsid w:val="003C4E83"/>
    <w:rsid w:val="003C7E29"/>
    <w:rsid w:val="003D2B6E"/>
    <w:rsid w:val="003D33F7"/>
    <w:rsid w:val="003D7287"/>
    <w:rsid w:val="003E5C7C"/>
    <w:rsid w:val="003F28D0"/>
    <w:rsid w:val="003F379F"/>
    <w:rsid w:val="003F3DB5"/>
    <w:rsid w:val="003F524C"/>
    <w:rsid w:val="004000DB"/>
    <w:rsid w:val="0040367A"/>
    <w:rsid w:val="0040735C"/>
    <w:rsid w:val="004151FA"/>
    <w:rsid w:val="004251B1"/>
    <w:rsid w:val="0043068E"/>
    <w:rsid w:val="00447AC2"/>
    <w:rsid w:val="00450953"/>
    <w:rsid w:val="0045506A"/>
    <w:rsid w:val="00455D8E"/>
    <w:rsid w:val="00464DF3"/>
    <w:rsid w:val="00483B7A"/>
    <w:rsid w:val="004904C3"/>
    <w:rsid w:val="00494477"/>
    <w:rsid w:val="00496F45"/>
    <w:rsid w:val="00496F67"/>
    <w:rsid w:val="004B5DD5"/>
    <w:rsid w:val="004C70AB"/>
    <w:rsid w:val="004D14E5"/>
    <w:rsid w:val="004E7014"/>
    <w:rsid w:val="004E7107"/>
    <w:rsid w:val="004F63A4"/>
    <w:rsid w:val="00500FB6"/>
    <w:rsid w:val="0050322F"/>
    <w:rsid w:val="0051017A"/>
    <w:rsid w:val="00512EAC"/>
    <w:rsid w:val="00515E01"/>
    <w:rsid w:val="005202D4"/>
    <w:rsid w:val="0052583C"/>
    <w:rsid w:val="005260C0"/>
    <w:rsid w:val="00531251"/>
    <w:rsid w:val="00535FD6"/>
    <w:rsid w:val="005370CB"/>
    <w:rsid w:val="005446AF"/>
    <w:rsid w:val="00544C77"/>
    <w:rsid w:val="005555B5"/>
    <w:rsid w:val="00561347"/>
    <w:rsid w:val="00562CF9"/>
    <w:rsid w:val="00567627"/>
    <w:rsid w:val="00571A01"/>
    <w:rsid w:val="005726F9"/>
    <w:rsid w:val="00573E35"/>
    <w:rsid w:val="00575070"/>
    <w:rsid w:val="00577363"/>
    <w:rsid w:val="00577B19"/>
    <w:rsid w:val="0058459C"/>
    <w:rsid w:val="0058704F"/>
    <w:rsid w:val="005918AE"/>
    <w:rsid w:val="005919C4"/>
    <w:rsid w:val="00596A40"/>
    <w:rsid w:val="005A2816"/>
    <w:rsid w:val="005A3CE8"/>
    <w:rsid w:val="005B43CB"/>
    <w:rsid w:val="005C1636"/>
    <w:rsid w:val="005C1C4B"/>
    <w:rsid w:val="005C5022"/>
    <w:rsid w:val="005C65CC"/>
    <w:rsid w:val="005D009B"/>
    <w:rsid w:val="005E4B99"/>
    <w:rsid w:val="005E5ACE"/>
    <w:rsid w:val="005E5B93"/>
    <w:rsid w:val="005E5EF7"/>
    <w:rsid w:val="00601A80"/>
    <w:rsid w:val="00602176"/>
    <w:rsid w:val="0060325D"/>
    <w:rsid w:val="00604C97"/>
    <w:rsid w:val="006118CB"/>
    <w:rsid w:val="006126BC"/>
    <w:rsid w:val="00617897"/>
    <w:rsid w:val="006265B7"/>
    <w:rsid w:val="00627551"/>
    <w:rsid w:val="00632280"/>
    <w:rsid w:val="006323AF"/>
    <w:rsid w:val="00632AF9"/>
    <w:rsid w:val="00660D0B"/>
    <w:rsid w:val="0067004A"/>
    <w:rsid w:val="00674E41"/>
    <w:rsid w:val="006851B3"/>
    <w:rsid w:val="00692EF0"/>
    <w:rsid w:val="006A406F"/>
    <w:rsid w:val="006A70B6"/>
    <w:rsid w:val="006B0AB1"/>
    <w:rsid w:val="006C55EA"/>
    <w:rsid w:val="006D06EE"/>
    <w:rsid w:val="006D4629"/>
    <w:rsid w:val="006D5D71"/>
    <w:rsid w:val="006D7214"/>
    <w:rsid w:val="006E1621"/>
    <w:rsid w:val="006E555F"/>
    <w:rsid w:val="006F06B1"/>
    <w:rsid w:val="006F5262"/>
    <w:rsid w:val="0070006E"/>
    <w:rsid w:val="00704ED4"/>
    <w:rsid w:val="0070544E"/>
    <w:rsid w:val="00710BEF"/>
    <w:rsid w:val="00711424"/>
    <w:rsid w:val="00712127"/>
    <w:rsid w:val="00727103"/>
    <w:rsid w:val="00730361"/>
    <w:rsid w:val="00731573"/>
    <w:rsid w:val="00737781"/>
    <w:rsid w:val="00740E53"/>
    <w:rsid w:val="007452BB"/>
    <w:rsid w:val="00757E20"/>
    <w:rsid w:val="0076015E"/>
    <w:rsid w:val="00762CF0"/>
    <w:rsid w:val="00766319"/>
    <w:rsid w:val="007744B1"/>
    <w:rsid w:val="00774B49"/>
    <w:rsid w:val="00785796"/>
    <w:rsid w:val="007A3377"/>
    <w:rsid w:val="007A6084"/>
    <w:rsid w:val="007B0474"/>
    <w:rsid w:val="007B68EF"/>
    <w:rsid w:val="007C138B"/>
    <w:rsid w:val="007C5F18"/>
    <w:rsid w:val="007D0A7B"/>
    <w:rsid w:val="007D713A"/>
    <w:rsid w:val="007E435B"/>
    <w:rsid w:val="007E5AB1"/>
    <w:rsid w:val="007F15CB"/>
    <w:rsid w:val="007F21DE"/>
    <w:rsid w:val="007F6B4C"/>
    <w:rsid w:val="00810D2D"/>
    <w:rsid w:val="00814739"/>
    <w:rsid w:val="00823C44"/>
    <w:rsid w:val="00826E63"/>
    <w:rsid w:val="00827F21"/>
    <w:rsid w:val="00833EFD"/>
    <w:rsid w:val="00840C67"/>
    <w:rsid w:val="008425F6"/>
    <w:rsid w:val="0084520F"/>
    <w:rsid w:val="00850051"/>
    <w:rsid w:val="008504E0"/>
    <w:rsid w:val="00857F0A"/>
    <w:rsid w:val="00861A10"/>
    <w:rsid w:val="00867A9E"/>
    <w:rsid w:val="00873D79"/>
    <w:rsid w:val="008749C3"/>
    <w:rsid w:val="00877D1C"/>
    <w:rsid w:val="00890CB2"/>
    <w:rsid w:val="0089642C"/>
    <w:rsid w:val="008A166A"/>
    <w:rsid w:val="008A4047"/>
    <w:rsid w:val="008B0B0C"/>
    <w:rsid w:val="008B7328"/>
    <w:rsid w:val="008C00FE"/>
    <w:rsid w:val="008C28AE"/>
    <w:rsid w:val="008C38F7"/>
    <w:rsid w:val="008C6D21"/>
    <w:rsid w:val="008C78E8"/>
    <w:rsid w:val="008E0DE1"/>
    <w:rsid w:val="008E60EE"/>
    <w:rsid w:val="008F39D8"/>
    <w:rsid w:val="00900844"/>
    <w:rsid w:val="00917097"/>
    <w:rsid w:val="0092694A"/>
    <w:rsid w:val="009317F9"/>
    <w:rsid w:val="0094383D"/>
    <w:rsid w:val="00944BD9"/>
    <w:rsid w:val="00950838"/>
    <w:rsid w:val="009508C1"/>
    <w:rsid w:val="00950DD9"/>
    <w:rsid w:val="00966DA8"/>
    <w:rsid w:val="009676DC"/>
    <w:rsid w:val="009843EF"/>
    <w:rsid w:val="009979E8"/>
    <w:rsid w:val="009B433F"/>
    <w:rsid w:val="009C11D7"/>
    <w:rsid w:val="009C72D5"/>
    <w:rsid w:val="009D0767"/>
    <w:rsid w:val="009D2826"/>
    <w:rsid w:val="009E1519"/>
    <w:rsid w:val="009F1385"/>
    <w:rsid w:val="009F2F11"/>
    <w:rsid w:val="009F6EAA"/>
    <w:rsid w:val="009F7A1D"/>
    <w:rsid w:val="00A008B6"/>
    <w:rsid w:val="00A01C9F"/>
    <w:rsid w:val="00A03731"/>
    <w:rsid w:val="00A056E1"/>
    <w:rsid w:val="00A12220"/>
    <w:rsid w:val="00A2036C"/>
    <w:rsid w:val="00A23AE5"/>
    <w:rsid w:val="00A2751C"/>
    <w:rsid w:val="00A31D68"/>
    <w:rsid w:val="00A61BA0"/>
    <w:rsid w:val="00A66179"/>
    <w:rsid w:val="00A71CF0"/>
    <w:rsid w:val="00A869BE"/>
    <w:rsid w:val="00A95562"/>
    <w:rsid w:val="00A95762"/>
    <w:rsid w:val="00AB3A1B"/>
    <w:rsid w:val="00AC563F"/>
    <w:rsid w:val="00AC7263"/>
    <w:rsid w:val="00AD004C"/>
    <w:rsid w:val="00AD0D9F"/>
    <w:rsid w:val="00AD282F"/>
    <w:rsid w:val="00AD73E3"/>
    <w:rsid w:val="00AE45A9"/>
    <w:rsid w:val="00AF0DDF"/>
    <w:rsid w:val="00B00F5C"/>
    <w:rsid w:val="00B01B0A"/>
    <w:rsid w:val="00B04C88"/>
    <w:rsid w:val="00B21E6D"/>
    <w:rsid w:val="00B2756E"/>
    <w:rsid w:val="00B31073"/>
    <w:rsid w:val="00B31839"/>
    <w:rsid w:val="00B3662E"/>
    <w:rsid w:val="00B51DD6"/>
    <w:rsid w:val="00B523B6"/>
    <w:rsid w:val="00B553BF"/>
    <w:rsid w:val="00B60D3C"/>
    <w:rsid w:val="00B916B9"/>
    <w:rsid w:val="00B9305D"/>
    <w:rsid w:val="00BA4018"/>
    <w:rsid w:val="00BB4BC9"/>
    <w:rsid w:val="00BC13B3"/>
    <w:rsid w:val="00BE11A0"/>
    <w:rsid w:val="00BF2B01"/>
    <w:rsid w:val="00BF5481"/>
    <w:rsid w:val="00C00753"/>
    <w:rsid w:val="00C166A3"/>
    <w:rsid w:val="00C33615"/>
    <w:rsid w:val="00C37039"/>
    <w:rsid w:val="00C43B0A"/>
    <w:rsid w:val="00C43F1B"/>
    <w:rsid w:val="00C5026D"/>
    <w:rsid w:val="00C53D9B"/>
    <w:rsid w:val="00C5615C"/>
    <w:rsid w:val="00C6357F"/>
    <w:rsid w:val="00C828D2"/>
    <w:rsid w:val="00C91461"/>
    <w:rsid w:val="00C9288F"/>
    <w:rsid w:val="00CA1F25"/>
    <w:rsid w:val="00CA3F98"/>
    <w:rsid w:val="00CA46E9"/>
    <w:rsid w:val="00CA6A17"/>
    <w:rsid w:val="00CB0BED"/>
    <w:rsid w:val="00CB1863"/>
    <w:rsid w:val="00CB1BE1"/>
    <w:rsid w:val="00CB4C37"/>
    <w:rsid w:val="00CC482B"/>
    <w:rsid w:val="00CD346C"/>
    <w:rsid w:val="00CE008C"/>
    <w:rsid w:val="00CE0D77"/>
    <w:rsid w:val="00CE2147"/>
    <w:rsid w:val="00CE5B57"/>
    <w:rsid w:val="00CE6ED3"/>
    <w:rsid w:val="00CF0697"/>
    <w:rsid w:val="00CF654D"/>
    <w:rsid w:val="00D00FFB"/>
    <w:rsid w:val="00D03341"/>
    <w:rsid w:val="00D06C6C"/>
    <w:rsid w:val="00D16B23"/>
    <w:rsid w:val="00D237CC"/>
    <w:rsid w:val="00D23F6C"/>
    <w:rsid w:val="00D35F67"/>
    <w:rsid w:val="00D367B5"/>
    <w:rsid w:val="00D40553"/>
    <w:rsid w:val="00D42038"/>
    <w:rsid w:val="00D56521"/>
    <w:rsid w:val="00D56A93"/>
    <w:rsid w:val="00D63D5E"/>
    <w:rsid w:val="00D64AC7"/>
    <w:rsid w:val="00D72702"/>
    <w:rsid w:val="00D84123"/>
    <w:rsid w:val="00D9031A"/>
    <w:rsid w:val="00D94BE1"/>
    <w:rsid w:val="00DA057C"/>
    <w:rsid w:val="00DA0FBC"/>
    <w:rsid w:val="00DA3520"/>
    <w:rsid w:val="00DA5FBB"/>
    <w:rsid w:val="00DA78D8"/>
    <w:rsid w:val="00DB1559"/>
    <w:rsid w:val="00DB353A"/>
    <w:rsid w:val="00DB7D63"/>
    <w:rsid w:val="00DC1624"/>
    <w:rsid w:val="00DD5B0E"/>
    <w:rsid w:val="00DE04F7"/>
    <w:rsid w:val="00DE15AC"/>
    <w:rsid w:val="00DE15C7"/>
    <w:rsid w:val="00DE1B6D"/>
    <w:rsid w:val="00DE2D06"/>
    <w:rsid w:val="00DE3651"/>
    <w:rsid w:val="00E01E8A"/>
    <w:rsid w:val="00E03200"/>
    <w:rsid w:val="00E13838"/>
    <w:rsid w:val="00E13CCC"/>
    <w:rsid w:val="00E15C65"/>
    <w:rsid w:val="00E2343B"/>
    <w:rsid w:val="00E25566"/>
    <w:rsid w:val="00E27684"/>
    <w:rsid w:val="00E330B8"/>
    <w:rsid w:val="00E34260"/>
    <w:rsid w:val="00E42738"/>
    <w:rsid w:val="00E44CD0"/>
    <w:rsid w:val="00E45C8D"/>
    <w:rsid w:val="00E47468"/>
    <w:rsid w:val="00E600A4"/>
    <w:rsid w:val="00E605F7"/>
    <w:rsid w:val="00E65123"/>
    <w:rsid w:val="00E65153"/>
    <w:rsid w:val="00E71D62"/>
    <w:rsid w:val="00E74CB7"/>
    <w:rsid w:val="00EA0172"/>
    <w:rsid w:val="00EC046D"/>
    <w:rsid w:val="00EC1C0A"/>
    <w:rsid w:val="00ED164C"/>
    <w:rsid w:val="00EE38F6"/>
    <w:rsid w:val="00EF0288"/>
    <w:rsid w:val="00EF085B"/>
    <w:rsid w:val="00EF2665"/>
    <w:rsid w:val="00EF78EC"/>
    <w:rsid w:val="00F00E1F"/>
    <w:rsid w:val="00F00E3C"/>
    <w:rsid w:val="00F04A0A"/>
    <w:rsid w:val="00F11F6F"/>
    <w:rsid w:val="00F15514"/>
    <w:rsid w:val="00F17B48"/>
    <w:rsid w:val="00F26E19"/>
    <w:rsid w:val="00F3132A"/>
    <w:rsid w:val="00F376DD"/>
    <w:rsid w:val="00F45CC1"/>
    <w:rsid w:val="00F4630E"/>
    <w:rsid w:val="00F66761"/>
    <w:rsid w:val="00F6686F"/>
    <w:rsid w:val="00F66F2F"/>
    <w:rsid w:val="00F676E6"/>
    <w:rsid w:val="00F70E85"/>
    <w:rsid w:val="00F761B9"/>
    <w:rsid w:val="00F86899"/>
    <w:rsid w:val="00FA50C6"/>
    <w:rsid w:val="00FB1F02"/>
    <w:rsid w:val="00FB2E6E"/>
    <w:rsid w:val="00FE01F0"/>
    <w:rsid w:val="00FE2F25"/>
    <w:rsid w:val="00FE3402"/>
    <w:rsid w:val="00FE52A1"/>
    <w:rsid w:val="00FF615E"/>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CE85B4"/>
  <w15:docId w15:val="{A125B6C0-E0E3-42CA-9C92-F526380B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27"/>
    <w:pPr>
      <w:spacing w:after="0" w:line="240" w:lineRule="auto"/>
      <w:ind w:left="720"/>
    </w:pPr>
    <w:rPr>
      <w:rFonts w:ascii="Times New Roman" w:eastAsiaTheme="minorEastAsia" w:hAnsi="Times New Roman" w:cs="Times New Roman"/>
      <w:sz w:val="24"/>
      <w:szCs w:val="24"/>
    </w:rPr>
  </w:style>
  <w:style w:type="paragraph" w:styleId="Heading1">
    <w:name w:val="heading 1"/>
    <w:basedOn w:val="Normal"/>
    <w:next w:val="SectionHeading"/>
    <w:link w:val="Heading1Char"/>
    <w:autoRedefine/>
    <w:uiPriority w:val="9"/>
    <w:qFormat/>
    <w:rsid w:val="00CF654D"/>
    <w:pPr>
      <w:keepNext/>
      <w:keepLines/>
      <w:numPr>
        <w:numId w:val="47"/>
      </w:numPr>
      <w:ind w:hanging="720"/>
      <w:outlineLvl w:val="0"/>
    </w:pPr>
    <w:rPr>
      <w:rFonts w:eastAsiaTheme="majorEastAsia"/>
      <w:b/>
      <w:bCs/>
      <w:snapToGrid w:val="0"/>
    </w:rPr>
  </w:style>
  <w:style w:type="paragraph" w:styleId="Heading2">
    <w:name w:val="heading 2"/>
    <w:basedOn w:val="Normal"/>
    <w:next w:val="Normal"/>
    <w:link w:val="Heading2Char"/>
    <w:autoRedefine/>
    <w:uiPriority w:val="9"/>
    <w:unhideWhenUsed/>
    <w:qFormat/>
    <w:rsid w:val="0070544E"/>
    <w:pPr>
      <w:keepNext/>
      <w:numPr>
        <w:numId w:val="50"/>
      </w:numPr>
      <w:ind w:left="360"/>
      <w:outlineLvl w:val="1"/>
    </w:pPr>
    <w:rPr>
      <w:rFonts w:eastAsiaTheme="majorEastAsia"/>
      <w:b/>
      <w:bCs/>
      <w:snapToGrid w:val="0"/>
    </w:rPr>
  </w:style>
  <w:style w:type="paragraph" w:styleId="Heading3">
    <w:name w:val="heading 3"/>
    <w:basedOn w:val="Normal"/>
    <w:next w:val="Normal"/>
    <w:link w:val="Heading3Char"/>
    <w:autoRedefine/>
    <w:uiPriority w:val="9"/>
    <w:unhideWhenUsed/>
    <w:qFormat/>
    <w:rsid w:val="000562A5"/>
    <w:pPr>
      <w:keepNext/>
      <w:keepLines/>
      <w:tabs>
        <w:tab w:val="left" w:pos="-2430"/>
      </w:tabs>
      <w:spacing w:after="120"/>
      <w:ind w:left="0"/>
      <w:outlineLvl w:val="2"/>
    </w:pPr>
    <w:rPr>
      <w:rFonts w:eastAsiaTheme="majorEastAsia"/>
      <w:b/>
      <w:bCs/>
      <w:snapToGrid w:val="0"/>
    </w:rPr>
  </w:style>
  <w:style w:type="paragraph" w:styleId="Heading4">
    <w:name w:val="heading 4"/>
    <w:basedOn w:val="Normal"/>
    <w:next w:val="Normal"/>
    <w:link w:val="Heading4Char"/>
    <w:autoRedefine/>
    <w:uiPriority w:val="9"/>
    <w:unhideWhenUsed/>
    <w:qFormat/>
    <w:rsid w:val="00D94BE1"/>
    <w:pPr>
      <w:keepNext/>
      <w:keepLines/>
      <w:spacing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D94BE1"/>
    <w:pPr>
      <w:keepNext/>
      <w:keepLines/>
      <w:outlineLvl w:val="4"/>
    </w:pPr>
    <w:rPr>
      <w:rFonts w:eastAsiaTheme="majorEastAsia"/>
      <w:b/>
    </w:rPr>
  </w:style>
  <w:style w:type="paragraph" w:styleId="Heading6">
    <w:name w:val="heading 6"/>
    <w:basedOn w:val="Normal"/>
    <w:next w:val="Normal"/>
    <w:link w:val="Heading6Char"/>
    <w:uiPriority w:val="9"/>
    <w:unhideWhenUsed/>
    <w:qFormat/>
    <w:rsid w:val="00D94BE1"/>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D94BE1"/>
    <w:pPr>
      <w:keepNext/>
      <w:keepLines/>
      <w:spacing w:before="200"/>
      <w:outlineLvl w:val="6"/>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54D"/>
    <w:rPr>
      <w:rFonts w:ascii="Times New Roman" w:eastAsiaTheme="majorEastAsia" w:hAnsi="Times New Roman" w:cs="Times New Roman"/>
      <w:b/>
      <w:bCs/>
      <w:snapToGrid w:val="0"/>
      <w:sz w:val="24"/>
      <w:szCs w:val="24"/>
    </w:rPr>
  </w:style>
  <w:style w:type="character" w:customStyle="1" w:styleId="Heading2Char">
    <w:name w:val="Heading 2 Char"/>
    <w:basedOn w:val="DefaultParagraphFont"/>
    <w:link w:val="Heading2"/>
    <w:uiPriority w:val="9"/>
    <w:rsid w:val="0070544E"/>
    <w:rPr>
      <w:rFonts w:ascii="Times New Roman" w:eastAsiaTheme="majorEastAsia" w:hAnsi="Times New Roman" w:cs="Times New Roman"/>
      <w:b/>
      <w:bCs/>
      <w:snapToGrid w:val="0"/>
      <w:sz w:val="24"/>
      <w:szCs w:val="24"/>
    </w:rPr>
  </w:style>
  <w:style w:type="character" w:customStyle="1" w:styleId="Heading3Char">
    <w:name w:val="Heading 3 Char"/>
    <w:basedOn w:val="DefaultParagraphFont"/>
    <w:link w:val="Heading3"/>
    <w:uiPriority w:val="9"/>
    <w:rsid w:val="000562A5"/>
    <w:rPr>
      <w:rFonts w:ascii="Times New Roman" w:eastAsiaTheme="majorEastAsia" w:hAnsi="Times New Roman" w:cs="Times New Roman"/>
      <w:b/>
      <w:bCs/>
      <w:snapToGrid w:val="0"/>
      <w:sz w:val="24"/>
      <w:szCs w:val="24"/>
    </w:rPr>
  </w:style>
  <w:style w:type="character" w:customStyle="1" w:styleId="Heading4Char">
    <w:name w:val="Heading 4 Char"/>
    <w:basedOn w:val="DefaultParagraphFont"/>
    <w:link w:val="Heading4"/>
    <w:uiPriority w:val="9"/>
    <w:rsid w:val="00D94BE1"/>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D94BE1"/>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D94BE1"/>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D94BE1"/>
    <w:rPr>
      <w:rFonts w:asciiTheme="majorHAnsi" w:eastAsiaTheme="majorEastAsia" w:hAnsiTheme="majorHAnsi" w:cstheme="majorBidi"/>
      <w:b/>
      <w:i/>
      <w:iCs/>
      <w:sz w:val="24"/>
      <w:szCs w:val="24"/>
    </w:rPr>
  </w:style>
  <w:style w:type="paragraph" w:customStyle="1" w:styleId="OrderItem">
    <w:name w:val="Order Item"/>
    <w:basedOn w:val="Normal"/>
    <w:rsid w:val="00D94BE1"/>
    <w:pPr>
      <w:spacing w:after="120"/>
      <w:ind w:left="1440" w:hanging="720"/>
    </w:pPr>
    <w:rPr>
      <w:rFonts w:eastAsia="Times New Roman"/>
      <w:snapToGrid w:val="0"/>
      <w:szCs w:val="20"/>
    </w:rPr>
  </w:style>
  <w:style w:type="character" w:styleId="Hyperlink">
    <w:name w:val="Hyperlink"/>
    <w:basedOn w:val="DefaultParagraphFont"/>
    <w:uiPriority w:val="99"/>
    <w:rsid w:val="00D94BE1"/>
    <w:rPr>
      <w:color w:val="0000FF"/>
      <w:u w:val="single"/>
    </w:rPr>
  </w:style>
  <w:style w:type="character" w:styleId="CommentReference">
    <w:name w:val="annotation reference"/>
    <w:basedOn w:val="DefaultParagraphFont"/>
    <w:uiPriority w:val="99"/>
    <w:semiHidden/>
    <w:unhideWhenUsed/>
    <w:rsid w:val="00D94BE1"/>
    <w:rPr>
      <w:sz w:val="16"/>
      <w:szCs w:val="16"/>
    </w:rPr>
  </w:style>
  <w:style w:type="paragraph" w:styleId="CommentText">
    <w:name w:val="annotation text"/>
    <w:basedOn w:val="Normal"/>
    <w:link w:val="CommentTextChar"/>
    <w:uiPriority w:val="99"/>
    <w:unhideWhenUsed/>
    <w:rsid w:val="00D94BE1"/>
    <w:rPr>
      <w:rFonts w:eastAsia="Times New Roman"/>
      <w:sz w:val="20"/>
      <w:szCs w:val="20"/>
    </w:rPr>
  </w:style>
  <w:style w:type="character" w:customStyle="1" w:styleId="CommentTextChar">
    <w:name w:val="Comment Text Char"/>
    <w:basedOn w:val="DefaultParagraphFont"/>
    <w:link w:val="CommentText"/>
    <w:uiPriority w:val="99"/>
    <w:rsid w:val="00D94B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4B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BE1"/>
    <w:rPr>
      <w:rFonts w:ascii="Lucida Grande" w:eastAsiaTheme="minorEastAsia" w:hAnsi="Lucida Grande" w:cs="Lucida Grande"/>
      <w:sz w:val="18"/>
      <w:szCs w:val="18"/>
    </w:rPr>
  </w:style>
  <w:style w:type="paragraph" w:styleId="ListParagraph">
    <w:name w:val="List Paragraph"/>
    <w:basedOn w:val="Normal"/>
    <w:uiPriority w:val="34"/>
    <w:qFormat/>
    <w:rsid w:val="009D2826"/>
    <w:pPr>
      <w:contextualSpacing/>
    </w:pPr>
    <w:rPr>
      <w:rFonts w:eastAsia="Times New Roman"/>
      <w:szCs w:val="20"/>
    </w:rPr>
  </w:style>
  <w:style w:type="paragraph" w:customStyle="1" w:styleId="Agendanumber">
    <w:name w:val="Agenda number"/>
    <w:basedOn w:val="BodyTextIndent2"/>
    <w:rsid w:val="00D94BE1"/>
    <w:pPr>
      <w:numPr>
        <w:numId w:val="1"/>
      </w:numPr>
      <w:tabs>
        <w:tab w:val="left" w:pos="582"/>
        <w:tab w:val="left" w:pos="1170"/>
        <w:tab w:val="left" w:pos="2328"/>
        <w:tab w:val="left" w:pos="2910"/>
        <w:tab w:val="left" w:pos="3492"/>
        <w:tab w:val="left" w:pos="4074"/>
        <w:tab w:val="left" w:pos="4656"/>
        <w:tab w:val="left" w:pos="5238"/>
        <w:tab w:val="left" w:pos="5820"/>
        <w:tab w:val="left" w:pos="6402"/>
        <w:tab w:val="left" w:pos="6984"/>
        <w:tab w:val="left" w:pos="7566"/>
        <w:tab w:val="left" w:pos="8148"/>
        <w:tab w:val="left" w:pos="8730"/>
        <w:tab w:val="left" w:pos="9312"/>
        <w:tab w:val="left" w:pos="9894"/>
        <w:tab w:val="left" w:pos="10476"/>
        <w:tab w:val="left" w:pos="11058"/>
        <w:tab w:val="left" w:pos="11640"/>
        <w:tab w:val="left" w:pos="12222"/>
      </w:tabs>
      <w:suppressAutoHyphens/>
      <w:spacing w:after="0" w:line="240" w:lineRule="auto"/>
    </w:pPr>
    <w:rPr>
      <w:rFonts w:eastAsia="Times New Roman"/>
      <w:sz w:val="22"/>
      <w:szCs w:val="20"/>
    </w:rPr>
  </w:style>
  <w:style w:type="paragraph" w:styleId="BodyTextIndent2">
    <w:name w:val="Body Text Indent 2"/>
    <w:basedOn w:val="Normal"/>
    <w:link w:val="BodyTextIndent2Char"/>
    <w:uiPriority w:val="99"/>
    <w:semiHidden/>
    <w:unhideWhenUsed/>
    <w:rsid w:val="00D94BE1"/>
    <w:pPr>
      <w:spacing w:after="120" w:line="480" w:lineRule="auto"/>
      <w:ind w:left="360"/>
    </w:pPr>
  </w:style>
  <w:style w:type="character" w:customStyle="1" w:styleId="BodyTextIndent2Char">
    <w:name w:val="Body Text Indent 2 Char"/>
    <w:basedOn w:val="DefaultParagraphFont"/>
    <w:link w:val="BodyTextIndent2"/>
    <w:uiPriority w:val="99"/>
    <w:semiHidden/>
    <w:rsid w:val="00D94BE1"/>
    <w:rPr>
      <w:rFonts w:eastAsiaTheme="minorEastAsia"/>
      <w:sz w:val="24"/>
      <w:szCs w:val="24"/>
    </w:rPr>
  </w:style>
  <w:style w:type="paragraph" w:styleId="FootnoteText">
    <w:name w:val="footnote text"/>
    <w:basedOn w:val="Normal"/>
    <w:link w:val="FootnoteTextChar"/>
    <w:uiPriority w:val="99"/>
    <w:semiHidden/>
    <w:rsid w:val="00D94BE1"/>
    <w:rPr>
      <w:rFonts w:eastAsia="Times New Roman"/>
      <w:sz w:val="20"/>
      <w:szCs w:val="20"/>
    </w:rPr>
  </w:style>
  <w:style w:type="character" w:customStyle="1" w:styleId="FootnoteTextChar">
    <w:name w:val="Footnote Text Char"/>
    <w:basedOn w:val="DefaultParagraphFont"/>
    <w:link w:val="FootnoteText"/>
    <w:uiPriority w:val="99"/>
    <w:semiHidden/>
    <w:rsid w:val="00D94B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94BE1"/>
    <w:rPr>
      <w:vertAlign w:val="superscript"/>
    </w:rPr>
  </w:style>
  <w:style w:type="table" w:styleId="TableGrid">
    <w:name w:val="Table Grid"/>
    <w:basedOn w:val="TableNormal"/>
    <w:uiPriority w:val="59"/>
    <w:rsid w:val="00D94B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94BE1"/>
    <w:rPr>
      <w:rFonts w:eastAsia="Times New Roman"/>
      <w:sz w:val="22"/>
      <w:szCs w:val="20"/>
    </w:rPr>
  </w:style>
  <w:style w:type="paragraph" w:styleId="CommentSubject">
    <w:name w:val="annotation subject"/>
    <w:basedOn w:val="CommentText"/>
    <w:next w:val="CommentText"/>
    <w:link w:val="CommentSubjectChar"/>
    <w:uiPriority w:val="99"/>
    <w:semiHidden/>
    <w:unhideWhenUsed/>
    <w:rsid w:val="00D94BE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94BE1"/>
    <w:rPr>
      <w:rFonts w:ascii="Times New Roman" w:eastAsiaTheme="minorEastAsia" w:hAnsi="Times New Roman" w:cs="Times New Roman"/>
      <w:b/>
      <w:bCs/>
      <w:sz w:val="20"/>
      <w:szCs w:val="20"/>
    </w:rPr>
  </w:style>
  <w:style w:type="paragraph" w:styleId="BodyText">
    <w:name w:val="Body Text"/>
    <w:basedOn w:val="Normal"/>
    <w:link w:val="BodyTextChar"/>
    <w:uiPriority w:val="99"/>
    <w:unhideWhenUsed/>
    <w:rsid w:val="00D94BE1"/>
    <w:pPr>
      <w:spacing w:after="120"/>
    </w:pPr>
  </w:style>
  <w:style w:type="character" w:customStyle="1" w:styleId="BodyTextChar">
    <w:name w:val="Body Text Char"/>
    <w:basedOn w:val="DefaultParagraphFont"/>
    <w:link w:val="BodyText"/>
    <w:uiPriority w:val="99"/>
    <w:rsid w:val="00D94BE1"/>
    <w:rPr>
      <w:rFonts w:eastAsiaTheme="minorEastAsia"/>
      <w:sz w:val="24"/>
      <w:szCs w:val="24"/>
    </w:rPr>
  </w:style>
  <w:style w:type="paragraph" w:customStyle="1" w:styleId="HangingIndent">
    <w:name w:val="Hanging Indent"/>
    <w:basedOn w:val="Normal"/>
    <w:autoRedefine/>
    <w:rsid w:val="00D94BE1"/>
    <w:rPr>
      <w:rFonts w:eastAsia="Times New Roman"/>
      <w:snapToGrid w:val="0"/>
      <w:sz w:val="22"/>
      <w:szCs w:val="20"/>
    </w:rPr>
  </w:style>
  <w:style w:type="paragraph" w:styleId="BodyTextIndent">
    <w:name w:val="Body Text Indent"/>
    <w:basedOn w:val="Normal"/>
    <w:link w:val="BodyTextIndentChar"/>
    <w:uiPriority w:val="99"/>
    <w:semiHidden/>
    <w:unhideWhenUsed/>
    <w:rsid w:val="00D94BE1"/>
    <w:pPr>
      <w:spacing w:after="120"/>
      <w:ind w:left="360"/>
    </w:pPr>
  </w:style>
  <w:style w:type="character" w:customStyle="1" w:styleId="BodyTextIndentChar">
    <w:name w:val="Body Text Indent Char"/>
    <w:basedOn w:val="DefaultParagraphFont"/>
    <w:link w:val="BodyTextIndent"/>
    <w:uiPriority w:val="99"/>
    <w:semiHidden/>
    <w:rsid w:val="00D94BE1"/>
    <w:rPr>
      <w:rFonts w:eastAsiaTheme="minorEastAsia"/>
      <w:sz w:val="24"/>
      <w:szCs w:val="24"/>
    </w:rPr>
  </w:style>
  <w:style w:type="paragraph" w:customStyle="1" w:styleId="SectionHeading">
    <w:name w:val="Section Heading"/>
    <w:basedOn w:val="BodyText"/>
    <w:link w:val="SectionHeadingChar"/>
    <w:qFormat/>
    <w:rsid w:val="00D94BE1"/>
    <w:pPr>
      <w:numPr>
        <w:numId w:val="2"/>
      </w:numPr>
      <w:tabs>
        <w:tab w:val="left" w:pos="360"/>
        <w:tab w:val="left" w:pos="1080"/>
        <w:tab w:val="left" w:pos="1440"/>
        <w:tab w:val="left" w:pos="1800"/>
        <w:tab w:val="left" w:pos="2160"/>
        <w:tab w:val="left" w:pos="2520"/>
      </w:tabs>
      <w:spacing w:after="0"/>
    </w:pPr>
    <w:rPr>
      <w:rFonts w:eastAsia="Times New Roman"/>
      <w:b/>
      <w:snapToGrid w:val="0"/>
      <w:szCs w:val="20"/>
    </w:rPr>
  </w:style>
  <w:style w:type="character" w:customStyle="1" w:styleId="SectionHeadingChar">
    <w:name w:val="Section Heading Char"/>
    <w:basedOn w:val="BodyTextChar"/>
    <w:link w:val="SectionHeading"/>
    <w:rsid w:val="00D94BE1"/>
    <w:rPr>
      <w:rFonts w:ascii="Times New Roman" w:eastAsia="Times New Roman" w:hAnsi="Times New Roman" w:cs="Times New Roman"/>
      <w:b/>
      <w:snapToGrid w:val="0"/>
      <w:sz w:val="24"/>
      <w:szCs w:val="20"/>
    </w:rPr>
  </w:style>
  <w:style w:type="paragraph" w:styleId="TOCHeading">
    <w:name w:val="TOC Heading"/>
    <w:basedOn w:val="Heading1"/>
    <w:next w:val="Normal"/>
    <w:uiPriority w:val="39"/>
    <w:unhideWhenUsed/>
    <w:qFormat/>
    <w:rsid w:val="00D94BE1"/>
    <w:pPr>
      <w:spacing w:before="480" w:line="276" w:lineRule="auto"/>
      <w:outlineLvl w:val="9"/>
    </w:pPr>
    <w:rPr>
      <w:rFonts w:asciiTheme="majorHAnsi" w:hAnsiTheme="majorHAnsi" w:cstheme="majorBidi"/>
      <w:b w:val="0"/>
      <w:snapToGrid/>
      <w:color w:val="365F91" w:themeColor="accent1" w:themeShade="BF"/>
      <w:sz w:val="28"/>
      <w:szCs w:val="28"/>
    </w:rPr>
  </w:style>
  <w:style w:type="paragraph" w:styleId="TOC1">
    <w:name w:val="toc 1"/>
    <w:basedOn w:val="Normal"/>
    <w:next w:val="Normal"/>
    <w:autoRedefine/>
    <w:uiPriority w:val="39"/>
    <w:unhideWhenUsed/>
    <w:rsid w:val="00D94BE1"/>
    <w:pPr>
      <w:tabs>
        <w:tab w:val="left" w:pos="480"/>
        <w:tab w:val="right" w:leader="dot" w:pos="8630"/>
      </w:tabs>
      <w:spacing w:before="120"/>
    </w:pPr>
    <w:rPr>
      <w:rFonts w:asciiTheme="majorHAnsi" w:hAnsiTheme="majorHAnsi"/>
      <w:noProof/>
      <w:color w:val="548DD4"/>
    </w:rPr>
  </w:style>
  <w:style w:type="paragraph" w:styleId="TOC2">
    <w:name w:val="toc 2"/>
    <w:basedOn w:val="Normal"/>
    <w:next w:val="Normal"/>
    <w:autoRedefine/>
    <w:uiPriority w:val="39"/>
    <w:unhideWhenUsed/>
    <w:rsid w:val="00D35F67"/>
    <w:pPr>
      <w:tabs>
        <w:tab w:val="left" w:pos="1620"/>
        <w:tab w:val="right" w:leader="dot" w:pos="8550"/>
        <w:tab w:val="right" w:leader="dot" w:pos="9350"/>
      </w:tabs>
      <w:spacing w:after="120"/>
      <w:ind w:left="1200" w:right="810"/>
    </w:pPr>
    <w:rPr>
      <w:sz w:val="22"/>
      <w:szCs w:val="22"/>
    </w:rPr>
  </w:style>
  <w:style w:type="paragraph" w:styleId="TOC3">
    <w:name w:val="toc 3"/>
    <w:basedOn w:val="Normal"/>
    <w:next w:val="Normal"/>
    <w:autoRedefine/>
    <w:uiPriority w:val="39"/>
    <w:unhideWhenUsed/>
    <w:rsid w:val="00D94BE1"/>
    <w:pPr>
      <w:ind w:left="240"/>
    </w:pPr>
    <w:rPr>
      <w:i/>
      <w:sz w:val="22"/>
      <w:szCs w:val="22"/>
    </w:rPr>
  </w:style>
  <w:style w:type="paragraph" w:styleId="TOC4">
    <w:name w:val="toc 4"/>
    <w:basedOn w:val="Normal"/>
    <w:next w:val="Normal"/>
    <w:autoRedefine/>
    <w:uiPriority w:val="39"/>
    <w:unhideWhenUsed/>
    <w:rsid w:val="00D94BE1"/>
    <w:pPr>
      <w:pBdr>
        <w:between w:val="double" w:sz="6" w:space="0" w:color="auto"/>
      </w:pBdr>
      <w:ind w:left="480"/>
    </w:pPr>
    <w:rPr>
      <w:sz w:val="20"/>
      <w:szCs w:val="20"/>
    </w:rPr>
  </w:style>
  <w:style w:type="paragraph" w:styleId="TOC5">
    <w:name w:val="toc 5"/>
    <w:basedOn w:val="Normal"/>
    <w:next w:val="Normal"/>
    <w:autoRedefine/>
    <w:uiPriority w:val="39"/>
    <w:unhideWhenUsed/>
    <w:rsid w:val="00D94BE1"/>
    <w:pPr>
      <w:pBdr>
        <w:between w:val="double" w:sz="6" w:space="0" w:color="auto"/>
      </w:pBdr>
    </w:pPr>
    <w:rPr>
      <w:sz w:val="20"/>
      <w:szCs w:val="20"/>
    </w:rPr>
  </w:style>
  <w:style w:type="paragraph" w:styleId="TOC6">
    <w:name w:val="toc 6"/>
    <w:basedOn w:val="Normal"/>
    <w:next w:val="Normal"/>
    <w:autoRedefine/>
    <w:uiPriority w:val="39"/>
    <w:unhideWhenUsed/>
    <w:rsid w:val="00D94BE1"/>
    <w:pPr>
      <w:pBdr>
        <w:between w:val="double" w:sz="6" w:space="0" w:color="auto"/>
      </w:pBdr>
      <w:ind w:left="960"/>
    </w:pPr>
    <w:rPr>
      <w:sz w:val="20"/>
      <w:szCs w:val="20"/>
    </w:rPr>
  </w:style>
  <w:style w:type="paragraph" w:styleId="TOC7">
    <w:name w:val="toc 7"/>
    <w:basedOn w:val="Normal"/>
    <w:next w:val="Normal"/>
    <w:autoRedefine/>
    <w:uiPriority w:val="39"/>
    <w:unhideWhenUsed/>
    <w:rsid w:val="00D94BE1"/>
    <w:pPr>
      <w:pBdr>
        <w:between w:val="double" w:sz="6" w:space="0" w:color="auto"/>
      </w:pBdr>
      <w:ind w:left="1200"/>
    </w:pPr>
    <w:rPr>
      <w:sz w:val="20"/>
      <w:szCs w:val="20"/>
    </w:rPr>
  </w:style>
  <w:style w:type="paragraph" w:styleId="TOC8">
    <w:name w:val="toc 8"/>
    <w:basedOn w:val="Normal"/>
    <w:next w:val="Normal"/>
    <w:autoRedefine/>
    <w:uiPriority w:val="39"/>
    <w:unhideWhenUsed/>
    <w:rsid w:val="00D94BE1"/>
    <w:pPr>
      <w:pBdr>
        <w:between w:val="double" w:sz="6" w:space="0" w:color="auto"/>
      </w:pBdr>
      <w:ind w:left="1440"/>
    </w:pPr>
    <w:rPr>
      <w:sz w:val="20"/>
      <w:szCs w:val="20"/>
    </w:rPr>
  </w:style>
  <w:style w:type="paragraph" w:styleId="TOC9">
    <w:name w:val="toc 9"/>
    <w:basedOn w:val="Normal"/>
    <w:next w:val="Normal"/>
    <w:autoRedefine/>
    <w:uiPriority w:val="39"/>
    <w:unhideWhenUsed/>
    <w:rsid w:val="00D94BE1"/>
    <w:pPr>
      <w:pBdr>
        <w:between w:val="double" w:sz="6" w:space="0" w:color="auto"/>
      </w:pBdr>
      <w:ind w:left="1680"/>
    </w:pPr>
    <w:rPr>
      <w:sz w:val="20"/>
      <w:szCs w:val="20"/>
    </w:rPr>
  </w:style>
  <w:style w:type="paragraph" w:styleId="Header">
    <w:name w:val="header"/>
    <w:basedOn w:val="Normal"/>
    <w:link w:val="HeaderChar"/>
    <w:uiPriority w:val="99"/>
    <w:unhideWhenUsed/>
    <w:rsid w:val="00D94BE1"/>
    <w:pPr>
      <w:tabs>
        <w:tab w:val="center" w:pos="4680"/>
        <w:tab w:val="right" w:pos="9360"/>
      </w:tabs>
    </w:pPr>
  </w:style>
  <w:style w:type="character" w:customStyle="1" w:styleId="HeaderChar">
    <w:name w:val="Header Char"/>
    <w:basedOn w:val="DefaultParagraphFont"/>
    <w:link w:val="Header"/>
    <w:uiPriority w:val="99"/>
    <w:rsid w:val="00D94BE1"/>
    <w:rPr>
      <w:rFonts w:eastAsiaTheme="minorEastAsia"/>
      <w:sz w:val="24"/>
      <w:szCs w:val="24"/>
    </w:rPr>
  </w:style>
  <w:style w:type="paragraph" w:styleId="Footer">
    <w:name w:val="footer"/>
    <w:basedOn w:val="Normal"/>
    <w:link w:val="FooterChar"/>
    <w:uiPriority w:val="99"/>
    <w:unhideWhenUsed/>
    <w:rsid w:val="00D94BE1"/>
    <w:pPr>
      <w:tabs>
        <w:tab w:val="center" w:pos="4680"/>
        <w:tab w:val="right" w:pos="9360"/>
      </w:tabs>
    </w:pPr>
  </w:style>
  <w:style w:type="character" w:customStyle="1" w:styleId="FooterChar">
    <w:name w:val="Footer Char"/>
    <w:basedOn w:val="DefaultParagraphFont"/>
    <w:link w:val="Footer"/>
    <w:uiPriority w:val="99"/>
    <w:rsid w:val="00D94BE1"/>
    <w:rPr>
      <w:rFonts w:eastAsiaTheme="minorEastAsia"/>
      <w:sz w:val="24"/>
      <w:szCs w:val="24"/>
    </w:rPr>
  </w:style>
  <w:style w:type="paragraph" w:styleId="Revision">
    <w:name w:val="Revision"/>
    <w:hidden/>
    <w:uiPriority w:val="99"/>
    <w:semiHidden/>
    <w:rsid w:val="00D94BE1"/>
    <w:pPr>
      <w:spacing w:after="0" w:line="240" w:lineRule="auto"/>
    </w:pPr>
    <w:rPr>
      <w:rFonts w:eastAsiaTheme="minorEastAsia"/>
      <w:sz w:val="24"/>
      <w:szCs w:val="24"/>
    </w:rPr>
  </w:style>
  <w:style w:type="paragraph" w:styleId="Title">
    <w:name w:val="Title"/>
    <w:basedOn w:val="Normal"/>
    <w:next w:val="Normal"/>
    <w:link w:val="TitleChar"/>
    <w:uiPriority w:val="10"/>
    <w:qFormat/>
    <w:rsid w:val="00D94B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BE1"/>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link w:val="CaptionChar"/>
    <w:uiPriority w:val="35"/>
    <w:unhideWhenUsed/>
    <w:qFormat/>
    <w:rsid w:val="001C6387"/>
    <w:pPr>
      <w:spacing w:after="200"/>
      <w:jc w:val="center"/>
    </w:pPr>
    <w:rPr>
      <w:b/>
      <w:bCs/>
      <w:color w:val="000000" w:themeColor="text1"/>
      <w:szCs w:val="18"/>
    </w:rPr>
  </w:style>
  <w:style w:type="paragraph" w:styleId="TableofFigures">
    <w:name w:val="table of figures"/>
    <w:basedOn w:val="Normal"/>
    <w:next w:val="Normal"/>
    <w:uiPriority w:val="99"/>
    <w:unhideWhenUsed/>
    <w:rsid w:val="00D94BE1"/>
  </w:style>
  <w:style w:type="character" w:styleId="PlaceholderText">
    <w:name w:val="Placeholder Text"/>
    <w:basedOn w:val="DefaultParagraphFont"/>
    <w:uiPriority w:val="99"/>
    <w:semiHidden/>
    <w:rsid w:val="00D94BE1"/>
    <w:rPr>
      <w:color w:val="808080"/>
    </w:rPr>
  </w:style>
  <w:style w:type="character" w:styleId="FollowedHyperlink">
    <w:name w:val="FollowedHyperlink"/>
    <w:basedOn w:val="DefaultParagraphFont"/>
    <w:uiPriority w:val="99"/>
    <w:semiHidden/>
    <w:unhideWhenUsed/>
    <w:rsid w:val="00F04A0A"/>
    <w:rPr>
      <w:color w:val="800080" w:themeColor="followedHyperlink"/>
      <w:u w:val="single"/>
    </w:rPr>
  </w:style>
  <w:style w:type="paragraph" w:customStyle="1" w:styleId="Table">
    <w:name w:val="Table"/>
    <w:basedOn w:val="Caption"/>
    <w:link w:val="TableChar"/>
    <w:qFormat/>
    <w:rsid w:val="008C00FE"/>
    <w:rPr>
      <w:color w:val="auto"/>
      <w:szCs w:val="24"/>
    </w:rPr>
  </w:style>
  <w:style w:type="character" w:customStyle="1" w:styleId="CaptionChar">
    <w:name w:val="Caption Char"/>
    <w:basedOn w:val="DefaultParagraphFont"/>
    <w:link w:val="Caption"/>
    <w:uiPriority w:val="35"/>
    <w:rsid w:val="001C6387"/>
    <w:rPr>
      <w:rFonts w:ascii="Times New Roman" w:eastAsiaTheme="minorEastAsia" w:hAnsi="Times New Roman" w:cs="Times New Roman"/>
      <w:b/>
      <w:bCs/>
      <w:color w:val="000000" w:themeColor="text1"/>
      <w:sz w:val="24"/>
      <w:szCs w:val="18"/>
    </w:rPr>
  </w:style>
  <w:style w:type="character" w:customStyle="1" w:styleId="TableChar">
    <w:name w:val="Table Char"/>
    <w:basedOn w:val="CaptionChar"/>
    <w:link w:val="Table"/>
    <w:rsid w:val="008C00FE"/>
    <w:rPr>
      <w:rFonts w:ascii="Times New Roman" w:eastAsiaTheme="minorEastAsia" w:hAnsi="Times New Roman" w:cs="Times New Roman"/>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4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aterboards.ca.gov/sanfranciscobay/water_issues/programs/on_site_wastewater_treatment_systems.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terboards.ca.gov/sanfranciscobay/water_issues/programs/on_site_wastewater_treatment_systems.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ites/production/files/2015-10/documents/7520-16_508c.pdf" TargetMode="External"/><Relationship Id="rId5" Type="http://schemas.openxmlformats.org/officeDocument/2006/relationships/webSettings" Target="webSettings.xml"/><Relationship Id="rId15" Type="http://schemas.openxmlformats.org/officeDocument/2006/relationships/hyperlink" Target="http://www.waterboards.ca.gov/drinking_water/programs/documents/ddwem/DDWdistrictofficesmap.pdf" TargetMode="External"/><Relationship Id="rId23" Type="http://schemas.openxmlformats.org/officeDocument/2006/relationships/theme" Target="theme/theme1.xml"/><Relationship Id="rId10" Type="http://schemas.openxmlformats.org/officeDocument/2006/relationships/hyperlink" Target="http://www.waterboards.ca.gov/resources/fees/water_qual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aterboards.ca.gov/sanfranciscobay/water_issues/programs/planningtmdls/basinplan/web/tab/tab_2-02.pdf" TargetMode="External"/><Relationship Id="rId14" Type="http://schemas.openxmlformats.org/officeDocument/2006/relationships/hyperlink" Target="http://www.waterboards.ca.gov/waterboards_map.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ipcertified.org/" TargetMode="External"/><Relationship Id="rId2" Type="http://schemas.openxmlformats.org/officeDocument/2006/relationships/hyperlink" Target="http://www.sustainablewinegrowing.org/certified-sustainable-winegrowing.php" TargetMode="External"/><Relationship Id="rId1" Type="http://schemas.openxmlformats.org/officeDocument/2006/relationships/hyperlink" Target="http://www.waterboards.ca.gov/board_decisions/adopted_orders/water_quality/2015/wqo2015_0121_dw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Zoe10</b:Tag>
    <b:SourceType>ElectronicSource</b:SourceType>
    <b:Guid>{5F512EDC-7EAC-48E6-A2D5-A571E8577A73}</b:Guid>
    <b:Author>
      <b:Author>
        <b:NameList>
          <b:Person>
            <b:Last>Zoecklein</b:Last>
            <b:First>Dr.</b:First>
            <b:Middle>Bruce and Chouinard, J.A.</b:Middle>
          </b:Person>
        </b:NameList>
      </b:Author>
      <b:ProducerName>
        <b:NameList>
          <b:Person>
            <b:Last>Technology</b:Last>
            <b:First>Virginia</b:First>
            <b:Middle>Tech Department of Food Science and</b:Middle>
          </b:Person>
        </b:NameList>
      </b:ProducerName>
    </b:Author>
    <b:Title>Enology Notes #155. Wine / Enology Grape Chemistry Group.</b:Title>
    <b:City>Blacksburg</b:City>
    <b:StateProvince>Virginia</b:StateProvince>
    <b:Year>2010</b:Year>
    <b:Month>August</b:Month>
    <b:Day>9</b:Day>
    <b:URL>http://www.apps.fst.vt.edu/extension/enology/EN/155.html#5</b:URL>
    <b:RefOrder>1</b:RefOrder>
  </b:Source>
  <b:Source>
    <b:Tag>Bue15</b:Tag>
    <b:SourceType>ArticleInAPeriodical</b:SourceType>
    <b:Guid>{D64F578B-717C-4FAA-B3FB-B866A89158AF}</b:Guid>
    <b:Title>Characterization of Winery Wastewater for Reuse in California</b:Title>
    <b:Year>2015</b:Year>
    <b:Author>
      <b:Author>
        <b:NameList>
          <b:Person>
            <b:Last>Buelow</b:Last>
            <b:First>M.,</b:First>
            <b:Middle>Steewerth, K., Silva, L., Parikh, S.</b:Middle>
          </b:Person>
        </b:NameList>
      </b:Author>
    </b:Author>
    <b:PeriodicalTitle>American Society for Enology and Viticulture</b:PeriodicalTitle>
    <b:Pages>302-310</b:Pages>
    <b:Volume>66</b:Volume>
    <b:Issue>3</b:Issue>
    <b:RefOrder>2</b:RefOrder>
  </b:Source>
  <b:Source>
    <b:Tag>Smi06</b:Tag>
    <b:SourceType>Book</b:SourceType>
    <b:Guid>{C0561716-BED7-47C6-89DE-AD8D6E14CBEA}</b:Guid>
    <b:Author>
      <b:Author>
        <b:NameList>
          <b:Person>
            <b:Last>Smith</b:Last>
            <b:First>Dr.</b:First>
            <b:Middle>James</b:Middle>
          </b:Person>
        </b:NameList>
      </b:Author>
    </b:Author>
    <b:Title>EPA Process Design Manual Land Treatment of Municipal Wastewater Effluents</b:Title>
    <b:Year>2006</b:Year>
    <b:Volume>EPA/625/R-06/016</b:Volume>
    <b:RefOrder>3</b:RefOrder>
  </b:Source>
  <b:Source>
    <b:Tag>Cri98</b:Tag>
    <b:SourceType>Book</b:SourceType>
    <b:Guid>{9A31009B-97BD-413C-AF6B-1664780F9A32}</b:Guid>
    <b:Author>
      <b:Author>
        <b:NameList>
          <b:Person>
            <b:Last>Crites</b:Last>
            <b:First>Ron</b:First>
          </b:Person>
          <b:Person>
            <b:Last>Tchobanoglous</b:Last>
            <b:First>George</b:First>
          </b:Person>
        </b:NameList>
      </b:Author>
    </b:Author>
    <b:Title>Small and Decentralized Wastewater Management Systems</b:Title>
    <b:Year>1998</b:Year>
    <b:Publisher>WCB/McGraw-Hill</b:Publisher>
    <b:RefOrder>4</b:RefOrder>
  </b:Source>
  <b:Source>
    <b:Tag>Kem14</b:Tag>
    <b:SourceType>ElectronicSource</b:SourceType>
    <b:Guid>{9B22F7BD-E898-4C1A-8DAB-0E333E5D2511}</b:Guid>
    <b:Title>Conductivity, Salinity and Total Dissolved Solids. Fundamentals of Environmental Measurements.</b:Title>
    <b:Year>2014</b:Year>
    <b:Month>March</b:Month>
    <b:Day>03</b:Day>
    <b:Author>
      <b:Author>
        <b:NameList>
          <b:Person>
            <b:Last>Kemker</b:Last>
            <b:First>Christine</b:First>
          </b:Person>
        </b:NameList>
      </b:Author>
    </b:Author>
    <b:Publisher>Fondriest Environmental, Inc.</b:Publisher>
    <b:URL>http://www.fondriest.com/environmental-measurements/parameters/water-quality/conductivity-salinity-tds/</b:URL>
    <b:RefOrder>5</b:RefOrder>
  </b:Source>
  <b:Source>
    <b:Tag>McD06</b:Tag>
    <b:SourceType>Book</b:SourceType>
    <b:Guid>{24D595E4-2F05-45EE-B2E7-1C816CB51D71}</b:Guid>
    <b:Title>Anaerobic Processes. Encyclopedia of Soil Science.</b:Title>
    <b:Year>2006</b:Year>
    <b:City>Boca Raton</b:City>
    <b:Publisher>Taylor &amp; Francis Group</b:Publisher>
    <b:Author>
      <b:Author>
        <b:NameList>
          <b:Person>
            <b:Last>McDaniel</b:Last>
            <b:First>P.</b:First>
            <b:Middle>A.</b:Middle>
          </b:Person>
        </b:NameList>
      </b:Author>
    </b:Author>
    <b:Pages>97-100</b:Pages>
    <b:StateProvince>FL</b:StateProvince>
    <b:RefOrder>6</b:RefOrder>
  </b:Source>
  <b:Source>
    <b:Tag>Les09</b:Tag>
    <b:SourceType>JournalArticle</b:SourceType>
    <b:Guid>{811EA929-172D-4F97-A08B-A6510A0642DD}</b:Guid>
    <b:Title>A Short Note of Calculating the Adjusted SAR Index</b:Title>
    <b:Year>2009</b:Year>
    <b:JournalName>American Society of Agricultural and Biological Engineers</b:JournalName>
    <b:Pages>493-496</b:Pages>
    <b:Author>
      <b:Author>
        <b:NameList>
          <b:Person>
            <b:Last>Lesch</b:Last>
            <b:Middle>M.</b:Middle>
            <b:First>Scott</b:First>
          </b:Person>
          <b:Person>
            <b:Last>Suarez</b:Last>
            <b:Middle>L.</b:Middle>
            <b:First>Donald</b:First>
          </b:Person>
        </b:NameList>
      </b:Author>
    </b:Author>
    <b:Volume>52</b:Volume>
    <b:Issue>2</b:Issue>
    <b:RefOrder>7</b:RefOrder>
  </b:Source>
  <b:Source>
    <b:Tag>Jen90</b:Tag>
    <b:SourceType>JournalArticle</b:SourceType>
    <b:Guid>{796FD844-7E3D-44CE-9464-54519241C035}</b:Guid>
    <b:Title>Technology assessment of wastewater treatment by soil infiltration systems</b:Title>
    <b:Year>1990</b:Year>
    <b:Author>
      <b:Author>
        <b:NameList>
          <b:Person>
            <b:Last>Jenssen</b:Last>
            <b:First>P.</b:First>
            <b:Middle>D.</b:Middle>
          </b:Person>
          <b:Person>
            <b:Last>Siegrist</b:Last>
            <b:First>R.</b:First>
            <b:Middle>L.</b:Middle>
          </b:Person>
        </b:NameList>
      </b:Author>
    </b:Author>
    <b:JournalName>Water Science and Technology</b:JournalName>
    <b:Pages>83-92</b:Pages>
    <b:Volume>22</b:Volume>
    <b:Issue>3/4</b:Issue>
    <b:RefOrder>8</b:RefOrder>
  </b:Source>
  <b:Source>
    <b:Tag>Cal14</b:Tag>
    <b:SourceType>Misc</b:SourceType>
    <b:Guid>{FDF7C8BA-AEB7-43D3-867C-2E9646DEF579}</b:Guid>
    <b:Title>Water Quality Order 2014-0153-DWQ General Waste Discharge Requirements for Discharges to Land by Small Domestic Systems</b:Title>
    <b:Year>2014</b:Year>
    <b:Author>
      <b:Author>
        <b:NameList>
          <b:Person>
            <b:Last>State Board</b:Last>
            <b:First>California</b:First>
            <b:Middle>State Water Resources Control Board</b:Middle>
          </b:Person>
        </b:NameList>
      </b:Author>
    </b:Author>
    <b:RefOrder>9</b:RefOrder>
  </b:Source>
  <b:Source>
    <b:Tag>Bro</b:Tag>
    <b:SourceType>Book</b:SourceType>
    <b:Guid>{99F61C3D-1AF4-4850-974B-25B6E66CE186}</b:Guid>
    <b:Author>
      <b:Author>
        <b:Corporate>Brown and Caldwell &amp; Kennedy/Jenks Consultants</b:Corporate>
      </b:Author>
    </b:Author>
    <b:Title>Manual of Good Practice for Land Application of Food Processing/Rinse Water</b:Title>
    <b:Year>2007</b:Year>
    <b:Publisher>Prepared for California League of Food Processors</b:Publisher>
    <b:RefOrder>10</b:RefOrder>
  </b:Source>
  <b:Source>
    <b:Tag>Jul14</b:Tag>
    <b:SourceType>Report</b:SourceType>
    <b:Guid>{C8EAD717-6C9A-48F6-B570-7732E71EDF23}</b:Guid>
    <b:Title>Evaluation of Organic Loading and Hydraulic Rest Period of Food Processing Wastewater Irrigation to Prevent Mobilization of Transition Metals</b:Title>
    <b:Year>2014</b:Year>
    <b:Author>
      <b:Author>
        <b:NameList>
          <b:Person>
            <b:Last>Julien</b:Last>
            <b:First>Ryan</b:First>
          </b:Person>
        </b:NameList>
      </b:Author>
    </b:Author>
    <b:Publisher>Michigan State University</b:Publisher>
    <b:ThesisType>Thesis</b:ThesisType>
    <b:RefOrder>11</b:RefOrder>
  </b:Source>
  <b:Source>
    <b:Tag>Qas99</b:Tag>
    <b:SourceType>Book</b:SourceType>
    <b:Guid>{2B4B33BD-86A9-451D-A6F8-55D8992FE2F6}</b:Guid>
    <b:Title>Wastewater Treatment Plants Planning, Design, and Operation</b:Title>
    <b:Year>1999</b:Year>
    <b:Publisher>Technomic Publishing Company, Inc.</b:Publisher>
    <b:City>Lancaster</b:City>
    <b:Author>
      <b:Author>
        <b:NameList>
          <b:Person>
            <b:Last>Qasim</b:Last>
            <b:First>Syed</b:First>
          </b:Person>
        </b:NameList>
      </b:Author>
    </b:Author>
    <b:StateProvince>Pennsylvania</b:StateProvince>
    <b:Pages>46-47</b:Pages>
    <b:Edition>Second</b:Edition>
    <b:RefOrder>12</b:RefOrder>
  </b:Source>
  <b:Source>
    <b:Tag>htt</b:Tag>
    <b:SourceType>ElectronicSource</b:SourceType>
    <b:Guid>{507FD6AD-CAC7-44D2-A262-987816B4923D}</b:Guid>
    <b:URL>http://www.fsaconsulting.net/pdfs/EPA_Wine_Industry_Best_Practice_water_use.pdf</b:URL>
    <b:Title>Best Practice Guide for Water and Waste Management in the Queensland Wine Industry</b:Title>
    <b:City>Brisbane</b:City>
    <b:StateProvince>Queensland</b:StateProvince>
    <b:CountryRegion>Australia</b:CountryRegion>
    <b:Year>2006</b:Year>
    <b:Month>May</b:Month>
    <b:Author>
      <b:Author>
        <b:Corporate>FSA Consulting</b:Corporate>
      </b:Author>
    </b:Author>
    <b:RefOrder>13</b:RefOrder>
  </b:Source>
  <b:Source>
    <b:Tag>Mas10</b:Tag>
    <b:SourceType>JournalArticle</b:SourceType>
    <b:Guid>{EDCB63D9-BF71-462B-9675-37BA2D6F1D91}</b:Guid>
    <b:Title>Nitrogen uptake, assimilation and remobilization in plants: challenges for sustainable and productive agriculture</b:Title>
    <b:Year>2010</b:Year>
    <b:Publisher>Oxford Journals</b:Publisher>
    <b:Author>
      <b:Author>
        <b:NameList>
          <b:Person>
            <b:Last>Masclaux-Daubresse</b:Last>
            <b:First>C.</b:First>
          </b:Person>
          <b:Person>
            <b:Last>Daniel-Vedele</b:Last>
            <b:First>F.</b:First>
          </b:Person>
          <b:Person>
            <b:Last>Dechorgnat</b:Last>
            <b:First>J.</b:First>
          </b:Person>
          <b:Person>
            <b:Last>Chardon</b:Last>
            <b:First>F.</b:First>
          </b:Person>
          <b:Person>
            <b:Last>Gaufichon</b:Last>
            <b:First>L.</b:First>
          </b:Person>
          <b:Person>
            <b:Last>Suzuki</b:Last>
            <b:First>A.</b:First>
          </b:Person>
        </b:NameList>
      </b:Author>
    </b:Author>
    <b:JournalName>Annals of Botany</b:JournalName>
    <b:Pages>1141-1157</b:Pages>
    <b:Volume>117</b:Volume>
    <b:Issue>3</b:Issue>
    <b:RefOrder>14</b:RefOrder>
  </b:Source>
  <b:Source>
    <b:Tag>USE02</b:Tag>
    <b:SourceType>Book</b:SourceType>
    <b:Guid>{8DA03C4F-D4CB-4A98-BD63-68D62DC47891}</b:Guid>
    <b:Title>Onsite Wastewater Treatment Systems Manual</b:Title>
    <b:Year>2002</b:Year>
    <b:Author>
      <b:Author>
        <b:Corporate>U.S. Environmental Protection Agency</b:Corporate>
      </b:Author>
    </b:Author>
    <b:Volume>EPA/625/R-00/008</b:Volume>
    <b:RefOrder>15</b:RefOrder>
  </b:Source>
  <b:Source>
    <b:Tag>Win08</b:Tag>
    <b:SourceType>Book</b:SourceType>
    <b:Guid>{6F8A82AB-3EF2-4A3C-8C60-F85E64A46F22}</b:Guid>
    <b:Author>
      <b:Author>
        <b:Corporate>Wine Institute</b:Corporate>
      </b:Author>
    </b:Author>
    <b:Title>Comprehensive Guide to Sustainable Managment of Winery Water and Associated Energy</b:Title>
    <b:Year>2008</b:Year>
    <b:City>San Francisco</b:City>
    <b:URL>http://www.wineinstitute.org/winerywaterguide</b:URL>
    <b:RefOrder>16</b:RefOrder>
  </b:Source>
  <b:Source>
    <b:Tag>Tch91</b:Tag>
    <b:SourceType>Book</b:SourceType>
    <b:Guid>{AAE0E3B4-B8EA-460C-ADCC-C8DFD04BC594}</b:Guid>
    <b:Title>Metcalf and Eddy Wastewater Engineering Treatment, Disposal, and Reuse</b:Title>
    <b:Year>1991</b:Year>
    <b:Publisher>McGraw-Hill</b:Publisher>
    <b:Author>
      <b:Author>
        <b:NameList>
          <b:Person>
            <b:Last>Tchobanoglous</b:Last>
            <b:First>George</b:First>
          </b:Person>
          <b:Person>
            <b:Last>Burton</b:Last>
            <b:First>Franklin</b:First>
          </b:Person>
        </b:NameList>
      </b:Author>
    </b:Author>
    <b:Pages>112</b:Pages>
    <b:Edition>3</b:Edition>
    <b:RefOrder>17</b:RefOrder>
  </b:Source>
  <b:Source>
    <b:Tag>Dis09</b:Tag>
    <b:SourceType>Report</b:SourceType>
    <b:Guid>{292E21D4-EAA4-43BA-8A61-62F4CE9D0CDC}</b:Guid>
    <b:Title>Winery Waste Management - Technical Memorandum</b:Title>
    <b:Year>2009</b:Year>
    <b:Author>
      <b:Author>
        <b:NameList>
          <b:Person>
            <b:Last>Napa Sanitation District</b:Last>
          </b:Person>
          <b:Person>
            <b:Last>Oakley Water Strategies</b:Last>
          </b:Person>
        </b:NameList>
      </b:Author>
    </b:Author>
    <b:RefOrder>18</b:RefOrder>
  </b:Source>
  <b:Source>
    <b:Tag>Cal08</b:Tag>
    <b:SourceType>Misc</b:SourceType>
    <b:Guid>{E94A4E0B-7F9A-4C6D-A619-9CB7B5D14742}</b:Guid>
    <b:Title>General Waste Discharge Requirements for Discharges of Winery Waste Order No. R3-2008-0018</b:Title>
    <b:Year>2008</b:Year>
    <b:Author>
      <b:Author>
        <b:NameList>
          <b:Person>
            <b:Last>Central Coast Regional Water Quality Control Board</b:Last>
          </b:Person>
        </b:NameList>
      </b:Author>
    </b:Author>
    <b:RefOrder>19</b:RefOrder>
  </b:Source>
</b:Sources>
</file>

<file path=customXml/itemProps1.xml><?xml version="1.0" encoding="utf-8"?>
<ds:datastoreItem xmlns:ds="http://schemas.openxmlformats.org/officeDocument/2006/customXml" ds:itemID="{ABA68862-833D-45C7-AC16-C51D5273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3172</TotalTime>
  <Pages>46</Pages>
  <Words>16896</Words>
  <Characters>96309</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Gunter, Melissa@Waterboards</cp:lastModifiedBy>
  <cp:revision>3</cp:revision>
  <cp:lastPrinted>2017-07-25T18:37:00Z</cp:lastPrinted>
  <dcterms:created xsi:type="dcterms:W3CDTF">2017-07-03T03:58:00Z</dcterms:created>
  <dcterms:modified xsi:type="dcterms:W3CDTF">2017-07-27T16:56:00Z</dcterms:modified>
</cp:coreProperties>
</file>