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287" w:rsidRPr="00CF69C3" w:rsidRDefault="00002287" w:rsidP="00A735C8">
      <w:pPr>
        <w:rPr>
          <w:sz w:val="22"/>
          <w:szCs w:val="22"/>
          <w:highlight w:val="yellow"/>
        </w:rPr>
      </w:pPr>
      <w:r w:rsidRPr="00CF69C3">
        <w:rPr>
          <w:b/>
          <w:sz w:val="22"/>
          <w:szCs w:val="22"/>
        </w:rPr>
        <w:t>Project Title:</w:t>
      </w:r>
      <w:r w:rsidRPr="00CF69C3">
        <w:rPr>
          <w:sz w:val="22"/>
          <w:szCs w:val="22"/>
        </w:rPr>
        <w:t xml:space="preserve">  </w:t>
      </w:r>
      <w:smartTag w:uri="urn:schemas-microsoft-com:office:smarttags" w:element="City">
        <w:r w:rsidRPr="00CF69C3">
          <w:rPr>
            <w:sz w:val="22"/>
            <w:szCs w:val="22"/>
          </w:rPr>
          <w:t>Carlsbad</w:t>
        </w:r>
      </w:smartTag>
      <w:r w:rsidRPr="00CF69C3">
        <w:rPr>
          <w:sz w:val="22"/>
          <w:szCs w:val="22"/>
        </w:rPr>
        <w:t xml:space="preserve"> Hydrologic Unit (</w:t>
      </w:r>
      <w:smartTag w:uri="urn:schemas-microsoft-com:office:smarttags" w:element="place">
        <w:r w:rsidRPr="00CF69C3">
          <w:rPr>
            <w:sz w:val="22"/>
            <w:szCs w:val="22"/>
          </w:rPr>
          <w:t>CHU</w:t>
        </w:r>
      </w:smartTag>
      <w:r w:rsidRPr="00CF69C3">
        <w:rPr>
          <w:sz w:val="22"/>
          <w:szCs w:val="22"/>
        </w:rPr>
        <w:t>) Lagoon Monitoring Project</w:t>
      </w:r>
    </w:p>
    <w:p w:rsidR="00002287" w:rsidRPr="00CF69C3" w:rsidRDefault="00002287" w:rsidP="00A735C8">
      <w:pPr>
        <w:rPr>
          <w:sz w:val="22"/>
          <w:szCs w:val="22"/>
          <w:highlight w:val="yellow"/>
        </w:rPr>
      </w:pPr>
    </w:p>
    <w:p w:rsidR="00002287" w:rsidRPr="00CF69C3" w:rsidRDefault="00002287" w:rsidP="00A735C8">
      <w:pPr>
        <w:pStyle w:val="Title"/>
        <w:jc w:val="left"/>
        <w:rPr>
          <w:b w:val="0"/>
          <w:szCs w:val="22"/>
        </w:rPr>
      </w:pPr>
      <w:r w:rsidRPr="00CF69C3">
        <w:rPr>
          <w:szCs w:val="22"/>
        </w:rPr>
        <w:t xml:space="preserve">Originator:  </w:t>
      </w:r>
      <w:smartTag w:uri="urn:schemas-microsoft-com:office:smarttags" w:element="place">
        <w:smartTag w:uri="urn:schemas-microsoft-com:office:smarttags" w:element="PlaceType">
          <w:r w:rsidRPr="00CF69C3">
            <w:rPr>
              <w:b w:val="0"/>
              <w:szCs w:val="22"/>
            </w:rPr>
            <w:t>County</w:t>
          </w:r>
        </w:smartTag>
        <w:r w:rsidRPr="00CF69C3">
          <w:rPr>
            <w:b w:val="0"/>
            <w:szCs w:val="22"/>
          </w:rPr>
          <w:t xml:space="preserve"> of </w:t>
        </w:r>
        <w:smartTag w:uri="urn:schemas-microsoft-com:office:smarttags" w:element="PlaceName">
          <w:r w:rsidRPr="00CF69C3">
            <w:rPr>
              <w:b w:val="0"/>
              <w:szCs w:val="22"/>
            </w:rPr>
            <w:t>San Diego</w:t>
          </w:r>
        </w:smartTag>
      </w:smartTag>
      <w:r w:rsidRPr="00CF69C3">
        <w:rPr>
          <w:b w:val="0"/>
          <w:szCs w:val="22"/>
        </w:rPr>
        <w:t xml:space="preserve"> Dept. of Public Works Watershed Protection Program</w:t>
      </w:r>
    </w:p>
    <w:p w:rsidR="00002287" w:rsidRPr="00CF69C3" w:rsidRDefault="00002287" w:rsidP="00A735C8">
      <w:pPr>
        <w:pStyle w:val="Title"/>
        <w:jc w:val="left"/>
        <w:rPr>
          <w:szCs w:val="22"/>
          <w:highlight w:val="yellow"/>
        </w:rPr>
      </w:pPr>
    </w:p>
    <w:p w:rsidR="00002287" w:rsidRPr="00CF69C3" w:rsidRDefault="00002287" w:rsidP="002865E7">
      <w:pPr>
        <w:pStyle w:val="Title"/>
        <w:jc w:val="left"/>
        <w:rPr>
          <w:b w:val="0"/>
          <w:szCs w:val="22"/>
        </w:rPr>
      </w:pPr>
      <w:r w:rsidRPr="00CF69C3">
        <w:rPr>
          <w:szCs w:val="22"/>
        </w:rPr>
        <w:t xml:space="preserve">Contact:  </w:t>
      </w:r>
      <w:r w:rsidRPr="00CF69C3">
        <w:rPr>
          <w:b w:val="0"/>
          <w:szCs w:val="22"/>
        </w:rPr>
        <w:t xml:space="preserve">Jo Ann Weber; e-mail:  </w:t>
      </w:r>
      <w:hyperlink r:id="rId4" w:history="1">
        <w:r w:rsidRPr="00CF69C3">
          <w:rPr>
            <w:rStyle w:val="Hyperlink"/>
            <w:szCs w:val="22"/>
          </w:rPr>
          <w:t>joann.weber@sdcounty.ca.gov</w:t>
        </w:r>
      </w:hyperlink>
      <w:r w:rsidRPr="00CF69C3">
        <w:rPr>
          <w:b w:val="0"/>
          <w:szCs w:val="22"/>
        </w:rPr>
        <w:t>; tel. 858-495-5317</w:t>
      </w:r>
    </w:p>
    <w:p w:rsidR="00002287" w:rsidRPr="00CF69C3" w:rsidRDefault="00002287" w:rsidP="00A735C8">
      <w:pPr>
        <w:pStyle w:val="Title"/>
        <w:jc w:val="left"/>
        <w:rPr>
          <w:szCs w:val="22"/>
        </w:rPr>
      </w:pPr>
      <w:r w:rsidRPr="00CF69C3">
        <w:rPr>
          <w:szCs w:val="22"/>
        </w:rPr>
        <w:t xml:space="preserve"> </w:t>
      </w:r>
    </w:p>
    <w:p w:rsidR="00002287" w:rsidRPr="00CF69C3" w:rsidRDefault="00002287" w:rsidP="00A735C8">
      <w:pPr>
        <w:pStyle w:val="Title"/>
        <w:jc w:val="left"/>
        <w:rPr>
          <w:b w:val="0"/>
          <w:szCs w:val="22"/>
        </w:rPr>
      </w:pPr>
      <w:r w:rsidRPr="00CF69C3">
        <w:rPr>
          <w:szCs w:val="22"/>
        </w:rPr>
        <w:t xml:space="preserve">Publication Info.: </w:t>
      </w:r>
      <w:r w:rsidRPr="00CF69C3">
        <w:rPr>
          <w:b w:val="0"/>
          <w:szCs w:val="22"/>
        </w:rPr>
        <w:t xml:space="preserve">Published as part of the </w:t>
      </w:r>
      <w:r w:rsidRPr="00CF69C3">
        <w:rPr>
          <w:b w:val="0"/>
          <w:i/>
          <w:szCs w:val="22"/>
        </w:rPr>
        <w:t>Carlsbad Hydrologic Unit Lagoon Monitoring Report SDRWQCB I.O No. R9-2006-076</w:t>
      </w:r>
      <w:r w:rsidRPr="00CF69C3">
        <w:rPr>
          <w:b w:val="0"/>
          <w:szCs w:val="22"/>
        </w:rPr>
        <w:t xml:space="preserve"> (June 2009) </w:t>
      </w:r>
    </w:p>
    <w:p w:rsidR="00002287" w:rsidRPr="00CF69C3" w:rsidRDefault="00002287" w:rsidP="00A735C8">
      <w:pPr>
        <w:pStyle w:val="Title"/>
        <w:jc w:val="left"/>
        <w:rPr>
          <w:b w:val="0"/>
          <w:szCs w:val="22"/>
          <w:highlight w:val="yellow"/>
        </w:rPr>
      </w:pPr>
    </w:p>
    <w:p w:rsidR="00002287" w:rsidRPr="00CF69C3" w:rsidRDefault="00002287" w:rsidP="00A735C8">
      <w:pPr>
        <w:pStyle w:val="Title"/>
        <w:jc w:val="left"/>
        <w:rPr>
          <w:b w:val="0"/>
          <w:szCs w:val="22"/>
        </w:rPr>
      </w:pPr>
      <w:r w:rsidRPr="00CF69C3">
        <w:rPr>
          <w:szCs w:val="22"/>
        </w:rPr>
        <w:t>Coordinate System:</w:t>
      </w:r>
      <w:r w:rsidRPr="00CF69C3">
        <w:rPr>
          <w:b w:val="0"/>
          <w:szCs w:val="22"/>
        </w:rPr>
        <w:t xml:space="preserve">  NAD83</w:t>
      </w:r>
    </w:p>
    <w:p w:rsidR="00002287" w:rsidRPr="00CF69C3" w:rsidRDefault="00002287" w:rsidP="002E0962">
      <w:pPr>
        <w:pStyle w:val="Title"/>
        <w:jc w:val="left"/>
        <w:rPr>
          <w:szCs w:val="22"/>
          <w:highlight w:val="yellow"/>
        </w:rPr>
      </w:pPr>
    </w:p>
    <w:p w:rsidR="00002287" w:rsidRPr="00CF69C3" w:rsidRDefault="00002287" w:rsidP="00F72AB8">
      <w:pPr>
        <w:pStyle w:val="Title"/>
        <w:jc w:val="left"/>
        <w:rPr>
          <w:b w:val="0"/>
          <w:szCs w:val="22"/>
        </w:rPr>
      </w:pPr>
      <w:r w:rsidRPr="00CF69C3">
        <w:rPr>
          <w:szCs w:val="22"/>
        </w:rPr>
        <w:t xml:space="preserve">Project Background and Objectives: </w:t>
      </w:r>
      <w:r w:rsidRPr="00CF69C3">
        <w:rPr>
          <w:b w:val="0"/>
          <w:szCs w:val="22"/>
        </w:rPr>
        <w:t xml:space="preserve">The San Diego Regional Water Quality Control Board (RWQCB) issued Investigation Order (IO) No. R9-2006-076 to the City of Carlsbad, City of Encinitas, City of Escondido, City of Oceanside, City of San Marcos, City of Solana Beach, City of Vista, County of San Diego, California Department of Transportation (CalTrans), and the Hale Avenue Resource Recovery Facility (HARRF).  These municipalities are the dischargers to the creeks and lagoons in </w:t>
      </w:r>
      <w:smartTag w:uri="urn:schemas-microsoft-com:office:smarttags" w:element="place">
        <w:smartTag w:uri="urn:schemas-microsoft-com:office:smarttags" w:element="PlaceName">
          <w:r w:rsidRPr="00CF69C3">
            <w:rPr>
              <w:b w:val="0"/>
              <w:szCs w:val="22"/>
            </w:rPr>
            <w:t>San Diego</w:t>
          </w:r>
        </w:smartTag>
        <w:r w:rsidRPr="00CF69C3">
          <w:rPr>
            <w:b w:val="0"/>
            <w:szCs w:val="22"/>
          </w:rPr>
          <w:t xml:space="preserve"> </w:t>
        </w:r>
        <w:smartTag w:uri="urn:schemas-microsoft-com:office:smarttags" w:element="PlaceType">
          <w:r w:rsidRPr="00CF69C3">
            <w:rPr>
              <w:b w:val="0"/>
              <w:szCs w:val="22"/>
            </w:rPr>
            <w:t>County</w:t>
          </w:r>
        </w:smartTag>
      </w:smartTag>
      <w:r w:rsidRPr="00CF69C3">
        <w:rPr>
          <w:b w:val="0"/>
          <w:szCs w:val="22"/>
        </w:rPr>
        <w:t xml:space="preserve"> that are 303(d) listed for bacteria, total dissolved solids (TDS), sediment, and nutrients. The IO required collection of monitoring data for the development of Total Maximum Daily Loads (TMDLs) as authorized by the Clean Water Act (CWA). According to the IO, the coastal lagoons in </w:t>
      </w:r>
      <w:smartTag w:uri="urn:schemas-microsoft-com:office:smarttags" w:element="place">
        <w:r w:rsidRPr="00CF69C3">
          <w:rPr>
            <w:b w:val="0"/>
            <w:szCs w:val="22"/>
          </w:rPr>
          <w:t>Southern California</w:t>
        </w:r>
      </w:smartTag>
      <w:r w:rsidRPr="00CF69C3">
        <w:rPr>
          <w:b w:val="0"/>
          <w:szCs w:val="22"/>
        </w:rPr>
        <w:t xml:space="preserve"> are heavily influenced by their urbanized watersheds. Runoff from these watersheds, coupled with reduced tidal influence from restricted inlets, has resulted in beneficial use impairments within Agua Hedionda Lagoon, Buena Vista Lagoon, Loma Alta Slough, and San Elijo Lagoon. All four lagoons and Agua Hedionda Creek are listed as impaired water bodies (303(d) list) for at least one of the following constituents: indicator bacteria, nutrients, sediment/siltation, TDS (Agua Hedionda Creek only), and/or eutrophic conditions. TMDLs must be developed for the critical constituents in each of the lagoons pursuant to CWA section 303(d).</w:t>
      </w:r>
    </w:p>
    <w:p w:rsidR="00002287" w:rsidRPr="00CF69C3" w:rsidRDefault="00002287" w:rsidP="00DE6C46">
      <w:pPr>
        <w:autoSpaceDE w:val="0"/>
        <w:autoSpaceDN w:val="0"/>
        <w:adjustRightInd w:val="0"/>
        <w:rPr>
          <w:sz w:val="22"/>
          <w:szCs w:val="22"/>
          <w:lang w:eastAsia="en-US"/>
        </w:rPr>
      </w:pPr>
    </w:p>
    <w:p w:rsidR="00002287" w:rsidRPr="00CF69C3" w:rsidRDefault="00002287" w:rsidP="00DE6C46">
      <w:pPr>
        <w:autoSpaceDE w:val="0"/>
        <w:autoSpaceDN w:val="0"/>
        <w:adjustRightInd w:val="0"/>
        <w:rPr>
          <w:sz w:val="22"/>
          <w:szCs w:val="22"/>
          <w:lang w:eastAsia="en-US"/>
        </w:rPr>
      </w:pPr>
      <w:r w:rsidRPr="00CF69C3">
        <w:rPr>
          <w:sz w:val="22"/>
          <w:szCs w:val="22"/>
          <w:lang w:eastAsia="en-US"/>
        </w:rPr>
        <w:t>To comply with the IO, the Carlsbad Hydrologic Unit’s dischargers collected data in four lagoons: Aqua Hedionda Lagoon, Buena Vista Lagoon, Loma Alta Slough, and San Elijo Lagoon. The data were collected to support the development of TMDLs in one or more of these lagoons for bacteria, eutrophic conditions, and sedimentation. Additionally, data for TDS were collected for Aqua Hedionda Creek. Data collected during this monitoring program may be utilized in future efforts to develop TMDLs for these lagoons.</w:t>
      </w:r>
    </w:p>
    <w:p w:rsidR="00002287" w:rsidRPr="00CF69C3" w:rsidRDefault="00002287" w:rsidP="00DE6C46">
      <w:pPr>
        <w:autoSpaceDE w:val="0"/>
        <w:autoSpaceDN w:val="0"/>
        <w:adjustRightInd w:val="0"/>
        <w:rPr>
          <w:sz w:val="22"/>
          <w:szCs w:val="22"/>
          <w:lang w:eastAsia="en-US"/>
        </w:rPr>
      </w:pPr>
    </w:p>
    <w:p w:rsidR="00002287" w:rsidRPr="00CF69C3" w:rsidRDefault="00002287" w:rsidP="00A735C8">
      <w:pPr>
        <w:rPr>
          <w:sz w:val="22"/>
          <w:szCs w:val="22"/>
        </w:rPr>
      </w:pPr>
      <w:r w:rsidRPr="00CF69C3">
        <w:rPr>
          <w:b/>
          <w:sz w:val="22"/>
          <w:szCs w:val="22"/>
        </w:rPr>
        <w:t xml:space="preserve">Geographical Setting/ Sampling Locations:  </w:t>
      </w:r>
      <w:r w:rsidRPr="00CF69C3">
        <w:rPr>
          <w:sz w:val="22"/>
          <w:szCs w:val="22"/>
        </w:rPr>
        <w:t xml:space="preserve">The monitoring locations (Table 1) included mass emission stations, targeted segment locations, and ocean inlets. </w:t>
      </w:r>
    </w:p>
    <w:p w:rsidR="00002287" w:rsidRPr="00CF69C3" w:rsidRDefault="00002287" w:rsidP="00A735C8">
      <w:pPr>
        <w:rPr>
          <w:sz w:val="22"/>
          <w:szCs w:val="22"/>
        </w:rPr>
      </w:pPr>
    </w:p>
    <w:p w:rsidR="00002287" w:rsidRPr="00CF69C3" w:rsidRDefault="00002287" w:rsidP="00A735C8">
      <w:pPr>
        <w:pStyle w:val="Caption"/>
        <w:rPr>
          <w:b w:val="0"/>
          <w:sz w:val="22"/>
          <w:szCs w:val="22"/>
        </w:rPr>
      </w:pPr>
      <w:r w:rsidRPr="00CF69C3">
        <w:rPr>
          <w:b w:val="0"/>
          <w:sz w:val="22"/>
          <w:szCs w:val="22"/>
        </w:rPr>
        <w:t xml:space="preserve">Table 1: </w:t>
      </w:r>
      <w:smartTag w:uri="urn:schemas-microsoft-com:office:smarttags" w:element="place">
        <w:smartTag w:uri="urn:schemas-microsoft-com:office:smarttags" w:element="City">
          <w:r w:rsidRPr="00CF69C3">
            <w:rPr>
              <w:b w:val="0"/>
              <w:sz w:val="22"/>
              <w:szCs w:val="22"/>
            </w:rPr>
            <w:t>Carlsbad</w:t>
          </w:r>
        </w:smartTag>
      </w:smartTag>
      <w:r w:rsidRPr="00CF69C3">
        <w:rPr>
          <w:b w:val="0"/>
          <w:sz w:val="22"/>
          <w:szCs w:val="22"/>
        </w:rPr>
        <w:t xml:space="preserve"> Hydrologic Unit monitoring locations</w:t>
      </w:r>
    </w:p>
    <w:tbl>
      <w:tblPr>
        <w:tblW w:w="8940" w:type="dxa"/>
        <w:tblInd w:w="93" w:type="dxa"/>
        <w:tblLook w:val="00A0"/>
      </w:tblPr>
      <w:tblGrid>
        <w:gridCol w:w="1300"/>
        <w:gridCol w:w="4520"/>
        <w:gridCol w:w="1480"/>
        <w:gridCol w:w="1640"/>
      </w:tblGrid>
      <w:tr w:rsidR="00002287" w:rsidRPr="00CF69C3" w:rsidTr="00A735C8">
        <w:trPr>
          <w:trHeight w:val="285"/>
          <w:tblHeader/>
        </w:trPr>
        <w:tc>
          <w:tcPr>
            <w:tcW w:w="1300" w:type="dxa"/>
            <w:tcBorders>
              <w:top w:val="single" w:sz="4" w:space="0" w:color="auto"/>
              <w:left w:val="single" w:sz="4" w:space="0" w:color="auto"/>
              <w:bottom w:val="single" w:sz="4" w:space="0" w:color="auto"/>
              <w:right w:val="single" w:sz="4" w:space="0" w:color="auto"/>
            </w:tcBorders>
            <w:shd w:val="clear" w:color="000000" w:fill="B8CCE4"/>
            <w:noWrap/>
            <w:vAlign w:val="bottom"/>
          </w:tcPr>
          <w:p w:rsidR="00002287" w:rsidRPr="00CF69C3" w:rsidRDefault="00002287" w:rsidP="00A735C8">
            <w:pPr>
              <w:jc w:val="center"/>
              <w:rPr>
                <w:b/>
                <w:bCs/>
                <w:color w:val="000000"/>
                <w:sz w:val="22"/>
                <w:szCs w:val="22"/>
                <w:lang w:eastAsia="en-US"/>
              </w:rPr>
            </w:pPr>
            <w:r w:rsidRPr="00CF69C3">
              <w:rPr>
                <w:b/>
                <w:bCs/>
                <w:color w:val="000000"/>
                <w:sz w:val="22"/>
                <w:szCs w:val="22"/>
                <w:lang w:eastAsia="en-US"/>
              </w:rPr>
              <w:t>Site ID</w:t>
            </w:r>
          </w:p>
        </w:tc>
        <w:tc>
          <w:tcPr>
            <w:tcW w:w="4520" w:type="dxa"/>
            <w:tcBorders>
              <w:top w:val="single" w:sz="4" w:space="0" w:color="auto"/>
              <w:left w:val="nil"/>
              <w:bottom w:val="single" w:sz="4" w:space="0" w:color="auto"/>
              <w:right w:val="single" w:sz="4" w:space="0" w:color="auto"/>
            </w:tcBorders>
            <w:shd w:val="clear" w:color="000000" w:fill="B8CCE4"/>
            <w:noWrap/>
            <w:vAlign w:val="bottom"/>
          </w:tcPr>
          <w:p w:rsidR="00002287" w:rsidRPr="00CF69C3" w:rsidRDefault="00002287" w:rsidP="00A735C8">
            <w:pPr>
              <w:jc w:val="center"/>
              <w:rPr>
                <w:b/>
                <w:bCs/>
                <w:color w:val="000000"/>
                <w:sz w:val="22"/>
                <w:szCs w:val="22"/>
                <w:lang w:eastAsia="en-US"/>
              </w:rPr>
            </w:pPr>
            <w:r w:rsidRPr="00CF69C3">
              <w:rPr>
                <w:b/>
                <w:bCs/>
                <w:color w:val="000000"/>
                <w:sz w:val="22"/>
                <w:szCs w:val="22"/>
                <w:lang w:eastAsia="en-US"/>
              </w:rPr>
              <w:t>Site Description</w:t>
            </w:r>
          </w:p>
        </w:tc>
        <w:tc>
          <w:tcPr>
            <w:tcW w:w="1480" w:type="dxa"/>
            <w:tcBorders>
              <w:top w:val="single" w:sz="4" w:space="0" w:color="auto"/>
              <w:left w:val="nil"/>
              <w:bottom w:val="single" w:sz="4" w:space="0" w:color="auto"/>
              <w:right w:val="single" w:sz="4" w:space="0" w:color="auto"/>
            </w:tcBorders>
            <w:shd w:val="clear" w:color="000000" w:fill="B8CCE4"/>
            <w:noWrap/>
            <w:vAlign w:val="bottom"/>
          </w:tcPr>
          <w:p w:rsidR="00002287" w:rsidRPr="00CF69C3" w:rsidRDefault="00002287" w:rsidP="00A735C8">
            <w:pPr>
              <w:jc w:val="center"/>
              <w:rPr>
                <w:b/>
                <w:bCs/>
                <w:color w:val="000000"/>
                <w:sz w:val="22"/>
                <w:szCs w:val="22"/>
                <w:lang w:eastAsia="en-US"/>
              </w:rPr>
            </w:pPr>
            <w:r w:rsidRPr="00CF69C3">
              <w:rPr>
                <w:b/>
                <w:bCs/>
                <w:color w:val="000000"/>
                <w:sz w:val="22"/>
                <w:szCs w:val="22"/>
                <w:lang w:eastAsia="en-US"/>
              </w:rPr>
              <w:t>Latitude</w:t>
            </w:r>
          </w:p>
        </w:tc>
        <w:tc>
          <w:tcPr>
            <w:tcW w:w="1640" w:type="dxa"/>
            <w:tcBorders>
              <w:top w:val="single" w:sz="4" w:space="0" w:color="auto"/>
              <w:left w:val="nil"/>
              <w:bottom w:val="single" w:sz="4" w:space="0" w:color="auto"/>
              <w:right w:val="single" w:sz="4" w:space="0" w:color="auto"/>
            </w:tcBorders>
            <w:shd w:val="clear" w:color="000000" w:fill="B8CCE4"/>
            <w:noWrap/>
            <w:vAlign w:val="bottom"/>
          </w:tcPr>
          <w:p w:rsidR="00002287" w:rsidRPr="00CF69C3" w:rsidRDefault="00002287" w:rsidP="00A735C8">
            <w:pPr>
              <w:jc w:val="center"/>
              <w:rPr>
                <w:b/>
                <w:bCs/>
                <w:color w:val="000000"/>
                <w:sz w:val="22"/>
                <w:szCs w:val="22"/>
                <w:lang w:eastAsia="en-US"/>
              </w:rPr>
            </w:pPr>
            <w:r w:rsidRPr="00CF69C3">
              <w:rPr>
                <w:b/>
                <w:bCs/>
                <w:color w:val="000000"/>
                <w:sz w:val="22"/>
                <w:szCs w:val="22"/>
                <w:lang w:eastAsia="en-US"/>
              </w:rPr>
              <w:t>Longitude</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TMAHME</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Agua Hedionda Mass Emissions Station</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33.1495</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-117.2969</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TMAHO5</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Agua Hedionda Ocean Inlet 1 Depth 1 - Sample</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33.14583</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-117.34353</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TMAHO6</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Agua Hedionda Ocean Inlet 1 Depth 2 - Sample</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33.14583</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-117.34353</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TMAHO7</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Agua Hedionda Ocean Inlet 2 Depth 1 - Sample</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33.1472</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-117.33075</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TMAHO8</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Agua Hedionda Ocean Inlet 2 Depth 2 - Sample</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33.1472</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-117.33075</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TMAHS2</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Agua Hedionda Segment 1 – Sample</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33.1439</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-117.3246</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TMAT01</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Agua Hedionda Transect 1</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33.1439</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-117.3383</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TMAT02</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Agua Hedionda Transect 2</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33.1447</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-117.3417</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TMAT03</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Agua Hedionda Transect 3</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33.1416</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-117.3394</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TMBT01</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Transect 1</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33.179</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-117.3413</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TMBT02</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Transect 2</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33.177</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-117.3439</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TMBT03</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Transect 3</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33.1766</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-117.3465</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TMBT04</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Transect 4</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33.1767</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-117.3482</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TMBT05</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Transect 5</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33.1755</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-117.3471</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TMBT06</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Transect 6</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33.1725</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-117.3508</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TMBT07</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Transect 7</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33.1714</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-117.3522</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TMBT08</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Transect 8</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33.1701</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-117.3506</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TMBT09</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Transect 9</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33.168</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-117.3523</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TMBT10</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Transect 10</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33.1681</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-117.355</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TMBVME</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Mass Emissions Station</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33.1808</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-117.3267</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TMBVS3</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Segment 1 - Sample</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33.1798</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-117.3412</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TMBVS4</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smartTag w:uri="urn:schemas-microsoft-com:office:smarttags" w:element="place">
              <w:r w:rsidRPr="00CF69C3">
                <w:rPr>
                  <w:color w:val="000000"/>
                  <w:sz w:val="22"/>
                  <w:szCs w:val="22"/>
                  <w:lang w:eastAsia="en-US"/>
                </w:rPr>
                <w:t>Buena Vista</w:t>
              </w:r>
            </w:smartTag>
            <w:r w:rsidRPr="00CF69C3">
              <w:rPr>
                <w:color w:val="000000"/>
                <w:sz w:val="22"/>
                <w:szCs w:val="22"/>
                <w:lang w:eastAsia="en-US"/>
              </w:rPr>
              <w:t xml:space="preserve"> Segment 2 - Sample</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33.1682</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-117.3562</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TMLAME</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Loma Alta Mass Emissions Station</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33.1885</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-117.3615</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TMLAO1</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Loma Alta Ocean Inlet 1</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33.1774</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-117.3688</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TMLAS1</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Loma Alta Segment 1</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33.1793</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-117.3672</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TMLT01</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Loma Alta Transect 1</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33.1799</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-117.3667</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TMLT02</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Loma Alta Transect 2</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33.1794</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-117.3669</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TMLT03</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Loma Alta Transect 3</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33.1793</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-117.3671</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TMLT04</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Loma Alta Transect 4</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33.1786</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-117.3675</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TMLT05</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Loma Alta Transect 5</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33.1779</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-117.368</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TMLT06</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Loma Alta Transect 6</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33.1778</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-117.3682</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TMLT07</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Loma Alta Transect 7</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33.1775</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-117.3684</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TMLT08</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Loma Alta Transect 8</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33.1772</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-117.3686</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TMSEME</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Mass Emissions Station</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33.04818</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-117.2267</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TMSEO1</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Ocean Inlet 1 - Sample</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33.01626</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-117.28114</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TMSES1</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Segment 1</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33.01</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-117.265</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TMSES2</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Segment 2</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33.0117</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-117.2727</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TMST01</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1</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33.0067</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-117.2698</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TMST02</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2</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33.0083</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-117.2705</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TMST03</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3</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33.0107</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-117.2766</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TMST04</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4</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33.0101</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-117.2647</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TMST05</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5</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33.0093</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-117.2657</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TMST06</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6</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33.0085</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-117.2644</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TMST07</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7</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33.0067</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-117.266</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TMST08</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8</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33.0056</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-117.2684</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TMST09</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9</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33.0053</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-117.2704</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TMST10</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10</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33.0073</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-117.2711</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TMST11</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11</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33.0077</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-117.2693</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TMST12</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12</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33.0095</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-117.2697</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TMST13</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13</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33.0108</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-117.2713</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TMST14</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14</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33.0114</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-117.2732</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TMST15</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15</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33.0122</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-117.2746</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TMST16</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16</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33.0142</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-117.2758</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TMST17</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17</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33.0133</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-117.2774</w:t>
            </w:r>
          </w:p>
        </w:tc>
      </w:tr>
      <w:tr w:rsidR="00002287" w:rsidRPr="00CF69C3" w:rsidTr="00A735C8">
        <w:trPr>
          <w:trHeight w:val="300"/>
        </w:trPr>
        <w:tc>
          <w:tcPr>
            <w:tcW w:w="130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TMST18</w:t>
            </w:r>
          </w:p>
        </w:tc>
        <w:tc>
          <w:tcPr>
            <w:tcW w:w="4520"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 Elijo Transect 18</w:t>
            </w:r>
          </w:p>
        </w:tc>
        <w:tc>
          <w:tcPr>
            <w:tcW w:w="148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33.0134</w:t>
            </w:r>
          </w:p>
        </w:tc>
        <w:tc>
          <w:tcPr>
            <w:tcW w:w="16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-117.2791</w:t>
            </w:r>
          </w:p>
        </w:tc>
      </w:tr>
    </w:tbl>
    <w:p w:rsidR="00002287" w:rsidRPr="00CF69C3" w:rsidRDefault="00002287" w:rsidP="00A735C8">
      <w:pPr>
        <w:rPr>
          <w:sz w:val="22"/>
          <w:szCs w:val="22"/>
        </w:rPr>
      </w:pPr>
    </w:p>
    <w:p w:rsidR="00002287" w:rsidRPr="00CF69C3" w:rsidRDefault="00002287" w:rsidP="00A735C8">
      <w:pPr>
        <w:rPr>
          <w:sz w:val="22"/>
          <w:szCs w:val="22"/>
        </w:rPr>
      </w:pPr>
    </w:p>
    <w:p w:rsidR="00002287" w:rsidRPr="00CF69C3" w:rsidRDefault="00002287" w:rsidP="00A735C8">
      <w:pPr>
        <w:rPr>
          <w:sz w:val="22"/>
          <w:szCs w:val="22"/>
        </w:rPr>
      </w:pPr>
      <w:r w:rsidRPr="00CF69C3">
        <w:rPr>
          <w:b/>
          <w:sz w:val="22"/>
          <w:szCs w:val="22"/>
        </w:rPr>
        <w:t xml:space="preserve">Project/ Task Description:  </w:t>
      </w:r>
    </w:p>
    <w:p w:rsidR="00002287" w:rsidRPr="00CF69C3" w:rsidRDefault="00002287" w:rsidP="006A4BB6">
      <w:pPr>
        <w:autoSpaceDE w:val="0"/>
        <w:autoSpaceDN w:val="0"/>
        <w:adjustRightInd w:val="0"/>
        <w:rPr>
          <w:sz w:val="22"/>
          <w:szCs w:val="22"/>
          <w:lang w:eastAsia="en-US"/>
        </w:rPr>
      </w:pPr>
      <w:r w:rsidRPr="00CF69C3">
        <w:rPr>
          <w:sz w:val="22"/>
          <w:szCs w:val="22"/>
          <w:lang w:eastAsia="en-US"/>
        </w:rPr>
        <w:t>Sample collection was conducted for wet weather monitoring during and immediately following three storm events at the mass emission stations along the main tributaries of the lagoons, at targeted segment locations within the lagoons, and at the ocean inlets to the lagoons. After the first wet weather event only, post-storm sediment sampling was conducted.</w:t>
      </w:r>
    </w:p>
    <w:p w:rsidR="00002287" w:rsidRPr="00CF69C3" w:rsidRDefault="00002287" w:rsidP="006A4BB6">
      <w:pPr>
        <w:autoSpaceDE w:val="0"/>
        <w:autoSpaceDN w:val="0"/>
        <w:adjustRightInd w:val="0"/>
        <w:rPr>
          <w:sz w:val="22"/>
          <w:szCs w:val="22"/>
          <w:lang w:eastAsia="en-US"/>
        </w:rPr>
      </w:pPr>
    </w:p>
    <w:p w:rsidR="00002287" w:rsidRPr="00CF69C3" w:rsidRDefault="00002287" w:rsidP="006A4BB6">
      <w:pPr>
        <w:autoSpaceDE w:val="0"/>
        <w:autoSpaceDN w:val="0"/>
        <w:adjustRightInd w:val="0"/>
        <w:rPr>
          <w:sz w:val="22"/>
          <w:szCs w:val="22"/>
        </w:rPr>
      </w:pPr>
      <w:r w:rsidRPr="00CF69C3">
        <w:rPr>
          <w:sz w:val="22"/>
          <w:szCs w:val="22"/>
          <w:lang w:eastAsia="en-US"/>
        </w:rPr>
        <w:t>Dry weather monitoring was conducted during four index period events designed to capture representative seasonal cycles of physical forcing, such as tides and currents acting on the lagoons, as well as biological activity within the lagoons. During each index period event, sampling was conducted at the mass emission stations along the main tributaries of the lagoons, at targeted segment locations within the lagoons, and at the ocean inlets to the lagoons. Index period events also included longitudinal transect sampling and targeted storm drain and tributary sampling.</w:t>
      </w:r>
      <w:r w:rsidRPr="00CF69C3">
        <w:rPr>
          <w:i/>
          <w:sz w:val="22"/>
          <w:szCs w:val="22"/>
        </w:rPr>
        <w:t xml:space="preserve"> </w:t>
      </w:r>
      <w:r w:rsidRPr="00CF69C3">
        <w:rPr>
          <w:sz w:val="22"/>
          <w:szCs w:val="22"/>
        </w:rPr>
        <w:t xml:space="preserve"> </w:t>
      </w:r>
    </w:p>
    <w:p w:rsidR="00002287" w:rsidRPr="00CF69C3" w:rsidRDefault="00002287" w:rsidP="006A4BB6">
      <w:pPr>
        <w:autoSpaceDE w:val="0"/>
        <w:autoSpaceDN w:val="0"/>
        <w:adjustRightInd w:val="0"/>
        <w:rPr>
          <w:sz w:val="22"/>
          <w:szCs w:val="22"/>
        </w:rPr>
      </w:pPr>
    </w:p>
    <w:p w:rsidR="00002287" w:rsidRPr="00CF69C3" w:rsidRDefault="00002287" w:rsidP="006A4BB6">
      <w:pPr>
        <w:autoSpaceDE w:val="0"/>
        <w:autoSpaceDN w:val="0"/>
        <w:adjustRightInd w:val="0"/>
        <w:rPr>
          <w:i/>
          <w:iCs/>
          <w:sz w:val="22"/>
          <w:szCs w:val="22"/>
          <w:lang w:eastAsia="en-US"/>
        </w:rPr>
      </w:pPr>
      <w:r w:rsidRPr="00CF69C3">
        <w:rPr>
          <w:sz w:val="22"/>
          <w:szCs w:val="22"/>
          <w:lang w:eastAsia="en-US"/>
        </w:rPr>
        <w:t xml:space="preserve">Constituents monitored at all Agua Hedionda Lagoon sampling locations were </w:t>
      </w:r>
      <w:r w:rsidRPr="00CF69C3">
        <w:rPr>
          <w:i/>
          <w:iCs/>
          <w:sz w:val="22"/>
          <w:szCs w:val="22"/>
          <w:lang w:eastAsia="en-US"/>
        </w:rPr>
        <w:t xml:space="preserve">Enterococcus </w:t>
      </w:r>
      <w:r w:rsidRPr="00CF69C3">
        <w:rPr>
          <w:sz w:val="22"/>
          <w:szCs w:val="22"/>
          <w:lang w:eastAsia="en-US"/>
        </w:rPr>
        <w:t>bacteria</w:t>
      </w:r>
      <w:r w:rsidRPr="00CF69C3">
        <w:rPr>
          <w:i/>
          <w:iCs/>
          <w:sz w:val="22"/>
          <w:szCs w:val="22"/>
          <w:lang w:eastAsia="en-US"/>
        </w:rPr>
        <w:t xml:space="preserve">, </w:t>
      </w:r>
      <w:r w:rsidRPr="00CF69C3">
        <w:rPr>
          <w:sz w:val="22"/>
          <w:szCs w:val="22"/>
          <w:lang w:eastAsia="en-US"/>
        </w:rPr>
        <w:t>total and fecal coliform bacteria, and total suspended solids (TSS). In addition to these constituents, total</w:t>
      </w:r>
      <w:r w:rsidRPr="00CF69C3">
        <w:rPr>
          <w:i/>
          <w:iCs/>
          <w:sz w:val="22"/>
          <w:szCs w:val="22"/>
          <w:lang w:eastAsia="en-US"/>
        </w:rPr>
        <w:t xml:space="preserve"> </w:t>
      </w:r>
      <w:r w:rsidRPr="00CF69C3">
        <w:rPr>
          <w:sz w:val="22"/>
          <w:szCs w:val="22"/>
          <w:lang w:eastAsia="en-US"/>
        </w:rPr>
        <w:t>dissolved solids (TDS) were monitored at the mass emission station only.</w:t>
      </w:r>
    </w:p>
    <w:p w:rsidR="00002287" w:rsidRPr="00CF69C3" w:rsidRDefault="00002287" w:rsidP="006A4BB6">
      <w:pPr>
        <w:autoSpaceDE w:val="0"/>
        <w:autoSpaceDN w:val="0"/>
        <w:adjustRightInd w:val="0"/>
        <w:rPr>
          <w:sz w:val="22"/>
          <w:szCs w:val="22"/>
          <w:lang w:eastAsia="en-US"/>
        </w:rPr>
      </w:pPr>
      <w:r w:rsidRPr="00CF69C3">
        <w:rPr>
          <w:sz w:val="22"/>
          <w:szCs w:val="22"/>
          <w:lang w:eastAsia="en-US"/>
        </w:rPr>
        <w:t xml:space="preserve">Constituents monitored at all sampling locations at Buena Vista Lagoon, Loma Alta Slough, and San Elijo Lagoon were </w:t>
      </w:r>
      <w:r w:rsidRPr="00CF69C3">
        <w:rPr>
          <w:i/>
          <w:iCs/>
          <w:sz w:val="22"/>
          <w:szCs w:val="22"/>
          <w:lang w:eastAsia="en-US"/>
        </w:rPr>
        <w:t xml:space="preserve">Enterococcus </w:t>
      </w:r>
      <w:r w:rsidRPr="00CF69C3">
        <w:rPr>
          <w:sz w:val="22"/>
          <w:szCs w:val="22"/>
          <w:lang w:eastAsia="en-US"/>
        </w:rPr>
        <w:t>bacteria</w:t>
      </w:r>
      <w:r w:rsidRPr="00CF69C3">
        <w:rPr>
          <w:i/>
          <w:iCs/>
          <w:sz w:val="22"/>
          <w:szCs w:val="22"/>
          <w:lang w:eastAsia="en-US"/>
        </w:rPr>
        <w:t xml:space="preserve">, </w:t>
      </w:r>
      <w:r w:rsidRPr="00CF69C3">
        <w:rPr>
          <w:sz w:val="22"/>
          <w:szCs w:val="22"/>
          <w:lang w:eastAsia="en-US"/>
        </w:rPr>
        <w:t xml:space="preserve">total and fecal coliform bacteria, TSS, ammonia as nitrogen (N), carbonaceous biochemical oxygen demand (CBOD), nitrate + nitrite (N+N), soluble reactive phosphorus (SRP), total and dissolved nitrogen (TN and TDN), and total and dissolved phosphorus (TP and TDP). Chlorophyll </w:t>
      </w:r>
      <w:r w:rsidRPr="00CF69C3">
        <w:rPr>
          <w:i/>
          <w:iCs/>
          <w:sz w:val="22"/>
          <w:szCs w:val="22"/>
          <w:lang w:eastAsia="en-US"/>
        </w:rPr>
        <w:t xml:space="preserve">a </w:t>
      </w:r>
      <w:r w:rsidRPr="00CF69C3">
        <w:rPr>
          <w:sz w:val="22"/>
          <w:szCs w:val="22"/>
          <w:lang w:eastAsia="en-US"/>
        </w:rPr>
        <w:t xml:space="preserve">was monitored at all lagoon segments and the ocean inlet sites during wet weather events and all sampling locations during index period events. </w:t>
      </w:r>
    </w:p>
    <w:p w:rsidR="00002287" w:rsidRPr="00CF69C3" w:rsidRDefault="00002287" w:rsidP="006A4BB6">
      <w:pPr>
        <w:autoSpaceDE w:val="0"/>
        <w:autoSpaceDN w:val="0"/>
        <w:adjustRightInd w:val="0"/>
        <w:rPr>
          <w:sz w:val="22"/>
          <w:szCs w:val="22"/>
          <w:lang w:eastAsia="en-US"/>
        </w:rPr>
      </w:pPr>
    </w:p>
    <w:p w:rsidR="00002287" w:rsidRPr="00CF69C3" w:rsidRDefault="00002287" w:rsidP="002E0962">
      <w:pPr>
        <w:autoSpaceDE w:val="0"/>
        <w:autoSpaceDN w:val="0"/>
        <w:adjustRightInd w:val="0"/>
        <w:rPr>
          <w:sz w:val="22"/>
          <w:szCs w:val="22"/>
        </w:rPr>
      </w:pPr>
      <w:r w:rsidRPr="00CF69C3">
        <w:rPr>
          <w:sz w:val="22"/>
          <w:szCs w:val="22"/>
          <w:lang w:eastAsia="en-US"/>
        </w:rPr>
        <w:t>Aqueous sediment grain size was analyzed from composite water samples generated from the mass emission station pollutograph samples during each of the first two wet weather events. The samples were analyzed for grain size distribution among the following size categories: clay &lt;0.0039 millimeters, silt</w:t>
      </w:r>
      <w:r w:rsidRPr="00CF69C3">
        <w:rPr>
          <w:sz w:val="22"/>
          <w:szCs w:val="22"/>
        </w:rPr>
        <w:t xml:space="preserve"> </w:t>
      </w:r>
      <w:r w:rsidRPr="00CF69C3">
        <w:rPr>
          <w:sz w:val="22"/>
          <w:szCs w:val="22"/>
          <w:lang w:eastAsia="en-US"/>
        </w:rPr>
        <w:t xml:space="preserve">0.0039 to &lt; 0.0625 millimeters, sand 0.0625 to &lt; 2.0 millimeters, and granule 2.0 to &lt; 4.0 millimeters. </w:t>
      </w:r>
      <w:r w:rsidRPr="00CF69C3">
        <w:rPr>
          <w:sz w:val="22"/>
          <w:szCs w:val="22"/>
        </w:rPr>
        <w:t>Table 2, below provides a summary of all analytical data collected for this project.</w:t>
      </w:r>
    </w:p>
    <w:p w:rsidR="00002287" w:rsidRPr="00CF69C3" w:rsidRDefault="00002287" w:rsidP="00A735C8">
      <w:pPr>
        <w:rPr>
          <w:sz w:val="22"/>
          <w:szCs w:val="22"/>
        </w:rPr>
      </w:pPr>
    </w:p>
    <w:p w:rsidR="00002287" w:rsidRPr="00CF69C3" w:rsidRDefault="00002287" w:rsidP="00A735C8">
      <w:pPr>
        <w:rPr>
          <w:sz w:val="22"/>
          <w:szCs w:val="22"/>
        </w:rPr>
      </w:pPr>
      <w:r w:rsidRPr="00CF69C3">
        <w:rPr>
          <w:sz w:val="22"/>
          <w:szCs w:val="22"/>
        </w:rPr>
        <w:t>This submittal includes receiving waters data only.</w:t>
      </w:r>
    </w:p>
    <w:p w:rsidR="00002287" w:rsidRPr="00CF69C3" w:rsidRDefault="00002287" w:rsidP="00A735C8">
      <w:pPr>
        <w:pStyle w:val="Caption"/>
        <w:rPr>
          <w:b w:val="0"/>
          <w:sz w:val="22"/>
          <w:szCs w:val="22"/>
        </w:rPr>
        <w:sectPr w:rsidR="00002287" w:rsidRPr="00CF69C3" w:rsidSect="00A735C8">
          <w:pgSz w:w="12240" w:h="15840"/>
          <w:pgMar w:top="1440" w:right="1800" w:bottom="1620" w:left="1800" w:header="720" w:footer="720" w:gutter="0"/>
          <w:cols w:space="720"/>
          <w:docGrid w:linePitch="360"/>
        </w:sectPr>
      </w:pPr>
    </w:p>
    <w:p w:rsidR="00002287" w:rsidRPr="00CF69C3" w:rsidRDefault="00002287" w:rsidP="00A735C8">
      <w:pPr>
        <w:pStyle w:val="Caption"/>
        <w:rPr>
          <w:b w:val="0"/>
          <w:sz w:val="22"/>
          <w:szCs w:val="22"/>
        </w:rPr>
      </w:pPr>
      <w:r w:rsidRPr="00CF69C3">
        <w:rPr>
          <w:b w:val="0"/>
          <w:sz w:val="22"/>
          <w:szCs w:val="22"/>
        </w:rPr>
        <w:t>Table 2: Constituents Monitored</w:t>
      </w:r>
    </w:p>
    <w:tbl>
      <w:tblPr>
        <w:tblW w:w="13155" w:type="dxa"/>
        <w:tblInd w:w="93" w:type="dxa"/>
        <w:tblLook w:val="00A0"/>
      </w:tblPr>
      <w:tblGrid>
        <w:gridCol w:w="4260"/>
        <w:gridCol w:w="2415"/>
        <w:gridCol w:w="1620"/>
        <w:gridCol w:w="1620"/>
        <w:gridCol w:w="1440"/>
        <w:gridCol w:w="1800"/>
      </w:tblGrid>
      <w:tr w:rsidR="00002287" w:rsidRPr="00CF69C3" w:rsidTr="005B0559">
        <w:trPr>
          <w:trHeight w:val="585"/>
        </w:trPr>
        <w:tc>
          <w:tcPr>
            <w:tcW w:w="4260" w:type="dxa"/>
            <w:tcBorders>
              <w:top w:val="single" w:sz="8" w:space="0" w:color="auto"/>
              <w:left w:val="single" w:sz="8" w:space="0" w:color="auto"/>
              <w:bottom w:val="single" w:sz="8" w:space="0" w:color="auto"/>
              <w:right w:val="single" w:sz="8" w:space="0" w:color="auto"/>
            </w:tcBorders>
            <w:shd w:val="clear" w:color="000000" w:fill="B8CCE4"/>
            <w:vAlign w:val="center"/>
          </w:tcPr>
          <w:p w:rsidR="00002287" w:rsidRPr="00CF69C3" w:rsidRDefault="00002287" w:rsidP="00A735C8">
            <w:pPr>
              <w:jc w:val="center"/>
              <w:rPr>
                <w:b/>
                <w:bCs/>
                <w:color w:val="000000"/>
                <w:sz w:val="22"/>
                <w:szCs w:val="22"/>
                <w:lang w:eastAsia="en-US"/>
              </w:rPr>
            </w:pPr>
            <w:r w:rsidRPr="00CF69C3">
              <w:rPr>
                <w:b/>
                <w:bCs/>
                <w:color w:val="000000"/>
                <w:sz w:val="22"/>
                <w:szCs w:val="22"/>
                <w:lang w:eastAsia="en-US"/>
              </w:rPr>
              <w:t xml:space="preserve">Constituent </w:t>
            </w:r>
          </w:p>
        </w:tc>
        <w:tc>
          <w:tcPr>
            <w:tcW w:w="2415" w:type="dxa"/>
            <w:tcBorders>
              <w:top w:val="single" w:sz="8" w:space="0" w:color="auto"/>
              <w:left w:val="nil"/>
              <w:bottom w:val="single" w:sz="8" w:space="0" w:color="auto"/>
              <w:right w:val="single" w:sz="8" w:space="0" w:color="auto"/>
            </w:tcBorders>
            <w:shd w:val="clear" w:color="000000" w:fill="B8CCE4"/>
            <w:vAlign w:val="center"/>
          </w:tcPr>
          <w:p w:rsidR="00002287" w:rsidRPr="00CF69C3" w:rsidRDefault="00002287" w:rsidP="00A735C8">
            <w:pPr>
              <w:jc w:val="center"/>
              <w:rPr>
                <w:b/>
                <w:bCs/>
                <w:color w:val="000000"/>
                <w:sz w:val="22"/>
                <w:szCs w:val="22"/>
                <w:lang w:eastAsia="en-US"/>
              </w:rPr>
            </w:pPr>
            <w:r w:rsidRPr="00CF69C3">
              <w:rPr>
                <w:b/>
                <w:bCs/>
                <w:color w:val="000000"/>
                <w:sz w:val="22"/>
                <w:szCs w:val="22"/>
                <w:lang w:eastAsia="en-US"/>
              </w:rPr>
              <w:t>Analysis Method</w:t>
            </w:r>
          </w:p>
        </w:tc>
        <w:tc>
          <w:tcPr>
            <w:tcW w:w="1620" w:type="dxa"/>
            <w:tcBorders>
              <w:top w:val="single" w:sz="8" w:space="0" w:color="auto"/>
              <w:left w:val="nil"/>
              <w:bottom w:val="single" w:sz="8" w:space="0" w:color="auto"/>
              <w:right w:val="single" w:sz="8" w:space="0" w:color="auto"/>
            </w:tcBorders>
            <w:shd w:val="clear" w:color="000000" w:fill="B8CCE4"/>
            <w:vAlign w:val="center"/>
          </w:tcPr>
          <w:p w:rsidR="00002287" w:rsidRPr="00CF69C3" w:rsidRDefault="00002287" w:rsidP="00A735C8">
            <w:pPr>
              <w:jc w:val="center"/>
              <w:rPr>
                <w:b/>
                <w:bCs/>
                <w:color w:val="000000"/>
                <w:sz w:val="22"/>
                <w:szCs w:val="22"/>
                <w:lang w:eastAsia="en-US"/>
              </w:rPr>
            </w:pPr>
            <w:r w:rsidRPr="00CF69C3">
              <w:rPr>
                <w:b/>
                <w:bCs/>
                <w:color w:val="000000"/>
                <w:sz w:val="22"/>
                <w:szCs w:val="22"/>
                <w:lang w:eastAsia="en-US"/>
              </w:rPr>
              <w:t>Unit</w:t>
            </w:r>
          </w:p>
        </w:tc>
        <w:tc>
          <w:tcPr>
            <w:tcW w:w="1620" w:type="dxa"/>
            <w:tcBorders>
              <w:top w:val="single" w:sz="8" w:space="0" w:color="auto"/>
              <w:left w:val="nil"/>
              <w:bottom w:val="single" w:sz="8" w:space="0" w:color="auto"/>
              <w:right w:val="single" w:sz="8" w:space="0" w:color="auto"/>
            </w:tcBorders>
            <w:shd w:val="clear" w:color="000000" w:fill="B8CCE4"/>
            <w:vAlign w:val="center"/>
          </w:tcPr>
          <w:p w:rsidR="00002287" w:rsidRPr="00CF69C3" w:rsidRDefault="00002287" w:rsidP="00A735C8">
            <w:pPr>
              <w:jc w:val="center"/>
              <w:rPr>
                <w:b/>
                <w:bCs/>
                <w:color w:val="000000"/>
                <w:sz w:val="22"/>
                <w:szCs w:val="22"/>
                <w:lang w:eastAsia="en-US"/>
              </w:rPr>
            </w:pPr>
            <w:r w:rsidRPr="00CF69C3">
              <w:rPr>
                <w:b/>
                <w:bCs/>
                <w:color w:val="000000"/>
                <w:sz w:val="22"/>
                <w:szCs w:val="22"/>
                <w:lang w:eastAsia="en-US"/>
              </w:rPr>
              <w:t>MDL</w:t>
            </w:r>
          </w:p>
        </w:tc>
        <w:tc>
          <w:tcPr>
            <w:tcW w:w="1440" w:type="dxa"/>
            <w:tcBorders>
              <w:top w:val="single" w:sz="8" w:space="0" w:color="auto"/>
              <w:left w:val="nil"/>
              <w:bottom w:val="single" w:sz="8" w:space="0" w:color="auto"/>
              <w:right w:val="single" w:sz="8" w:space="0" w:color="auto"/>
            </w:tcBorders>
            <w:shd w:val="clear" w:color="000000" w:fill="B8CCE4"/>
            <w:vAlign w:val="center"/>
          </w:tcPr>
          <w:p w:rsidR="00002287" w:rsidRPr="00CF69C3" w:rsidRDefault="00002287" w:rsidP="00A735C8">
            <w:pPr>
              <w:jc w:val="center"/>
              <w:rPr>
                <w:b/>
                <w:bCs/>
                <w:color w:val="000000"/>
                <w:sz w:val="22"/>
                <w:szCs w:val="22"/>
                <w:lang w:eastAsia="en-US"/>
              </w:rPr>
            </w:pPr>
            <w:r w:rsidRPr="00CF69C3">
              <w:rPr>
                <w:b/>
                <w:bCs/>
                <w:color w:val="000000"/>
                <w:sz w:val="22"/>
                <w:szCs w:val="22"/>
                <w:lang w:eastAsia="en-US"/>
              </w:rPr>
              <w:t>RL</w:t>
            </w:r>
          </w:p>
        </w:tc>
        <w:tc>
          <w:tcPr>
            <w:tcW w:w="1800" w:type="dxa"/>
            <w:tcBorders>
              <w:top w:val="single" w:sz="8" w:space="0" w:color="auto"/>
              <w:left w:val="nil"/>
              <w:bottom w:val="single" w:sz="8" w:space="0" w:color="auto"/>
              <w:right w:val="single" w:sz="8" w:space="0" w:color="auto"/>
            </w:tcBorders>
            <w:shd w:val="clear" w:color="000000" w:fill="B8CCE4"/>
            <w:vAlign w:val="center"/>
          </w:tcPr>
          <w:p w:rsidR="00002287" w:rsidRPr="00CF69C3" w:rsidRDefault="00002287" w:rsidP="00A735C8">
            <w:pPr>
              <w:jc w:val="center"/>
              <w:rPr>
                <w:b/>
                <w:bCs/>
                <w:sz w:val="22"/>
                <w:szCs w:val="22"/>
                <w:lang w:eastAsia="en-US"/>
              </w:rPr>
            </w:pPr>
            <w:r w:rsidRPr="00CF69C3">
              <w:rPr>
                <w:b/>
                <w:bCs/>
                <w:sz w:val="22"/>
                <w:szCs w:val="22"/>
                <w:lang w:val="pt-BR" w:eastAsia="en-US"/>
              </w:rPr>
              <w:t>No. Samples Analyzed</w:t>
            </w:r>
          </w:p>
        </w:tc>
      </w:tr>
      <w:tr w:rsidR="00002287" w:rsidRPr="00CF69C3" w:rsidTr="005B0559">
        <w:trPr>
          <w:trHeight w:val="300"/>
        </w:trPr>
        <w:tc>
          <w:tcPr>
            <w:tcW w:w="4260" w:type="dxa"/>
            <w:tcBorders>
              <w:top w:val="single" w:sz="4" w:space="0" w:color="auto"/>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Ammonia as N</w:t>
            </w:r>
          </w:p>
        </w:tc>
        <w:tc>
          <w:tcPr>
            <w:tcW w:w="2415" w:type="dxa"/>
            <w:tcBorders>
              <w:top w:val="single" w:sz="4" w:space="0" w:color="auto"/>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4500-NH3 G</w:t>
            </w:r>
          </w:p>
        </w:tc>
        <w:tc>
          <w:tcPr>
            <w:tcW w:w="1620" w:type="dxa"/>
            <w:tcBorders>
              <w:top w:val="single" w:sz="4" w:space="0" w:color="auto"/>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mg/L</w:t>
            </w:r>
          </w:p>
        </w:tc>
        <w:tc>
          <w:tcPr>
            <w:tcW w:w="1620" w:type="dxa"/>
            <w:tcBorders>
              <w:top w:val="single" w:sz="4" w:space="0" w:color="auto"/>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0.001</w:t>
            </w:r>
          </w:p>
        </w:tc>
        <w:tc>
          <w:tcPr>
            <w:tcW w:w="1440" w:type="dxa"/>
            <w:tcBorders>
              <w:top w:val="single" w:sz="4" w:space="0" w:color="auto"/>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0.004</w:t>
            </w:r>
          </w:p>
        </w:tc>
        <w:tc>
          <w:tcPr>
            <w:tcW w:w="1800" w:type="dxa"/>
            <w:tcBorders>
              <w:top w:val="single" w:sz="4" w:space="0" w:color="auto"/>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831</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Nitrate + Nitrite as N</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4500-NO3+NO2 F</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0.007-0.02</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0.007-0.02</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831</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Nitrite as N</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4500-NO2 B</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0.001</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0.004</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273</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Total Dissolved Nitrogen</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USGS 1-2650-03</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0.003-0.02</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0.1-1</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772</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Total Nitrogen (calc)</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USGS 1-4650-03</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0.003-0.02</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0.1</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772</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Total Dissolved Phosphorus</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USGS 1-2650-03</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0.002-0.02</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0.05-1</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772</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Total Phosphorus</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USGS 1-4650-03</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0.002-0.02</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0.05-0.5</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772</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center"/>
          </w:tcPr>
          <w:p w:rsidR="00002287" w:rsidRPr="00CF69C3" w:rsidRDefault="00002287" w:rsidP="005B0559">
            <w:pPr>
              <w:rPr>
                <w:color w:val="000000"/>
                <w:sz w:val="22"/>
                <w:szCs w:val="22"/>
                <w:lang w:eastAsia="en-US"/>
              </w:rPr>
            </w:pPr>
            <w:r w:rsidRPr="00CF69C3">
              <w:rPr>
                <w:color w:val="000000"/>
                <w:sz w:val="22"/>
                <w:szCs w:val="22"/>
                <w:lang w:eastAsia="en-US"/>
              </w:rPr>
              <w:t>Soluble Reactive Phosphorus</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4500 P C</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0.003</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0.009</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833</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Carbonaceous Biochemical Oxygen Demand</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5210 B</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0-2</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1-2</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530</w:t>
            </w:r>
          </w:p>
        </w:tc>
      </w:tr>
      <w:tr w:rsidR="00002287" w:rsidRPr="00CF69C3" w:rsidTr="005B0559">
        <w:trPr>
          <w:trHeight w:val="36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Chlorophyll a</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10200 H</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mg/m</w:t>
            </w:r>
            <w:r w:rsidRPr="00CF69C3">
              <w:rPr>
                <w:color w:val="000000"/>
                <w:sz w:val="22"/>
                <w:szCs w:val="22"/>
                <w:vertAlign w:val="superscript"/>
                <w:lang w:eastAsia="en-US"/>
              </w:rPr>
              <w:t>3</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2</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734</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Dissolved Solids</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2540 C</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0.1</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5</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66</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Suspended Solids</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2540 D</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mg/L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0.5-1</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1-5</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1162</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Turbidity</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2130 B</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NTU</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0.1-0.2</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0.1-0.2</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12</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Enterococcus</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EPA 1600</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CFU/100mL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1-1000</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881</w:t>
            </w:r>
          </w:p>
        </w:tc>
      </w:tr>
      <w:tr w:rsidR="00002287" w:rsidRPr="00CF69C3" w:rsidTr="00CF69C3">
        <w:trPr>
          <w:trHeight w:val="300"/>
        </w:trPr>
        <w:tc>
          <w:tcPr>
            <w:tcW w:w="4260" w:type="dxa"/>
            <w:vMerge w:val="restart"/>
            <w:tcBorders>
              <w:top w:val="nil"/>
              <w:left w:val="single" w:sz="4" w:space="0" w:color="auto"/>
              <w:bottom w:val="single" w:sz="4" w:space="0" w:color="000000"/>
              <w:right w:val="single" w:sz="4" w:space="0" w:color="auto"/>
            </w:tcBorders>
            <w:noWrap/>
            <w:vAlign w:val="center"/>
          </w:tcPr>
          <w:p w:rsidR="00002287" w:rsidRPr="00CF69C3" w:rsidRDefault="00002287" w:rsidP="00CF69C3">
            <w:pPr>
              <w:rPr>
                <w:color w:val="000000"/>
                <w:sz w:val="22"/>
                <w:szCs w:val="22"/>
                <w:lang w:eastAsia="en-US"/>
              </w:rPr>
            </w:pPr>
            <w:r w:rsidRPr="00CF69C3">
              <w:rPr>
                <w:color w:val="000000"/>
                <w:sz w:val="22"/>
                <w:szCs w:val="22"/>
                <w:lang w:eastAsia="en-US"/>
              </w:rPr>
              <w:t>Fecal Coliform</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9221 E</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MPN/100mL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2</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2</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125</w:t>
            </w:r>
          </w:p>
        </w:tc>
      </w:tr>
      <w:tr w:rsidR="00002287" w:rsidRPr="00CF69C3" w:rsidTr="00CF69C3">
        <w:trPr>
          <w:trHeight w:val="300"/>
        </w:trPr>
        <w:tc>
          <w:tcPr>
            <w:tcW w:w="4260" w:type="dxa"/>
            <w:vMerge/>
            <w:tcBorders>
              <w:top w:val="nil"/>
              <w:left w:val="single" w:sz="4" w:space="0" w:color="auto"/>
              <w:bottom w:val="single" w:sz="4" w:space="0" w:color="000000"/>
              <w:right w:val="single" w:sz="4" w:space="0" w:color="auto"/>
            </w:tcBorders>
            <w:vAlign w:val="center"/>
          </w:tcPr>
          <w:p w:rsidR="00002287" w:rsidRPr="00CF69C3" w:rsidRDefault="00002287" w:rsidP="00CF69C3">
            <w:pPr>
              <w:rPr>
                <w:color w:val="000000"/>
                <w:sz w:val="22"/>
                <w:szCs w:val="22"/>
                <w:lang w:eastAsia="en-US"/>
              </w:rPr>
            </w:pP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9222 D</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MPN/100mL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2-1000</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756</w:t>
            </w:r>
          </w:p>
        </w:tc>
      </w:tr>
      <w:tr w:rsidR="00002287" w:rsidRPr="00CF69C3" w:rsidTr="00CF69C3">
        <w:trPr>
          <w:trHeight w:val="300"/>
        </w:trPr>
        <w:tc>
          <w:tcPr>
            <w:tcW w:w="4260" w:type="dxa"/>
            <w:vMerge w:val="restart"/>
            <w:tcBorders>
              <w:top w:val="nil"/>
              <w:left w:val="single" w:sz="4" w:space="0" w:color="auto"/>
              <w:bottom w:val="single" w:sz="4" w:space="0" w:color="000000"/>
              <w:right w:val="single" w:sz="4" w:space="0" w:color="auto"/>
            </w:tcBorders>
            <w:noWrap/>
            <w:vAlign w:val="center"/>
          </w:tcPr>
          <w:p w:rsidR="00002287" w:rsidRPr="00CF69C3" w:rsidRDefault="00002287" w:rsidP="00CF69C3">
            <w:pPr>
              <w:rPr>
                <w:color w:val="000000"/>
                <w:sz w:val="22"/>
                <w:szCs w:val="22"/>
                <w:lang w:eastAsia="en-US"/>
              </w:rPr>
            </w:pPr>
            <w:r w:rsidRPr="00CF69C3">
              <w:rPr>
                <w:color w:val="000000"/>
                <w:sz w:val="22"/>
                <w:szCs w:val="22"/>
                <w:lang w:eastAsia="en-US"/>
              </w:rPr>
              <w:t>Total Coliform</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9221</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MPN/100mL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2</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2</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125</w:t>
            </w:r>
          </w:p>
        </w:tc>
      </w:tr>
      <w:tr w:rsidR="00002287" w:rsidRPr="00CF69C3" w:rsidTr="005B0559">
        <w:trPr>
          <w:trHeight w:val="300"/>
        </w:trPr>
        <w:tc>
          <w:tcPr>
            <w:tcW w:w="4260" w:type="dxa"/>
            <w:vMerge/>
            <w:tcBorders>
              <w:top w:val="nil"/>
              <w:left w:val="single" w:sz="4" w:space="0" w:color="auto"/>
              <w:bottom w:val="single" w:sz="4" w:space="0" w:color="000000"/>
              <w:right w:val="single" w:sz="4" w:space="0" w:color="auto"/>
            </w:tcBorders>
            <w:vAlign w:val="center"/>
          </w:tcPr>
          <w:p w:rsidR="00002287" w:rsidRPr="00CF69C3" w:rsidRDefault="00002287" w:rsidP="00A735C8">
            <w:pPr>
              <w:rPr>
                <w:color w:val="000000"/>
                <w:sz w:val="22"/>
                <w:szCs w:val="22"/>
                <w:lang w:eastAsia="en-US"/>
              </w:rPr>
            </w:pP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SM 9221 B</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MPN/100mL</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2-1000</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756</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Clay &lt;0.0039 mm</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ASTM D422</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NA</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33</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Silt 0.0039 to &lt;0.0625 mm</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ASTM D422</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NA</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44</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Sand 0.0625 to &lt;2.0 mm</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ASTM D422</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NA</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55</w:t>
            </w:r>
          </w:p>
        </w:tc>
      </w:tr>
      <w:tr w:rsidR="00002287" w:rsidRPr="00CF69C3" w:rsidTr="005B0559">
        <w:trPr>
          <w:trHeight w:val="300"/>
        </w:trPr>
        <w:tc>
          <w:tcPr>
            <w:tcW w:w="4260" w:type="dxa"/>
            <w:tcBorders>
              <w:top w:val="nil"/>
              <w:left w:val="single" w:sz="4" w:space="0" w:color="auto"/>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Granule 2.0 to &lt;4.0 mm</w:t>
            </w:r>
          </w:p>
        </w:tc>
        <w:tc>
          <w:tcPr>
            <w:tcW w:w="2415" w:type="dxa"/>
            <w:tcBorders>
              <w:top w:val="nil"/>
              <w:left w:val="nil"/>
              <w:bottom w:val="single" w:sz="4" w:space="0" w:color="auto"/>
              <w:right w:val="single" w:sz="4" w:space="0" w:color="auto"/>
            </w:tcBorders>
            <w:noWrap/>
            <w:vAlign w:val="bottom"/>
          </w:tcPr>
          <w:p w:rsidR="00002287" w:rsidRPr="00CF69C3" w:rsidRDefault="00002287" w:rsidP="00A735C8">
            <w:pPr>
              <w:rPr>
                <w:color w:val="000000"/>
                <w:sz w:val="22"/>
                <w:szCs w:val="22"/>
                <w:lang w:eastAsia="en-US"/>
              </w:rPr>
            </w:pPr>
            <w:r w:rsidRPr="00CF69C3">
              <w:rPr>
                <w:color w:val="000000"/>
                <w:sz w:val="22"/>
                <w:szCs w:val="22"/>
                <w:lang w:eastAsia="en-US"/>
              </w:rPr>
              <w:t>ASTM D422</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w:t>
            </w:r>
          </w:p>
        </w:tc>
        <w:tc>
          <w:tcPr>
            <w:tcW w:w="162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NA</w:t>
            </w:r>
          </w:p>
        </w:tc>
        <w:tc>
          <w:tcPr>
            <w:tcW w:w="144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w:t>
            </w:r>
          </w:p>
        </w:tc>
        <w:tc>
          <w:tcPr>
            <w:tcW w:w="1800" w:type="dxa"/>
            <w:tcBorders>
              <w:top w:val="nil"/>
              <w:left w:val="nil"/>
              <w:bottom w:val="single" w:sz="4" w:space="0" w:color="auto"/>
              <w:right w:val="single" w:sz="4" w:space="0" w:color="auto"/>
            </w:tcBorders>
            <w:noWrap/>
            <w:vAlign w:val="bottom"/>
          </w:tcPr>
          <w:p w:rsidR="00002287" w:rsidRPr="00CF69C3" w:rsidRDefault="00002287" w:rsidP="00A735C8">
            <w:pPr>
              <w:jc w:val="center"/>
              <w:rPr>
                <w:color w:val="000000"/>
                <w:sz w:val="22"/>
                <w:szCs w:val="22"/>
                <w:lang w:eastAsia="en-US"/>
              </w:rPr>
            </w:pPr>
            <w:r w:rsidRPr="00CF69C3">
              <w:rPr>
                <w:color w:val="000000"/>
                <w:sz w:val="22"/>
                <w:szCs w:val="22"/>
                <w:lang w:eastAsia="en-US"/>
              </w:rPr>
              <w:t>11</w:t>
            </w:r>
          </w:p>
        </w:tc>
      </w:tr>
    </w:tbl>
    <w:p w:rsidR="00002287" w:rsidRPr="00CF69C3" w:rsidRDefault="00002287" w:rsidP="00A735C8">
      <w:pPr>
        <w:rPr>
          <w:sz w:val="22"/>
          <w:szCs w:val="22"/>
        </w:rPr>
        <w:sectPr w:rsidR="00002287" w:rsidRPr="00CF69C3" w:rsidSect="00A735C8">
          <w:pgSz w:w="15840" w:h="12240" w:orient="landscape"/>
          <w:pgMar w:top="1800" w:right="1440" w:bottom="1800" w:left="1627" w:header="720" w:footer="720" w:gutter="0"/>
          <w:cols w:space="720"/>
          <w:docGrid w:linePitch="360"/>
        </w:sectPr>
      </w:pPr>
    </w:p>
    <w:p w:rsidR="00002287" w:rsidRPr="00CF69C3" w:rsidRDefault="00002287" w:rsidP="00A735C8">
      <w:pPr>
        <w:rPr>
          <w:sz w:val="22"/>
          <w:szCs w:val="22"/>
        </w:rPr>
      </w:pPr>
    </w:p>
    <w:p w:rsidR="00002287" w:rsidRPr="00CF69C3" w:rsidRDefault="00002287" w:rsidP="00A735C8">
      <w:pPr>
        <w:rPr>
          <w:b/>
          <w:i/>
          <w:sz w:val="22"/>
          <w:szCs w:val="22"/>
        </w:rPr>
      </w:pPr>
    </w:p>
    <w:p w:rsidR="00002287" w:rsidRPr="00CF69C3" w:rsidRDefault="00002287" w:rsidP="00A735C8">
      <w:pPr>
        <w:rPr>
          <w:sz w:val="22"/>
          <w:szCs w:val="22"/>
        </w:rPr>
      </w:pPr>
      <w:r w:rsidRPr="00CF69C3">
        <w:rPr>
          <w:b/>
          <w:sz w:val="22"/>
          <w:szCs w:val="22"/>
        </w:rPr>
        <w:t xml:space="preserve">Quality Control: </w:t>
      </w:r>
    </w:p>
    <w:p w:rsidR="00002287" w:rsidRPr="00CF69C3" w:rsidRDefault="00002287" w:rsidP="00A735C8">
      <w:pPr>
        <w:rPr>
          <w:sz w:val="22"/>
          <w:szCs w:val="22"/>
        </w:rPr>
      </w:pPr>
    </w:p>
    <w:p w:rsidR="00002287" w:rsidRPr="00CF69C3" w:rsidRDefault="00002287" w:rsidP="00F72AB8">
      <w:pPr>
        <w:autoSpaceDE w:val="0"/>
        <w:autoSpaceDN w:val="0"/>
        <w:adjustRightInd w:val="0"/>
        <w:rPr>
          <w:sz w:val="22"/>
          <w:szCs w:val="22"/>
          <w:lang w:eastAsia="en-US"/>
        </w:rPr>
      </w:pPr>
      <w:r w:rsidRPr="00CF69C3">
        <w:rPr>
          <w:sz w:val="22"/>
          <w:szCs w:val="22"/>
          <w:lang w:eastAsia="en-US"/>
        </w:rPr>
        <w:t xml:space="preserve">The </w:t>
      </w:r>
      <w:r w:rsidRPr="00CF69C3">
        <w:rPr>
          <w:i/>
          <w:sz w:val="22"/>
          <w:szCs w:val="22"/>
          <w:lang w:eastAsia="en-US"/>
        </w:rPr>
        <w:t>Carlsbad Hydrologic Unit SDRWQCB Investigative Order R9-2006-076 Lagoon TMDL Monitoring Quality Assurance Project Plan</w:t>
      </w:r>
      <w:r w:rsidRPr="00CF69C3">
        <w:rPr>
          <w:sz w:val="22"/>
          <w:szCs w:val="22"/>
          <w:lang w:eastAsia="en-US"/>
        </w:rPr>
        <w:t xml:space="preserve"> (QAPP) (September 1, 2007) is included with this submittal together with </w:t>
      </w:r>
      <w:r w:rsidRPr="00CF69C3">
        <w:rPr>
          <w:i/>
          <w:sz w:val="22"/>
          <w:szCs w:val="22"/>
          <w:lang w:eastAsia="en-US"/>
        </w:rPr>
        <w:t>Section 3 of the Carlsbad Hydrologic Unit Lagoon Monitoring Report’s Section 3.0: QA/QC Results</w:t>
      </w:r>
      <w:r w:rsidRPr="00CF69C3">
        <w:rPr>
          <w:sz w:val="22"/>
          <w:szCs w:val="22"/>
          <w:lang w:eastAsia="en-US"/>
        </w:rPr>
        <w:t xml:space="preserve"> .  The QAPP was developed to establish activities and procedures to assure both chemical and physical measurements would meet the Surface Water Ambient Monitoring Program (SWAMP) requirements and provide the quality of data needed to calibrate and validate future TMDL models.</w:t>
      </w:r>
    </w:p>
    <w:p w:rsidR="00002287" w:rsidRPr="00CF69C3" w:rsidRDefault="00002287" w:rsidP="006A4BB6">
      <w:pPr>
        <w:autoSpaceDE w:val="0"/>
        <w:autoSpaceDN w:val="0"/>
        <w:adjustRightInd w:val="0"/>
        <w:rPr>
          <w:sz w:val="22"/>
          <w:szCs w:val="22"/>
          <w:lang w:eastAsia="en-US"/>
        </w:rPr>
      </w:pPr>
    </w:p>
    <w:p w:rsidR="00002287" w:rsidRPr="00CF69C3" w:rsidRDefault="00002287" w:rsidP="006A4BB6">
      <w:pPr>
        <w:autoSpaceDE w:val="0"/>
        <w:autoSpaceDN w:val="0"/>
        <w:adjustRightInd w:val="0"/>
        <w:rPr>
          <w:sz w:val="22"/>
          <w:szCs w:val="22"/>
          <w:lang w:eastAsia="en-US"/>
        </w:rPr>
      </w:pPr>
      <w:r w:rsidRPr="00CF69C3">
        <w:rPr>
          <w:sz w:val="22"/>
          <w:szCs w:val="22"/>
          <w:lang w:eastAsia="en-US"/>
        </w:rPr>
        <w:t>Field sampling and laboratory quality assurance activities and procedures were implemented to meet the objectives provided in the QAPP. Quality assurance activities began with field protocols designed to minimize errors introduced during field sampling and measurements. Field QA/QC processes included equipment calibration, field protocols to meet analytical holding times, field duplicates, and field blanks.</w:t>
      </w:r>
    </w:p>
    <w:p w:rsidR="00002287" w:rsidRPr="00CF69C3" w:rsidRDefault="00002287" w:rsidP="006A4BB6">
      <w:pPr>
        <w:autoSpaceDE w:val="0"/>
        <w:autoSpaceDN w:val="0"/>
        <w:adjustRightInd w:val="0"/>
        <w:rPr>
          <w:sz w:val="22"/>
          <w:szCs w:val="22"/>
          <w:lang w:eastAsia="en-US"/>
        </w:rPr>
      </w:pPr>
    </w:p>
    <w:p w:rsidR="00002287" w:rsidRPr="00CF69C3" w:rsidRDefault="00002287" w:rsidP="006A4BB6">
      <w:pPr>
        <w:autoSpaceDE w:val="0"/>
        <w:autoSpaceDN w:val="0"/>
        <w:adjustRightInd w:val="0"/>
        <w:rPr>
          <w:sz w:val="22"/>
          <w:szCs w:val="22"/>
          <w:lang w:eastAsia="en-US"/>
        </w:rPr>
      </w:pPr>
      <w:r w:rsidRPr="00CF69C3">
        <w:rPr>
          <w:sz w:val="22"/>
          <w:szCs w:val="22"/>
          <w:lang w:eastAsia="en-US"/>
        </w:rPr>
        <w:t>Laboratory QA/QC samples were used to evaluate the analytical processes for contamination, accuracy, and precision (reproducibility). All data are considered usable. No data were rejected. Data were qualified and flagged in the project database with the appropriate SWAMP QA codes. Flagged data are usable as qualified.</w:t>
      </w:r>
    </w:p>
    <w:p w:rsidR="00002287" w:rsidRPr="00CF69C3" w:rsidRDefault="00002287" w:rsidP="006A4BB6">
      <w:pPr>
        <w:autoSpaceDE w:val="0"/>
        <w:autoSpaceDN w:val="0"/>
        <w:adjustRightInd w:val="0"/>
        <w:rPr>
          <w:sz w:val="22"/>
          <w:szCs w:val="22"/>
          <w:lang w:eastAsia="en-US"/>
        </w:rPr>
      </w:pPr>
    </w:p>
    <w:p w:rsidR="00002287" w:rsidRPr="00CF69C3" w:rsidRDefault="00002287" w:rsidP="006A4BB6">
      <w:pPr>
        <w:autoSpaceDE w:val="0"/>
        <w:autoSpaceDN w:val="0"/>
        <w:adjustRightInd w:val="0"/>
        <w:rPr>
          <w:sz w:val="22"/>
          <w:szCs w:val="22"/>
          <w:lang w:eastAsia="en-US"/>
        </w:rPr>
      </w:pPr>
      <w:r w:rsidRPr="00CF69C3">
        <w:rPr>
          <w:sz w:val="22"/>
          <w:szCs w:val="22"/>
          <w:lang w:eastAsia="en-US"/>
        </w:rPr>
        <w:t>Laboratory duplicates were analyzed for a minimum of five percent of the total number of samples analyzed per constituent. The percentage of duplicates that met the DQOs for individual constituents ranged between 66 percent and 100 percent, with all but one constituent in the range of 91 percent to 100 percent.</w:t>
      </w:r>
    </w:p>
    <w:p w:rsidR="00002287" w:rsidRPr="00CF69C3" w:rsidRDefault="00002287" w:rsidP="006A4BB6">
      <w:pPr>
        <w:autoSpaceDE w:val="0"/>
        <w:autoSpaceDN w:val="0"/>
        <w:adjustRightInd w:val="0"/>
        <w:rPr>
          <w:sz w:val="22"/>
          <w:szCs w:val="22"/>
          <w:lang w:eastAsia="en-US"/>
        </w:rPr>
      </w:pPr>
    </w:p>
    <w:p w:rsidR="00002287" w:rsidRPr="00CF69C3" w:rsidRDefault="00002287" w:rsidP="006A4BB6">
      <w:pPr>
        <w:autoSpaceDE w:val="0"/>
        <w:autoSpaceDN w:val="0"/>
        <w:adjustRightInd w:val="0"/>
        <w:rPr>
          <w:sz w:val="22"/>
          <w:szCs w:val="22"/>
          <w:lang w:eastAsia="en-US"/>
        </w:rPr>
      </w:pPr>
      <w:r w:rsidRPr="00CF69C3">
        <w:rPr>
          <w:sz w:val="22"/>
          <w:szCs w:val="22"/>
          <w:lang w:eastAsia="en-US"/>
        </w:rPr>
        <w:t>Laboratory control samples were analyzed for a minimum of six percent of the total samples collected for the following constituents: ammonia as nitrogen, N+N, SRP, TN, TDN, TP, and TDP. All results met the DQOs, except for two samples.</w:t>
      </w:r>
    </w:p>
    <w:p w:rsidR="00002287" w:rsidRPr="00CF69C3" w:rsidRDefault="00002287" w:rsidP="006A4BB6">
      <w:pPr>
        <w:autoSpaceDE w:val="0"/>
        <w:autoSpaceDN w:val="0"/>
        <w:adjustRightInd w:val="0"/>
        <w:rPr>
          <w:i/>
          <w:iCs/>
          <w:sz w:val="22"/>
          <w:szCs w:val="22"/>
          <w:lang w:eastAsia="en-US"/>
        </w:rPr>
      </w:pPr>
    </w:p>
    <w:p w:rsidR="00002287" w:rsidRPr="00CF69C3" w:rsidRDefault="00002287" w:rsidP="006A4BB6">
      <w:pPr>
        <w:autoSpaceDE w:val="0"/>
        <w:autoSpaceDN w:val="0"/>
        <w:adjustRightInd w:val="0"/>
        <w:rPr>
          <w:sz w:val="22"/>
          <w:szCs w:val="22"/>
          <w:lang w:eastAsia="en-US"/>
        </w:rPr>
      </w:pPr>
      <w:r w:rsidRPr="00CF69C3">
        <w:rPr>
          <w:sz w:val="22"/>
          <w:szCs w:val="22"/>
          <w:lang w:eastAsia="en-US"/>
        </w:rPr>
        <w:t>Matrix spikes/matrix spike duplicates were analyzed on a minimum of five percent of the total number of samples collected for the following constituents: TDS, ammonia as nitrogen, N+N, TN, TDN, TP, and TDP. All sample results met the DQOs, except for one TN sample tested during Index Period 1.</w:t>
      </w:r>
    </w:p>
    <w:p w:rsidR="00002287" w:rsidRPr="00CF69C3" w:rsidRDefault="00002287" w:rsidP="006A4BB6">
      <w:pPr>
        <w:autoSpaceDE w:val="0"/>
        <w:autoSpaceDN w:val="0"/>
        <w:adjustRightInd w:val="0"/>
        <w:rPr>
          <w:sz w:val="22"/>
          <w:szCs w:val="22"/>
          <w:lang w:eastAsia="en-US"/>
        </w:rPr>
      </w:pPr>
    </w:p>
    <w:p w:rsidR="00002287" w:rsidRPr="00CF69C3" w:rsidRDefault="00002287" w:rsidP="006A4BB6">
      <w:pPr>
        <w:autoSpaceDE w:val="0"/>
        <w:autoSpaceDN w:val="0"/>
        <w:adjustRightInd w:val="0"/>
        <w:rPr>
          <w:sz w:val="22"/>
          <w:szCs w:val="22"/>
          <w:lang w:eastAsia="en-US"/>
        </w:rPr>
      </w:pPr>
      <w:r w:rsidRPr="00CF69C3">
        <w:rPr>
          <w:sz w:val="22"/>
          <w:szCs w:val="22"/>
          <w:lang w:eastAsia="en-US"/>
        </w:rPr>
        <w:t>Laboratory blanks were analyzed on a minimum of five percent of the total number of samples collected.</w:t>
      </w:r>
    </w:p>
    <w:p w:rsidR="00002287" w:rsidRPr="00CF69C3" w:rsidRDefault="00002287" w:rsidP="006A4BB6">
      <w:pPr>
        <w:autoSpaceDE w:val="0"/>
        <w:autoSpaceDN w:val="0"/>
        <w:adjustRightInd w:val="0"/>
        <w:rPr>
          <w:sz w:val="22"/>
          <w:szCs w:val="22"/>
          <w:lang w:eastAsia="en-US"/>
        </w:rPr>
      </w:pPr>
    </w:p>
    <w:p w:rsidR="00002287" w:rsidRPr="00CF69C3" w:rsidRDefault="00002287" w:rsidP="006A4BB6">
      <w:pPr>
        <w:autoSpaceDE w:val="0"/>
        <w:autoSpaceDN w:val="0"/>
        <w:adjustRightInd w:val="0"/>
        <w:rPr>
          <w:sz w:val="22"/>
          <w:szCs w:val="22"/>
          <w:lang w:eastAsia="en-US"/>
        </w:rPr>
      </w:pPr>
      <w:r w:rsidRPr="00CF69C3">
        <w:rPr>
          <w:sz w:val="22"/>
          <w:szCs w:val="22"/>
          <w:lang w:eastAsia="en-US"/>
        </w:rPr>
        <w:t xml:space="preserve">All sample results met the DQOs except for one of 79 total samples tested for chlorophyll </w:t>
      </w:r>
      <w:r w:rsidRPr="00CF69C3">
        <w:rPr>
          <w:i/>
          <w:iCs/>
          <w:sz w:val="22"/>
          <w:szCs w:val="22"/>
          <w:lang w:eastAsia="en-US"/>
        </w:rPr>
        <w:t>a</w:t>
      </w:r>
      <w:r w:rsidRPr="00CF69C3">
        <w:rPr>
          <w:sz w:val="22"/>
          <w:szCs w:val="22"/>
          <w:lang w:eastAsia="en-US"/>
        </w:rPr>
        <w:t>.</w:t>
      </w:r>
    </w:p>
    <w:p w:rsidR="00002287" w:rsidRPr="00CF69C3" w:rsidRDefault="00002287" w:rsidP="00F72AB8">
      <w:pPr>
        <w:rPr>
          <w:b/>
          <w:sz w:val="22"/>
          <w:szCs w:val="22"/>
        </w:rPr>
      </w:pPr>
    </w:p>
    <w:p w:rsidR="00002287" w:rsidRPr="00CF69C3" w:rsidRDefault="00002287" w:rsidP="00F72AB8">
      <w:pPr>
        <w:rPr>
          <w:b/>
          <w:sz w:val="22"/>
          <w:szCs w:val="22"/>
        </w:rPr>
      </w:pPr>
      <w:r w:rsidRPr="00CF69C3">
        <w:rPr>
          <w:b/>
          <w:sz w:val="22"/>
          <w:szCs w:val="22"/>
        </w:rPr>
        <w:t>Enclosed Documents in Electronic Format:</w:t>
      </w:r>
    </w:p>
    <w:p w:rsidR="00002287" w:rsidRPr="00CF69C3" w:rsidRDefault="00002287" w:rsidP="00F72AB8">
      <w:pPr>
        <w:rPr>
          <w:b/>
          <w:sz w:val="22"/>
          <w:szCs w:val="22"/>
        </w:rPr>
      </w:pPr>
    </w:p>
    <w:p w:rsidR="00002287" w:rsidRPr="00CF69C3" w:rsidRDefault="00002287" w:rsidP="00F72AB8">
      <w:pPr>
        <w:rPr>
          <w:i/>
          <w:sz w:val="22"/>
          <w:szCs w:val="22"/>
          <w:lang w:eastAsia="en-US"/>
        </w:rPr>
      </w:pPr>
      <w:r w:rsidRPr="00CF69C3">
        <w:rPr>
          <w:i/>
          <w:sz w:val="22"/>
          <w:szCs w:val="22"/>
          <w:lang w:eastAsia="en-US"/>
        </w:rPr>
        <w:t>Carlsbad Hydrologic Unit SDRWQCB Investigative Order R9-2006-076 Lagoon TMDL Monitoring Quality Assurance Project Plan</w:t>
      </w:r>
      <w:r w:rsidRPr="00CF69C3">
        <w:rPr>
          <w:sz w:val="22"/>
          <w:szCs w:val="22"/>
          <w:lang w:eastAsia="en-US"/>
        </w:rPr>
        <w:t xml:space="preserve"> (QAPP) (September 1, 2007)  Electronic Folder: </w:t>
      </w:r>
      <w:r w:rsidRPr="00CF69C3">
        <w:rPr>
          <w:i/>
          <w:sz w:val="22"/>
          <w:szCs w:val="22"/>
          <w:lang w:eastAsia="en-US"/>
        </w:rPr>
        <w:t xml:space="preserve">QAPP FINAL </w:t>
      </w:r>
    </w:p>
    <w:p w:rsidR="00002287" w:rsidRPr="00CF69C3" w:rsidRDefault="00002287" w:rsidP="00F72AB8">
      <w:pPr>
        <w:rPr>
          <w:sz w:val="22"/>
          <w:szCs w:val="22"/>
          <w:lang w:eastAsia="en-US"/>
        </w:rPr>
      </w:pPr>
    </w:p>
    <w:p w:rsidR="00002287" w:rsidRPr="00CF69C3" w:rsidRDefault="00002287" w:rsidP="00F72AB8">
      <w:pPr>
        <w:rPr>
          <w:i/>
          <w:sz w:val="22"/>
          <w:szCs w:val="22"/>
          <w:lang w:eastAsia="en-US"/>
        </w:rPr>
      </w:pPr>
      <w:r w:rsidRPr="00CF69C3">
        <w:rPr>
          <w:i/>
          <w:sz w:val="22"/>
          <w:szCs w:val="22"/>
          <w:lang w:eastAsia="en-US"/>
        </w:rPr>
        <w:t xml:space="preserve">Section 3 of the Carlsbad Hydrologic Unit Lagoon Monitoring Report’s Section 3.0: QA/QC Results.  </w:t>
      </w:r>
      <w:r w:rsidRPr="00CF69C3">
        <w:rPr>
          <w:sz w:val="22"/>
          <w:szCs w:val="22"/>
          <w:lang w:eastAsia="en-US"/>
        </w:rPr>
        <w:t>Electronic Filename:</w:t>
      </w:r>
      <w:r w:rsidRPr="00CF69C3">
        <w:rPr>
          <w:i/>
          <w:sz w:val="22"/>
          <w:szCs w:val="22"/>
          <w:lang w:eastAsia="en-US"/>
        </w:rPr>
        <w:t xml:space="preserve">  Carlsbad Lagoon Monitoring QAQC Report.pdf</w:t>
      </w:r>
    </w:p>
    <w:p w:rsidR="00002287" w:rsidRPr="00CF69C3" w:rsidRDefault="00002287" w:rsidP="00F72AB8">
      <w:pPr>
        <w:rPr>
          <w:b/>
          <w:sz w:val="22"/>
          <w:szCs w:val="22"/>
        </w:rPr>
      </w:pPr>
      <w:r w:rsidRPr="00CF69C3">
        <w:rPr>
          <w:b/>
          <w:sz w:val="22"/>
          <w:szCs w:val="22"/>
        </w:rPr>
        <w:t>Enclosed Electronic Data File:</w:t>
      </w:r>
    </w:p>
    <w:p w:rsidR="00002287" w:rsidRPr="00CF69C3" w:rsidRDefault="00002287" w:rsidP="00F72AB8">
      <w:pPr>
        <w:rPr>
          <w:b/>
          <w:sz w:val="22"/>
          <w:szCs w:val="22"/>
        </w:rPr>
      </w:pPr>
    </w:p>
    <w:p w:rsidR="00002287" w:rsidRPr="00CF69C3" w:rsidRDefault="00002287" w:rsidP="00F72AB8">
      <w:pPr>
        <w:rPr>
          <w:b/>
          <w:sz w:val="22"/>
          <w:szCs w:val="22"/>
        </w:rPr>
      </w:pPr>
      <w:r w:rsidRPr="00CF69C3">
        <w:rPr>
          <w:sz w:val="22"/>
          <w:szCs w:val="22"/>
        </w:rPr>
        <w:t xml:space="preserve">Carlsbad Hydrologic Unit (CHU) Lagoon Monitoring Project Data.  Electronic Filename:  </w:t>
      </w:r>
      <w:r w:rsidRPr="00CF69C3">
        <w:rPr>
          <w:i/>
          <w:sz w:val="22"/>
          <w:szCs w:val="22"/>
        </w:rPr>
        <w:t>Carlsbad Lagoon Monitoring_Data.xls</w:t>
      </w:r>
      <w:r w:rsidRPr="00CF69C3">
        <w:rPr>
          <w:sz w:val="22"/>
          <w:szCs w:val="22"/>
        </w:rPr>
        <w:t>.</w:t>
      </w:r>
    </w:p>
    <w:p w:rsidR="00002287" w:rsidRDefault="00002287" w:rsidP="00F72AB8">
      <w:pPr>
        <w:rPr>
          <w:b/>
          <w:sz w:val="22"/>
        </w:rPr>
      </w:pPr>
    </w:p>
    <w:p w:rsidR="00002287" w:rsidRDefault="00002287" w:rsidP="00F72AB8">
      <w:pPr>
        <w:rPr>
          <w:b/>
          <w:sz w:val="22"/>
        </w:rPr>
      </w:pPr>
    </w:p>
    <w:p w:rsidR="00002287" w:rsidRDefault="00002287"/>
    <w:sectPr w:rsidR="00002287" w:rsidSect="00A735C8">
      <w:pgSz w:w="12240" w:h="15840"/>
      <w:pgMar w:top="1440" w:right="1800" w:bottom="162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5C8"/>
    <w:rsid w:val="00002287"/>
    <w:rsid w:val="001B720E"/>
    <w:rsid w:val="002865E7"/>
    <w:rsid w:val="002E0962"/>
    <w:rsid w:val="003263B1"/>
    <w:rsid w:val="00344983"/>
    <w:rsid w:val="00364F7D"/>
    <w:rsid w:val="003B74F8"/>
    <w:rsid w:val="003C5FBD"/>
    <w:rsid w:val="005B0559"/>
    <w:rsid w:val="005E1A97"/>
    <w:rsid w:val="00661216"/>
    <w:rsid w:val="006A4BB6"/>
    <w:rsid w:val="00834B0C"/>
    <w:rsid w:val="0084369A"/>
    <w:rsid w:val="008A5BB1"/>
    <w:rsid w:val="008B14C0"/>
    <w:rsid w:val="009435EB"/>
    <w:rsid w:val="00A05574"/>
    <w:rsid w:val="00A428DC"/>
    <w:rsid w:val="00A735C8"/>
    <w:rsid w:val="00A813ED"/>
    <w:rsid w:val="00B7284A"/>
    <w:rsid w:val="00C5702E"/>
    <w:rsid w:val="00CB10B0"/>
    <w:rsid w:val="00CF69C3"/>
    <w:rsid w:val="00DA0CB4"/>
    <w:rsid w:val="00DE6C46"/>
    <w:rsid w:val="00EC098A"/>
    <w:rsid w:val="00ED5EAF"/>
    <w:rsid w:val="00F05C7B"/>
    <w:rsid w:val="00F36427"/>
    <w:rsid w:val="00F72A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5C8"/>
    <w:rPr>
      <w:rFonts w:ascii="Times New Roman" w:eastAsia="Times New Roman" w:hAnsi="Times New Roman"/>
      <w:sz w:val="24"/>
      <w:szCs w:val="24"/>
      <w:lang w:eastAsia="zh-TW"/>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A735C8"/>
    <w:rPr>
      <w:b/>
      <w:bCs/>
      <w:sz w:val="20"/>
      <w:szCs w:val="20"/>
    </w:rPr>
  </w:style>
  <w:style w:type="table" w:styleId="TableGrid">
    <w:name w:val="Table Grid"/>
    <w:basedOn w:val="TableNormal"/>
    <w:uiPriority w:val="99"/>
    <w:rsid w:val="00A735C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735C8"/>
    <w:rPr>
      <w:rFonts w:cs="Times New Roman"/>
      <w:color w:val="0000FF"/>
      <w:u w:val="single"/>
    </w:rPr>
  </w:style>
  <w:style w:type="paragraph" w:styleId="Title">
    <w:name w:val="Title"/>
    <w:basedOn w:val="Normal"/>
    <w:link w:val="TitleChar"/>
    <w:uiPriority w:val="99"/>
    <w:qFormat/>
    <w:rsid w:val="00A735C8"/>
    <w:pPr>
      <w:jc w:val="center"/>
    </w:pPr>
    <w:rPr>
      <w:b/>
      <w:bCs/>
      <w:sz w:val="22"/>
      <w:lang w:eastAsia="en-US"/>
    </w:rPr>
  </w:style>
  <w:style w:type="character" w:customStyle="1" w:styleId="TitleChar">
    <w:name w:val="Title Char"/>
    <w:basedOn w:val="DefaultParagraphFont"/>
    <w:link w:val="Title"/>
    <w:uiPriority w:val="99"/>
    <w:locked/>
    <w:rsid w:val="00A735C8"/>
    <w:rPr>
      <w:rFonts w:ascii="Times New Roman" w:hAnsi="Times New Roman" w:cs="Times New Roman"/>
      <w:b/>
      <w:bCs/>
      <w:sz w:val="24"/>
      <w:szCs w:val="24"/>
    </w:rPr>
  </w:style>
  <w:style w:type="character" w:styleId="CommentReference">
    <w:name w:val="annotation reference"/>
    <w:basedOn w:val="DefaultParagraphFont"/>
    <w:uiPriority w:val="99"/>
    <w:semiHidden/>
    <w:rsid w:val="00CB10B0"/>
    <w:rPr>
      <w:rFonts w:cs="Times New Roman"/>
      <w:sz w:val="16"/>
      <w:szCs w:val="16"/>
    </w:rPr>
  </w:style>
  <w:style w:type="paragraph" w:styleId="CommentText">
    <w:name w:val="annotation text"/>
    <w:basedOn w:val="Normal"/>
    <w:link w:val="CommentTextChar"/>
    <w:uiPriority w:val="99"/>
    <w:semiHidden/>
    <w:rsid w:val="00CB10B0"/>
    <w:rPr>
      <w:sz w:val="20"/>
      <w:szCs w:val="20"/>
    </w:rPr>
  </w:style>
  <w:style w:type="character" w:customStyle="1" w:styleId="CommentTextChar">
    <w:name w:val="Comment Text Char"/>
    <w:basedOn w:val="DefaultParagraphFont"/>
    <w:link w:val="CommentText"/>
    <w:uiPriority w:val="99"/>
    <w:semiHidden/>
    <w:rsid w:val="00AC5153"/>
    <w:rPr>
      <w:rFonts w:ascii="Times New Roman" w:eastAsia="Times New Roman" w:hAnsi="Times New Roman"/>
      <w:sz w:val="20"/>
      <w:szCs w:val="20"/>
      <w:lang w:eastAsia="zh-TW"/>
    </w:rPr>
  </w:style>
  <w:style w:type="paragraph" w:styleId="CommentSubject">
    <w:name w:val="annotation subject"/>
    <w:basedOn w:val="CommentText"/>
    <w:next w:val="CommentText"/>
    <w:link w:val="CommentSubjectChar"/>
    <w:uiPriority w:val="99"/>
    <w:semiHidden/>
    <w:rsid w:val="00CB10B0"/>
    <w:rPr>
      <w:b/>
      <w:bCs/>
    </w:rPr>
  </w:style>
  <w:style w:type="character" w:customStyle="1" w:styleId="CommentSubjectChar">
    <w:name w:val="Comment Subject Char"/>
    <w:basedOn w:val="CommentTextChar"/>
    <w:link w:val="CommentSubject"/>
    <w:uiPriority w:val="99"/>
    <w:semiHidden/>
    <w:rsid w:val="00AC5153"/>
    <w:rPr>
      <w:b/>
      <w:bCs/>
    </w:rPr>
  </w:style>
  <w:style w:type="paragraph" w:styleId="BalloonText">
    <w:name w:val="Balloon Text"/>
    <w:basedOn w:val="Normal"/>
    <w:link w:val="BalloonTextChar"/>
    <w:uiPriority w:val="99"/>
    <w:semiHidden/>
    <w:rsid w:val="00CB10B0"/>
    <w:rPr>
      <w:rFonts w:ascii="Tahoma" w:hAnsi="Tahoma" w:cs="Tahoma"/>
      <w:sz w:val="16"/>
      <w:szCs w:val="16"/>
    </w:rPr>
  </w:style>
  <w:style w:type="character" w:customStyle="1" w:styleId="BalloonTextChar">
    <w:name w:val="Balloon Text Char"/>
    <w:basedOn w:val="DefaultParagraphFont"/>
    <w:link w:val="BalloonText"/>
    <w:uiPriority w:val="99"/>
    <w:semiHidden/>
    <w:rsid w:val="00AC5153"/>
    <w:rPr>
      <w:rFonts w:ascii="Times New Roman" w:eastAsia="Times New Roman" w:hAnsi="Times New Roman"/>
      <w:sz w:val="0"/>
      <w:szCs w:val="0"/>
      <w:lang w:eastAsia="zh-TW"/>
    </w:rPr>
  </w:style>
</w:styles>
</file>

<file path=word/webSettings.xml><?xml version="1.0" encoding="utf-8"?>
<w:webSettings xmlns:r="http://schemas.openxmlformats.org/officeDocument/2006/relationships" xmlns:w="http://schemas.openxmlformats.org/wordprocessingml/2006/main">
  <w:divs>
    <w:div w:id="537932239">
      <w:marLeft w:val="0"/>
      <w:marRight w:val="0"/>
      <w:marTop w:val="0"/>
      <w:marBottom w:val="0"/>
      <w:divBdr>
        <w:top w:val="none" w:sz="0" w:space="0" w:color="auto"/>
        <w:left w:val="none" w:sz="0" w:space="0" w:color="auto"/>
        <w:bottom w:val="none" w:sz="0" w:space="0" w:color="auto"/>
        <w:right w:val="none" w:sz="0" w:space="0" w:color="auto"/>
      </w:divBdr>
    </w:div>
    <w:div w:id="5379322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oann.weber@sdcounty.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6</Pages>
  <Words>1784</Words>
  <Characters>10173</Characters>
  <Application>Microsoft Office Outlook</Application>
  <DocSecurity>0</DocSecurity>
  <Lines>0</Lines>
  <Paragraphs>0</Paragraphs>
  <ScaleCrop>false</ScaleCrop>
  <Company>Weston Solutions,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Title:  Carlsbad Hydrologic Unit (CHU) Lagoon Monitoring Project</dc:title>
  <dc:subject/>
  <dc:creator>Andrea Crumpacker</dc:creator>
  <cp:keywords/>
  <dc:description/>
  <cp:lastModifiedBy>jwisniew</cp:lastModifiedBy>
  <cp:revision>2</cp:revision>
  <dcterms:created xsi:type="dcterms:W3CDTF">2010-07-02T22:04:00Z</dcterms:created>
  <dcterms:modified xsi:type="dcterms:W3CDTF">2010-07-02T22:04:00Z</dcterms:modified>
</cp:coreProperties>
</file>