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533D" w14:textId="5C5C47D7" w:rsidR="00764D07" w:rsidRPr="00A60F41" w:rsidRDefault="00764D07" w:rsidP="00764D07">
      <w:pPr>
        <w:pStyle w:val="ListParagraph"/>
        <w:ind w:left="0"/>
        <w:jc w:val="center"/>
        <w:rPr>
          <w:rFonts w:ascii="Arial" w:hAnsi="Arial" w:cs="Arial"/>
          <w:b/>
        </w:rPr>
      </w:pPr>
      <w:r w:rsidRPr="00A60F41">
        <w:rPr>
          <w:rFonts w:ascii="Arial" w:hAnsi="Arial" w:cs="Arial"/>
          <w:b/>
        </w:rPr>
        <w:t xml:space="preserve">Response to </w:t>
      </w:r>
      <w:r>
        <w:rPr>
          <w:rFonts w:ascii="Arial" w:hAnsi="Arial" w:cs="Arial"/>
          <w:b/>
        </w:rPr>
        <w:t>C</w:t>
      </w:r>
      <w:r w:rsidRPr="00A60F41">
        <w:rPr>
          <w:rFonts w:ascii="Arial" w:hAnsi="Arial" w:cs="Arial"/>
          <w:b/>
        </w:rPr>
        <w:t xml:space="preserve">omments </w:t>
      </w:r>
      <w:r>
        <w:rPr>
          <w:rFonts w:ascii="Arial" w:hAnsi="Arial" w:cs="Arial"/>
          <w:b/>
        </w:rPr>
        <w:t xml:space="preserve">received from </w:t>
      </w:r>
      <w:r w:rsidR="00FB5208">
        <w:rPr>
          <w:rFonts w:ascii="Arial" w:hAnsi="Arial" w:cs="Arial"/>
          <w:b/>
        </w:rPr>
        <w:t>Orange County Water District</w:t>
      </w:r>
      <w:r>
        <w:rPr>
          <w:rFonts w:ascii="Arial" w:hAnsi="Arial" w:cs="Arial"/>
          <w:b/>
        </w:rPr>
        <w:t xml:space="preserve"> dated </w:t>
      </w:r>
      <w:r w:rsidR="00FB5208">
        <w:rPr>
          <w:rFonts w:ascii="Arial" w:hAnsi="Arial" w:cs="Arial"/>
          <w:b/>
        </w:rPr>
        <w:t xml:space="preserve">                    October 5, 2018 </w:t>
      </w:r>
      <w:r w:rsidRPr="00A60F41">
        <w:rPr>
          <w:rFonts w:ascii="Arial" w:hAnsi="Arial" w:cs="Arial"/>
          <w:b/>
        </w:rPr>
        <w:t>Regarding the Closure Recommendation for</w:t>
      </w:r>
    </w:p>
    <w:p w14:paraId="46BE2E5D" w14:textId="5812403E" w:rsidR="00764D07" w:rsidRPr="00A60F41" w:rsidRDefault="00FB5208" w:rsidP="00764D07">
      <w:pPr>
        <w:pStyle w:val="ListParagraph"/>
        <w:ind w:left="0"/>
        <w:jc w:val="center"/>
        <w:rPr>
          <w:rFonts w:ascii="Arial" w:hAnsi="Arial" w:cs="Arial"/>
          <w:b/>
        </w:rPr>
      </w:pPr>
      <w:r>
        <w:rPr>
          <w:rFonts w:ascii="Arial" w:hAnsi="Arial" w:cs="Arial"/>
          <w:b/>
        </w:rPr>
        <w:t>Tustin Auto Wash</w:t>
      </w:r>
      <w:r w:rsidR="00764D07">
        <w:rPr>
          <w:rFonts w:ascii="Arial" w:hAnsi="Arial" w:cs="Arial"/>
          <w:b/>
        </w:rPr>
        <w:t xml:space="preserve">, </w:t>
      </w:r>
      <w:r>
        <w:rPr>
          <w:rFonts w:ascii="Arial" w:hAnsi="Arial" w:cs="Arial"/>
          <w:b/>
        </w:rPr>
        <w:t>535 Main, Tustin, 92780</w:t>
      </w:r>
    </w:p>
    <w:p w14:paraId="7E7A7599" w14:textId="0F263D96" w:rsidR="00C92240" w:rsidRPr="00C92240" w:rsidRDefault="00764D07" w:rsidP="00C92240">
      <w:pPr>
        <w:pStyle w:val="ListParagraph"/>
        <w:ind w:left="0"/>
        <w:jc w:val="center"/>
        <w:rPr>
          <w:rFonts w:ascii="Arial" w:hAnsi="Arial" w:cs="Arial"/>
          <w:b/>
        </w:rPr>
      </w:pPr>
      <w:r w:rsidRPr="00A60F41">
        <w:rPr>
          <w:rFonts w:ascii="Arial" w:hAnsi="Arial" w:cs="Arial"/>
          <w:b/>
        </w:rPr>
        <w:t xml:space="preserve">Claim </w:t>
      </w:r>
      <w:r w:rsidR="00FB5208">
        <w:rPr>
          <w:rFonts w:ascii="Arial" w:hAnsi="Arial" w:cs="Arial"/>
          <w:b/>
        </w:rPr>
        <w:t>14847</w:t>
      </w:r>
    </w:p>
    <w:p w14:paraId="4C1B3BB7" w14:textId="77777777" w:rsidR="00C92240" w:rsidRDefault="00C92240">
      <w:pPr>
        <w:spacing w:before="10" w:after="0" w:line="280" w:lineRule="exact"/>
        <w:rPr>
          <w:rFonts w:ascii="Arial" w:hAnsi="Arial" w:cs="Arial"/>
          <w:u w:val="single"/>
        </w:rPr>
      </w:pPr>
    </w:p>
    <w:p w14:paraId="35D24E35" w14:textId="3AFE62A6" w:rsidR="0087774F" w:rsidRPr="00BA4F33" w:rsidRDefault="0091400A">
      <w:pPr>
        <w:spacing w:before="10" w:after="0" w:line="280" w:lineRule="exact"/>
        <w:rPr>
          <w:rFonts w:ascii="Arial" w:hAnsi="Arial" w:cs="Arial"/>
          <w:u w:val="single"/>
        </w:rPr>
      </w:pPr>
      <w:r w:rsidRPr="00BA4F33">
        <w:rPr>
          <w:rFonts w:ascii="Arial" w:hAnsi="Arial" w:cs="Arial"/>
          <w:u w:val="single"/>
        </w:rPr>
        <w:t>Summary</w:t>
      </w:r>
    </w:p>
    <w:p w14:paraId="600F1DF2" w14:textId="39AA79AF" w:rsidR="00C11629" w:rsidRPr="00BA4F33" w:rsidRDefault="00C11629" w:rsidP="00E729BB">
      <w:pPr>
        <w:spacing w:before="10" w:after="0" w:line="280" w:lineRule="exact"/>
        <w:rPr>
          <w:rFonts w:ascii="Arial" w:hAnsi="Arial" w:cs="Arial"/>
        </w:rPr>
      </w:pPr>
      <w:r w:rsidRPr="00BA4F33">
        <w:rPr>
          <w:rFonts w:ascii="Arial" w:hAnsi="Arial" w:cs="Arial"/>
        </w:rPr>
        <w:t xml:space="preserve">The site, </w:t>
      </w:r>
      <w:r w:rsidR="00FB5208">
        <w:rPr>
          <w:rFonts w:ascii="Arial" w:hAnsi="Arial" w:cs="Arial"/>
        </w:rPr>
        <w:t>Tustin Auto Wash</w:t>
      </w:r>
      <w:r w:rsidRPr="00BA4F33">
        <w:rPr>
          <w:rFonts w:ascii="Arial" w:hAnsi="Arial" w:cs="Arial"/>
        </w:rPr>
        <w:t>, was a</w:t>
      </w:r>
      <w:r w:rsidR="00B7028C" w:rsidRPr="00B7028C">
        <w:rPr>
          <w:rFonts w:ascii="Arial" w:hAnsi="Arial" w:cs="Arial"/>
        </w:rPr>
        <w:t xml:space="preserve"> </w:t>
      </w:r>
      <w:r w:rsidR="00B7028C" w:rsidRPr="008A30B2">
        <w:rPr>
          <w:rFonts w:ascii="Arial" w:hAnsi="Arial" w:cs="Arial"/>
        </w:rPr>
        <w:t xml:space="preserve">former car wash and commercial petroleum fueling facility and is currently developed as a retail building.  </w:t>
      </w:r>
      <w:r w:rsidR="00B7028C" w:rsidRPr="00485628">
        <w:rPr>
          <w:rFonts w:ascii="Arial" w:hAnsi="Arial" w:cs="Arial"/>
        </w:rPr>
        <w:t>An unauthorized</w:t>
      </w:r>
      <w:r w:rsidR="00B7028C">
        <w:rPr>
          <w:rFonts w:ascii="Arial" w:hAnsi="Arial" w:cs="Arial"/>
        </w:rPr>
        <w:t xml:space="preserve"> release</w:t>
      </w:r>
      <w:r w:rsidR="00B7028C" w:rsidRPr="00485628">
        <w:rPr>
          <w:rFonts w:ascii="Arial" w:hAnsi="Arial" w:cs="Arial"/>
        </w:rPr>
        <w:t xml:space="preserve"> was </w:t>
      </w:r>
      <w:r w:rsidR="00B7028C" w:rsidRPr="001D6D6D">
        <w:rPr>
          <w:rFonts w:ascii="Arial" w:hAnsi="Arial" w:cs="Arial"/>
        </w:rPr>
        <w:t xml:space="preserve">reported in August 1999 following the removal of two gasoline </w:t>
      </w:r>
      <w:r w:rsidR="00B7028C">
        <w:rPr>
          <w:rFonts w:ascii="Arial" w:hAnsi="Arial" w:cs="Arial"/>
        </w:rPr>
        <w:t>u</w:t>
      </w:r>
      <w:r w:rsidR="00B7028C" w:rsidRPr="000A2B09">
        <w:rPr>
          <w:rFonts w:ascii="Arial" w:hAnsi="Arial" w:cs="Arial"/>
          <w:color w:val="000000"/>
        </w:rPr>
        <w:t xml:space="preserve">nderground </w:t>
      </w:r>
      <w:r w:rsidR="00B7028C">
        <w:rPr>
          <w:rFonts w:ascii="Arial" w:hAnsi="Arial" w:cs="Arial"/>
          <w:color w:val="000000"/>
        </w:rPr>
        <w:t>s</w:t>
      </w:r>
      <w:r w:rsidR="00B7028C" w:rsidRPr="000A2B09">
        <w:rPr>
          <w:rFonts w:ascii="Arial" w:hAnsi="Arial" w:cs="Arial"/>
          <w:color w:val="000000"/>
        </w:rPr>
        <w:t xml:space="preserve">torage </w:t>
      </w:r>
      <w:r w:rsidR="00B7028C">
        <w:rPr>
          <w:rFonts w:ascii="Arial" w:hAnsi="Arial" w:cs="Arial"/>
          <w:color w:val="000000"/>
        </w:rPr>
        <w:t>t</w:t>
      </w:r>
      <w:r w:rsidR="00B7028C" w:rsidRPr="000A2B09">
        <w:rPr>
          <w:rFonts w:ascii="Arial" w:hAnsi="Arial" w:cs="Arial"/>
          <w:color w:val="000000"/>
        </w:rPr>
        <w:t>ank</w:t>
      </w:r>
      <w:r w:rsidR="00B7028C">
        <w:rPr>
          <w:rFonts w:ascii="Arial" w:hAnsi="Arial" w:cs="Arial"/>
          <w:color w:val="000000"/>
        </w:rPr>
        <w:t>s</w:t>
      </w:r>
      <w:r w:rsidR="00B7028C" w:rsidRPr="000A2B09">
        <w:rPr>
          <w:rFonts w:ascii="Arial" w:hAnsi="Arial" w:cs="Arial"/>
          <w:color w:val="000000"/>
        </w:rPr>
        <w:t xml:space="preserve"> </w:t>
      </w:r>
      <w:r w:rsidR="00B7028C">
        <w:rPr>
          <w:rFonts w:ascii="Arial" w:hAnsi="Arial" w:cs="Arial"/>
          <w:color w:val="000000"/>
        </w:rPr>
        <w:t>(</w:t>
      </w:r>
      <w:r w:rsidR="00B7028C" w:rsidRPr="001D6D6D">
        <w:rPr>
          <w:rFonts w:ascii="Arial" w:hAnsi="Arial" w:cs="Arial"/>
        </w:rPr>
        <w:t>UST</w:t>
      </w:r>
      <w:r w:rsidR="00352933">
        <w:rPr>
          <w:rFonts w:ascii="Arial" w:hAnsi="Arial" w:cs="Arial"/>
        </w:rPr>
        <w:t>s</w:t>
      </w:r>
      <w:r w:rsidR="00B7028C">
        <w:rPr>
          <w:rFonts w:ascii="Arial" w:hAnsi="Arial" w:cs="Arial"/>
        </w:rPr>
        <w:t>).</w:t>
      </w:r>
      <w:r w:rsidR="00B7028C" w:rsidRPr="001D6D6D">
        <w:rPr>
          <w:rFonts w:ascii="Arial" w:hAnsi="Arial" w:cs="Arial"/>
        </w:rPr>
        <w:t xml:space="preserve">  Dual</w:t>
      </w:r>
      <w:r w:rsidR="00FD11D6">
        <w:rPr>
          <w:rFonts w:ascii="Arial" w:hAnsi="Arial" w:cs="Arial"/>
        </w:rPr>
        <w:t>-</w:t>
      </w:r>
      <w:r w:rsidR="00B7028C" w:rsidRPr="001D6D6D">
        <w:rPr>
          <w:rFonts w:ascii="Arial" w:hAnsi="Arial" w:cs="Arial"/>
        </w:rPr>
        <w:t xml:space="preserve">phase extraction </w:t>
      </w:r>
      <w:r w:rsidR="00B7028C">
        <w:rPr>
          <w:rFonts w:ascii="Arial" w:hAnsi="Arial" w:cs="Arial"/>
        </w:rPr>
        <w:t xml:space="preserve">(DPE) </w:t>
      </w:r>
      <w:r w:rsidR="00B7028C" w:rsidRPr="001D6D6D">
        <w:rPr>
          <w:rFonts w:ascii="Arial" w:hAnsi="Arial" w:cs="Arial"/>
        </w:rPr>
        <w:t xml:space="preserve">was conducted between June and August 2007.  Soil vapor extraction (SVE) was conducted between December 2007 and May 2008.  </w:t>
      </w:r>
      <w:r w:rsidR="00B7028C" w:rsidRPr="00A632F2">
        <w:rPr>
          <w:rStyle w:val="ustltrhead"/>
          <w:rFonts w:ascii="Arial" w:hAnsi="Arial" w:cs="Arial"/>
        </w:rPr>
        <w:t xml:space="preserve">Approximately 1,935 pounds of </w:t>
      </w:r>
      <w:r w:rsidR="00B7028C" w:rsidRPr="00A632F2">
        <w:rPr>
          <w:rFonts w:ascii="Arial" w:hAnsi="Arial" w:cs="Arial"/>
        </w:rPr>
        <w:t xml:space="preserve">total petroleum hydrocarbons as gasoline </w:t>
      </w:r>
      <w:r w:rsidR="00FD11D6">
        <w:rPr>
          <w:rFonts w:ascii="Arial" w:hAnsi="Arial" w:cs="Arial"/>
        </w:rPr>
        <w:t xml:space="preserve">(TPHg) </w:t>
      </w:r>
      <w:r w:rsidR="00B7028C" w:rsidRPr="00A632F2">
        <w:rPr>
          <w:rStyle w:val="ustltrhead"/>
          <w:rFonts w:ascii="Arial" w:hAnsi="Arial" w:cs="Arial"/>
        </w:rPr>
        <w:t xml:space="preserve">were removed using DPE and SVE.  Groundwater extraction </w:t>
      </w:r>
      <w:r w:rsidR="00B7028C">
        <w:rPr>
          <w:rStyle w:val="ustltrhead"/>
          <w:rFonts w:ascii="Arial" w:hAnsi="Arial" w:cs="Arial"/>
        </w:rPr>
        <w:t xml:space="preserve">(GWE) </w:t>
      </w:r>
      <w:r w:rsidR="00B7028C" w:rsidRPr="00A632F2">
        <w:rPr>
          <w:rStyle w:val="ustltrhead"/>
          <w:rFonts w:ascii="Arial" w:hAnsi="Arial" w:cs="Arial"/>
        </w:rPr>
        <w:t xml:space="preserve">was conducted intermittently between December 2007 and September 2009, which reportedly removed 657,000 gallons of </w:t>
      </w:r>
      <w:r w:rsidR="00B7028C">
        <w:rPr>
          <w:rStyle w:val="ustltrhead"/>
          <w:rFonts w:ascii="Arial" w:hAnsi="Arial" w:cs="Arial"/>
        </w:rPr>
        <w:t>petroleum</w:t>
      </w:r>
      <w:r w:rsidR="00FD11D6">
        <w:rPr>
          <w:rStyle w:val="ustltrhead"/>
          <w:rFonts w:ascii="Arial" w:hAnsi="Arial" w:cs="Arial"/>
        </w:rPr>
        <w:t>-</w:t>
      </w:r>
      <w:r w:rsidR="00B7028C" w:rsidRPr="00A632F2">
        <w:rPr>
          <w:rStyle w:val="ustltrhead"/>
          <w:rFonts w:ascii="Arial" w:hAnsi="Arial" w:cs="Arial"/>
        </w:rPr>
        <w:t xml:space="preserve">contaminated groundwater.  </w:t>
      </w:r>
      <w:r w:rsidR="00B7028C">
        <w:rPr>
          <w:rStyle w:val="ustltrhead"/>
          <w:rFonts w:ascii="Arial" w:hAnsi="Arial" w:cs="Arial"/>
        </w:rPr>
        <w:t xml:space="preserve">Between </w:t>
      </w:r>
      <w:r w:rsidR="00B7028C" w:rsidRPr="00A632F2">
        <w:rPr>
          <w:rStyle w:val="ustltrhead"/>
          <w:rFonts w:ascii="Arial" w:hAnsi="Arial" w:cs="Arial"/>
        </w:rPr>
        <w:t>June 2012 and January 2013</w:t>
      </w:r>
      <w:r w:rsidR="00FD11D6">
        <w:rPr>
          <w:rStyle w:val="ustltrhead"/>
          <w:rFonts w:ascii="Arial" w:hAnsi="Arial" w:cs="Arial"/>
        </w:rPr>
        <w:t>,</w:t>
      </w:r>
      <w:r w:rsidR="00B7028C" w:rsidRPr="00A632F2">
        <w:rPr>
          <w:rStyle w:val="ustltrhead"/>
          <w:rFonts w:ascii="Arial" w:hAnsi="Arial" w:cs="Arial"/>
        </w:rPr>
        <w:t xml:space="preserve"> </w:t>
      </w:r>
      <w:r w:rsidR="00B7028C">
        <w:rPr>
          <w:rStyle w:val="ustltrhead"/>
          <w:rFonts w:ascii="Arial" w:hAnsi="Arial" w:cs="Arial"/>
        </w:rPr>
        <w:t xml:space="preserve">GWE activities reportedly </w:t>
      </w:r>
      <w:r w:rsidR="00B7028C" w:rsidRPr="00A632F2">
        <w:rPr>
          <w:rStyle w:val="ustltrhead"/>
          <w:rFonts w:ascii="Arial" w:hAnsi="Arial" w:cs="Arial"/>
        </w:rPr>
        <w:t>remov</w:t>
      </w:r>
      <w:r w:rsidR="00B7028C">
        <w:rPr>
          <w:rStyle w:val="ustltrhead"/>
          <w:rFonts w:ascii="Arial" w:hAnsi="Arial" w:cs="Arial"/>
        </w:rPr>
        <w:t xml:space="preserve">ed </w:t>
      </w:r>
      <w:r w:rsidR="00B7028C" w:rsidRPr="00A632F2">
        <w:rPr>
          <w:rStyle w:val="ustltrhead"/>
          <w:rFonts w:ascii="Arial" w:hAnsi="Arial" w:cs="Arial"/>
        </w:rPr>
        <w:t xml:space="preserve">238,087 gallons of </w:t>
      </w:r>
      <w:r w:rsidR="00FD11D6">
        <w:rPr>
          <w:rStyle w:val="ustltrhead"/>
          <w:rFonts w:ascii="Arial" w:hAnsi="Arial" w:cs="Arial"/>
        </w:rPr>
        <w:t>petroleum-</w:t>
      </w:r>
      <w:r w:rsidR="00B7028C" w:rsidRPr="00A632F2">
        <w:rPr>
          <w:rStyle w:val="ustltrhead"/>
          <w:rFonts w:ascii="Arial" w:hAnsi="Arial" w:cs="Arial"/>
        </w:rPr>
        <w:t>contaminated groundwater, and between May 2015 and January 2016</w:t>
      </w:r>
      <w:r w:rsidR="00B7028C">
        <w:rPr>
          <w:rStyle w:val="ustltrhead"/>
          <w:rFonts w:ascii="Arial" w:hAnsi="Arial" w:cs="Arial"/>
        </w:rPr>
        <w:t xml:space="preserve"> reportedly removed 1,223 </w:t>
      </w:r>
      <w:r w:rsidR="00B7028C" w:rsidRPr="00A632F2">
        <w:rPr>
          <w:rStyle w:val="ustltrhead"/>
          <w:rFonts w:ascii="Arial" w:hAnsi="Arial" w:cs="Arial"/>
        </w:rPr>
        <w:t xml:space="preserve">gallons of </w:t>
      </w:r>
      <w:r w:rsidR="00FD11D6">
        <w:rPr>
          <w:rStyle w:val="ustltrhead"/>
          <w:rFonts w:ascii="Arial" w:hAnsi="Arial" w:cs="Arial"/>
        </w:rPr>
        <w:t>petroleum-</w:t>
      </w:r>
      <w:r w:rsidR="00B7028C" w:rsidRPr="00A632F2">
        <w:rPr>
          <w:rStyle w:val="ustltrhead"/>
          <w:rFonts w:ascii="Arial" w:hAnsi="Arial" w:cs="Arial"/>
        </w:rPr>
        <w:t>contaminated groundwater</w:t>
      </w:r>
    </w:p>
    <w:p w14:paraId="6496788D" w14:textId="59C7B605" w:rsidR="00514895" w:rsidRDefault="00514895">
      <w:pPr>
        <w:spacing w:before="10" w:after="0" w:line="280" w:lineRule="exact"/>
        <w:rPr>
          <w:rFonts w:ascii="Arial" w:hAnsi="Arial" w:cs="Arial"/>
        </w:rPr>
      </w:pPr>
    </w:p>
    <w:p w14:paraId="22E16F8B" w14:textId="0B32F873" w:rsidR="00A53D4E" w:rsidRDefault="00946B79" w:rsidP="00946B79">
      <w:pPr>
        <w:spacing w:after="120"/>
        <w:rPr>
          <w:rFonts w:ascii="Arial" w:hAnsi="Arial" w:cs="Arial"/>
        </w:rPr>
      </w:pPr>
      <w:r>
        <w:rPr>
          <w:rFonts w:ascii="Arial" w:hAnsi="Arial" w:cs="Arial"/>
        </w:rPr>
        <w:t xml:space="preserve">Three </w:t>
      </w:r>
      <w:r w:rsidR="00470C3F">
        <w:rPr>
          <w:rFonts w:ascii="Arial" w:hAnsi="Arial" w:cs="Arial"/>
        </w:rPr>
        <w:t>production</w:t>
      </w:r>
      <w:r>
        <w:rPr>
          <w:rFonts w:ascii="Arial" w:hAnsi="Arial" w:cs="Arial"/>
        </w:rPr>
        <w:t xml:space="preserve"> wells</w:t>
      </w:r>
      <w:r w:rsidR="00F46F01">
        <w:rPr>
          <w:rFonts w:ascii="Arial" w:hAnsi="Arial" w:cs="Arial"/>
        </w:rPr>
        <w:t>, Tustin Main Street Well #2 (T</w:t>
      </w:r>
      <w:r w:rsidR="009D15D6">
        <w:rPr>
          <w:rFonts w:ascii="Arial" w:hAnsi="Arial" w:cs="Arial"/>
        </w:rPr>
        <w:t>-MS2</w:t>
      </w:r>
      <w:r w:rsidR="00F46F01">
        <w:rPr>
          <w:rFonts w:ascii="Arial" w:hAnsi="Arial" w:cs="Arial"/>
        </w:rPr>
        <w:t>), Tustin Main Street Well #3 (</w:t>
      </w:r>
      <w:r w:rsidR="00251397">
        <w:rPr>
          <w:rFonts w:ascii="Arial" w:hAnsi="Arial" w:cs="Arial"/>
        </w:rPr>
        <w:t>T</w:t>
      </w:r>
      <w:r w:rsidR="00251397">
        <w:rPr>
          <w:rFonts w:ascii="Arial" w:hAnsi="Arial" w:cs="Arial"/>
        </w:rPr>
        <w:noBreakHyphen/>
        <w:t>MS3</w:t>
      </w:r>
      <w:r w:rsidR="00F46F01">
        <w:rPr>
          <w:rFonts w:ascii="Arial" w:hAnsi="Arial" w:cs="Arial"/>
        </w:rPr>
        <w:t>) and Tustin Main Street Well #4 (</w:t>
      </w:r>
      <w:r w:rsidR="00251397">
        <w:rPr>
          <w:rFonts w:ascii="Arial" w:hAnsi="Arial" w:cs="Arial"/>
        </w:rPr>
        <w:t>T</w:t>
      </w:r>
      <w:r w:rsidR="00251397">
        <w:rPr>
          <w:rFonts w:ascii="Arial" w:hAnsi="Arial" w:cs="Arial"/>
        </w:rPr>
        <w:noBreakHyphen/>
        <w:t>MS4</w:t>
      </w:r>
      <w:r w:rsidR="00F46F01">
        <w:rPr>
          <w:rFonts w:ascii="Arial" w:hAnsi="Arial" w:cs="Arial"/>
        </w:rPr>
        <w:t xml:space="preserve">) </w:t>
      </w:r>
      <w:r>
        <w:rPr>
          <w:rFonts w:ascii="Arial" w:hAnsi="Arial" w:cs="Arial"/>
        </w:rPr>
        <w:t xml:space="preserve">are located to the west and downgradient of </w:t>
      </w:r>
      <w:r w:rsidR="00293C1D">
        <w:rPr>
          <w:rFonts w:ascii="Arial" w:hAnsi="Arial" w:cs="Arial"/>
        </w:rPr>
        <w:t xml:space="preserve">the </w:t>
      </w:r>
      <w:r w:rsidR="00470C3F">
        <w:rPr>
          <w:rFonts w:ascii="Arial" w:hAnsi="Arial" w:cs="Arial"/>
        </w:rPr>
        <w:t xml:space="preserve">Site.  </w:t>
      </w:r>
      <w:r>
        <w:rPr>
          <w:rFonts w:ascii="Arial" w:hAnsi="Arial" w:cs="Arial"/>
        </w:rPr>
        <w:t xml:space="preserve">The nearest well, </w:t>
      </w:r>
      <w:r w:rsidR="00251397">
        <w:rPr>
          <w:rFonts w:ascii="Arial" w:hAnsi="Arial" w:cs="Arial"/>
        </w:rPr>
        <w:t>T</w:t>
      </w:r>
      <w:r w:rsidR="00251397">
        <w:rPr>
          <w:rFonts w:ascii="Arial" w:hAnsi="Arial" w:cs="Arial"/>
        </w:rPr>
        <w:noBreakHyphen/>
        <w:t>MS4</w:t>
      </w:r>
      <w:r>
        <w:rPr>
          <w:rFonts w:ascii="Arial" w:hAnsi="Arial" w:cs="Arial"/>
        </w:rPr>
        <w:t xml:space="preserve">, is located approximately 450 feet west of the defined </w:t>
      </w:r>
      <w:r w:rsidR="0053628E">
        <w:rPr>
          <w:rFonts w:ascii="Arial" w:hAnsi="Arial" w:cs="Arial"/>
        </w:rPr>
        <w:t xml:space="preserve">petroleum hydrocarbon </w:t>
      </w:r>
      <w:r>
        <w:rPr>
          <w:rFonts w:ascii="Arial" w:hAnsi="Arial" w:cs="Arial"/>
        </w:rPr>
        <w:t xml:space="preserve">plume boundary. </w:t>
      </w:r>
      <w:r w:rsidR="00F46F01">
        <w:rPr>
          <w:rFonts w:ascii="Arial" w:hAnsi="Arial" w:cs="Arial"/>
        </w:rPr>
        <w:t>Wells T</w:t>
      </w:r>
      <w:r w:rsidR="009D15D6">
        <w:rPr>
          <w:rFonts w:ascii="Arial" w:hAnsi="Arial" w:cs="Arial"/>
        </w:rPr>
        <w:t>-MS</w:t>
      </w:r>
      <w:r w:rsidR="00F46F01">
        <w:rPr>
          <w:rFonts w:ascii="Arial" w:hAnsi="Arial" w:cs="Arial"/>
        </w:rPr>
        <w:t xml:space="preserve">2 and </w:t>
      </w:r>
      <w:r w:rsidR="00251397">
        <w:rPr>
          <w:rFonts w:ascii="Arial" w:hAnsi="Arial" w:cs="Arial"/>
        </w:rPr>
        <w:t>T</w:t>
      </w:r>
      <w:r w:rsidR="00251397">
        <w:rPr>
          <w:rFonts w:ascii="Arial" w:hAnsi="Arial" w:cs="Arial"/>
        </w:rPr>
        <w:noBreakHyphen/>
        <w:t>MS3</w:t>
      </w:r>
      <w:r>
        <w:rPr>
          <w:rFonts w:ascii="Arial" w:hAnsi="Arial" w:cs="Arial"/>
        </w:rPr>
        <w:t xml:space="preserve"> are both located approximately 700 feet west of the defined </w:t>
      </w:r>
      <w:r w:rsidR="00470C3F">
        <w:rPr>
          <w:rFonts w:ascii="Arial" w:hAnsi="Arial" w:cs="Arial"/>
        </w:rPr>
        <w:t xml:space="preserve">petroleum hydrocarbon </w:t>
      </w:r>
      <w:r>
        <w:rPr>
          <w:rFonts w:ascii="Arial" w:hAnsi="Arial" w:cs="Arial"/>
        </w:rPr>
        <w:t>plume boundary</w:t>
      </w:r>
      <w:r w:rsidR="00F46F01">
        <w:rPr>
          <w:rFonts w:ascii="Arial" w:hAnsi="Arial" w:cs="Arial"/>
        </w:rPr>
        <w:t>; T</w:t>
      </w:r>
      <w:r w:rsidR="009D15D6">
        <w:rPr>
          <w:rFonts w:ascii="Arial" w:hAnsi="Arial" w:cs="Arial"/>
        </w:rPr>
        <w:t>-MS</w:t>
      </w:r>
      <w:r w:rsidR="00F46F01">
        <w:rPr>
          <w:rFonts w:ascii="Arial" w:hAnsi="Arial" w:cs="Arial"/>
        </w:rPr>
        <w:t>2 is inactive and has not been sampled since 1999</w:t>
      </w:r>
      <w:r>
        <w:rPr>
          <w:rFonts w:ascii="Arial" w:hAnsi="Arial" w:cs="Arial"/>
        </w:rPr>
        <w:t xml:space="preserve">.  There </w:t>
      </w:r>
      <w:r w:rsidR="004D2AF1">
        <w:rPr>
          <w:rFonts w:ascii="Arial" w:hAnsi="Arial" w:cs="Arial"/>
        </w:rPr>
        <w:t xml:space="preserve">is one </w:t>
      </w:r>
      <w:r>
        <w:rPr>
          <w:rFonts w:ascii="Arial" w:hAnsi="Arial" w:cs="Arial"/>
        </w:rPr>
        <w:t>onsite monitoring well</w:t>
      </w:r>
      <w:r w:rsidR="004D2AF1">
        <w:rPr>
          <w:rFonts w:ascii="Arial" w:hAnsi="Arial" w:cs="Arial"/>
        </w:rPr>
        <w:t xml:space="preserve"> cluster</w:t>
      </w:r>
      <w:r>
        <w:rPr>
          <w:rFonts w:ascii="Arial" w:hAnsi="Arial" w:cs="Arial"/>
        </w:rPr>
        <w:t xml:space="preserve"> </w:t>
      </w:r>
      <w:r w:rsidR="00CD6114">
        <w:rPr>
          <w:rFonts w:ascii="Arial" w:hAnsi="Arial" w:cs="Arial"/>
        </w:rPr>
        <w:t xml:space="preserve">(MW-6, MW-6M, MW-6D) </w:t>
      </w:r>
      <w:r>
        <w:rPr>
          <w:rFonts w:ascii="Arial" w:hAnsi="Arial" w:cs="Arial"/>
        </w:rPr>
        <w:t>and</w:t>
      </w:r>
      <w:r w:rsidR="004D2AF1">
        <w:rPr>
          <w:rFonts w:ascii="Arial" w:hAnsi="Arial" w:cs="Arial"/>
        </w:rPr>
        <w:t xml:space="preserve"> one </w:t>
      </w:r>
      <w:r>
        <w:rPr>
          <w:rFonts w:ascii="Arial" w:hAnsi="Arial" w:cs="Arial"/>
        </w:rPr>
        <w:t>offsite monitoring well</w:t>
      </w:r>
      <w:r w:rsidR="004D2AF1">
        <w:rPr>
          <w:rFonts w:ascii="Arial" w:hAnsi="Arial" w:cs="Arial"/>
        </w:rPr>
        <w:t xml:space="preserve"> cluster</w:t>
      </w:r>
      <w:r>
        <w:rPr>
          <w:rFonts w:ascii="Arial" w:hAnsi="Arial" w:cs="Arial"/>
        </w:rPr>
        <w:t xml:space="preserve"> </w:t>
      </w:r>
      <w:r w:rsidR="00CD6114">
        <w:rPr>
          <w:rFonts w:ascii="Arial" w:hAnsi="Arial" w:cs="Arial"/>
        </w:rPr>
        <w:t xml:space="preserve">(MW-11M, MW-11D) </w:t>
      </w:r>
      <w:r>
        <w:rPr>
          <w:rFonts w:ascii="Arial" w:hAnsi="Arial" w:cs="Arial"/>
        </w:rPr>
        <w:t xml:space="preserve">located between the </w:t>
      </w:r>
      <w:r w:rsidR="009D15D6">
        <w:rPr>
          <w:rFonts w:ascii="Arial" w:hAnsi="Arial" w:cs="Arial"/>
        </w:rPr>
        <w:t xml:space="preserve">petroleum hydrocarbon </w:t>
      </w:r>
      <w:r>
        <w:rPr>
          <w:rFonts w:ascii="Arial" w:hAnsi="Arial" w:cs="Arial"/>
        </w:rPr>
        <w:t xml:space="preserve">plume boundary and the three </w:t>
      </w:r>
      <w:r w:rsidR="006F4537">
        <w:rPr>
          <w:rFonts w:ascii="Arial" w:hAnsi="Arial" w:cs="Arial"/>
        </w:rPr>
        <w:t>production</w:t>
      </w:r>
      <w:r>
        <w:rPr>
          <w:rFonts w:ascii="Arial" w:hAnsi="Arial" w:cs="Arial"/>
        </w:rPr>
        <w:t xml:space="preserve"> wells.</w:t>
      </w:r>
    </w:p>
    <w:p w14:paraId="15D6F2AC" w14:textId="2DB6F96A" w:rsidR="008554E2" w:rsidRPr="00BA4F33" w:rsidRDefault="008554E2" w:rsidP="008554E2">
      <w:pPr>
        <w:spacing w:before="10" w:after="0" w:line="280" w:lineRule="exact"/>
        <w:rPr>
          <w:rFonts w:ascii="Arial" w:hAnsi="Arial" w:cs="Arial"/>
        </w:rPr>
      </w:pPr>
      <w:r>
        <w:rPr>
          <w:rFonts w:ascii="Arial" w:hAnsi="Arial" w:cs="Arial"/>
        </w:rPr>
        <w:t>In 2017 discussions with Orange County Health Care Agency (OCHCA), the lead regulatory agency for the site, OCHCA stated that they would not object if State Water Board staff recommended closure for the site.  State Water Board staff posted a Notice of Opportunity for Public Comment on August 2, 2018 which requested a response by October 5, 2018.</w:t>
      </w:r>
    </w:p>
    <w:p w14:paraId="2B49B495" w14:textId="77777777" w:rsidR="00BD3167" w:rsidRDefault="00BD3167">
      <w:pPr>
        <w:spacing w:before="10" w:after="0" w:line="280" w:lineRule="exact"/>
        <w:rPr>
          <w:rFonts w:ascii="Arial" w:hAnsi="Arial" w:cs="Arial"/>
        </w:rPr>
      </w:pPr>
    </w:p>
    <w:p w14:paraId="7B9BA5F1" w14:textId="0901F612" w:rsidR="00514895" w:rsidRPr="00514895" w:rsidRDefault="00BD3167">
      <w:pPr>
        <w:spacing w:before="10" w:after="0" w:line="280" w:lineRule="exact"/>
        <w:rPr>
          <w:rFonts w:ascii="Arial" w:hAnsi="Arial" w:cs="Arial"/>
        </w:rPr>
      </w:pPr>
      <w:r>
        <w:rPr>
          <w:rFonts w:ascii="Arial" w:hAnsi="Arial" w:cs="Arial"/>
        </w:rPr>
        <w:t xml:space="preserve">Mr. David Bolin of the Orange County Water District (District) submitted an email response on October 5, 2018.  </w:t>
      </w:r>
      <w:r w:rsidR="00F46F01">
        <w:rPr>
          <w:rFonts w:ascii="Arial" w:hAnsi="Arial" w:cs="Arial"/>
        </w:rPr>
        <w:t>The key comments</w:t>
      </w:r>
      <w:r w:rsidR="00514895" w:rsidRPr="00514895">
        <w:rPr>
          <w:rFonts w:ascii="Arial" w:hAnsi="Arial" w:cs="Arial"/>
        </w:rPr>
        <w:t xml:space="preserve"> from the </w:t>
      </w:r>
      <w:r>
        <w:rPr>
          <w:rFonts w:ascii="Arial" w:hAnsi="Arial" w:cs="Arial"/>
        </w:rPr>
        <w:t>email</w:t>
      </w:r>
      <w:r w:rsidR="00514895" w:rsidRPr="00514895">
        <w:rPr>
          <w:rFonts w:ascii="Arial" w:hAnsi="Arial" w:cs="Arial"/>
        </w:rPr>
        <w:t xml:space="preserve"> dated </w:t>
      </w:r>
      <w:r w:rsidR="00946B79">
        <w:rPr>
          <w:rFonts w:ascii="Arial" w:hAnsi="Arial" w:cs="Arial"/>
        </w:rPr>
        <w:t>October 5, 2018</w:t>
      </w:r>
      <w:r w:rsidR="00F46F01">
        <w:rPr>
          <w:rFonts w:ascii="Arial" w:hAnsi="Arial" w:cs="Arial"/>
        </w:rPr>
        <w:t xml:space="preserve"> are presented below in italics</w:t>
      </w:r>
      <w:r w:rsidR="00514895" w:rsidRPr="00514895">
        <w:rPr>
          <w:rFonts w:ascii="Arial" w:hAnsi="Arial" w:cs="Arial"/>
        </w:rPr>
        <w:t xml:space="preserve">, with a response from State Water Board staff. </w:t>
      </w:r>
    </w:p>
    <w:p w14:paraId="1D39FDE6" w14:textId="77777777" w:rsidR="00005858" w:rsidRDefault="00005858">
      <w:pPr>
        <w:spacing w:before="10" w:after="0" w:line="280" w:lineRule="exact"/>
        <w:rPr>
          <w:sz w:val="28"/>
          <w:szCs w:val="28"/>
        </w:rPr>
      </w:pPr>
    </w:p>
    <w:p w14:paraId="54CE1108" w14:textId="41EBC955" w:rsidR="00C11629" w:rsidRPr="00BA4F33" w:rsidRDefault="00BA4F33">
      <w:pPr>
        <w:spacing w:before="10" w:after="0" w:line="280" w:lineRule="exact"/>
        <w:rPr>
          <w:rFonts w:ascii="Arial" w:eastAsia="Calibri" w:hAnsi="Arial" w:cs="Arial"/>
          <w:i/>
          <w:spacing w:val="1"/>
        </w:rPr>
      </w:pPr>
      <w:r w:rsidRPr="00BA4F33">
        <w:rPr>
          <w:rFonts w:ascii="Arial" w:eastAsia="Calibri" w:hAnsi="Arial" w:cs="Arial"/>
          <w:i/>
          <w:u w:val="single"/>
        </w:rPr>
        <w:t>Comment 1:</w:t>
      </w:r>
      <w:r w:rsidRPr="00BA4F33">
        <w:rPr>
          <w:rFonts w:ascii="Arial" w:eastAsia="Calibri" w:hAnsi="Arial" w:cs="Arial"/>
          <w:i/>
        </w:rPr>
        <w:t xml:space="preserve">  </w:t>
      </w:r>
      <w:r w:rsidR="00C92240">
        <w:rPr>
          <w:rFonts w:ascii="Arial" w:eastAsia="Calibri" w:hAnsi="Arial" w:cs="Arial"/>
          <w:i/>
        </w:rPr>
        <w:t xml:space="preserve">Tustin Auto Wash Site </w:t>
      </w:r>
      <w:r w:rsidR="00090691">
        <w:rPr>
          <w:rFonts w:ascii="Arial" w:eastAsia="Calibri" w:hAnsi="Arial" w:cs="Arial"/>
          <w:i/>
        </w:rPr>
        <w:t>g</w:t>
      </w:r>
      <w:r w:rsidR="00C92240">
        <w:rPr>
          <w:rFonts w:ascii="Arial" w:eastAsia="Calibri" w:hAnsi="Arial" w:cs="Arial"/>
          <w:i/>
        </w:rPr>
        <w:t xml:space="preserve">roundwater </w:t>
      </w:r>
      <w:r w:rsidR="00090691">
        <w:rPr>
          <w:rFonts w:ascii="Arial" w:eastAsia="Calibri" w:hAnsi="Arial" w:cs="Arial"/>
          <w:i/>
        </w:rPr>
        <w:t>c</w:t>
      </w:r>
      <w:r w:rsidR="00C92240">
        <w:rPr>
          <w:rFonts w:ascii="Arial" w:eastAsia="Calibri" w:hAnsi="Arial" w:cs="Arial"/>
          <w:i/>
        </w:rPr>
        <w:t xml:space="preserve">ontamination has not been delineated. </w:t>
      </w:r>
    </w:p>
    <w:p w14:paraId="00704DC1" w14:textId="77777777" w:rsidR="00161C93" w:rsidRDefault="00161C93">
      <w:pPr>
        <w:spacing w:before="10" w:after="0" w:line="280" w:lineRule="exact"/>
        <w:rPr>
          <w:rFonts w:ascii="Calibri" w:eastAsia="Calibri" w:hAnsi="Calibri" w:cs="Calibri"/>
          <w:spacing w:val="1"/>
        </w:rPr>
      </w:pPr>
    </w:p>
    <w:p w14:paraId="08CDEA55" w14:textId="0D97694C" w:rsidR="00F92B60" w:rsidRDefault="00956FA2" w:rsidP="00956FA2">
      <w:pPr>
        <w:spacing w:before="10" w:after="0" w:line="280" w:lineRule="exact"/>
        <w:rPr>
          <w:rFonts w:ascii="Arial" w:eastAsia="Calibri" w:hAnsi="Arial" w:cs="Arial"/>
        </w:rPr>
      </w:pPr>
      <w:r w:rsidRPr="00DB18AA">
        <w:rPr>
          <w:rFonts w:ascii="Arial" w:eastAsia="Calibri" w:hAnsi="Arial" w:cs="Arial"/>
          <w:u w:val="single"/>
        </w:rPr>
        <w:t>Response</w:t>
      </w:r>
      <w:r w:rsidRPr="00DB18AA">
        <w:rPr>
          <w:rFonts w:ascii="Arial" w:eastAsia="Calibri" w:hAnsi="Arial" w:cs="Arial"/>
        </w:rPr>
        <w:t xml:space="preserve">:  </w:t>
      </w:r>
      <w:r>
        <w:rPr>
          <w:rFonts w:ascii="Arial" w:eastAsia="Calibri" w:hAnsi="Arial" w:cs="Arial"/>
        </w:rPr>
        <w:t xml:space="preserve">Since 2001, 19 groundwater monitoring wells (12 onsite and 7 offsite) have been installed and regularly monitored to evaluate the magnitude and extent of the petroleum hydrocarbon plume that resulted from the release from the USTs. </w:t>
      </w:r>
      <w:r w:rsidR="00F92B60">
        <w:rPr>
          <w:rFonts w:ascii="Arial" w:eastAsia="Calibri" w:hAnsi="Arial" w:cs="Arial"/>
        </w:rPr>
        <w:t xml:space="preserve">The petroleum hydrocarbon constituents detected in groundwater at the Site included total petroleum hydrocarbons as gasoline (TPHg), benzene, toluene, ethylbenzene and xylene (BTEX), methyl tertiary butyl ether (MTBE) and tertiary butyl alcohol (TBA). </w:t>
      </w:r>
      <w:r w:rsidR="00824E3C">
        <w:rPr>
          <w:rFonts w:ascii="Arial" w:eastAsia="Calibri" w:hAnsi="Arial" w:cs="Arial"/>
        </w:rPr>
        <w:t xml:space="preserve">The data show that since groundwater monitoring began at the Site in 2001, BTEX concentrations were detected only in one monitoring well, MW-10, in the former UST area, and only until 2008.  Since 2008 (10 years) BTEX concentrations </w:t>
      </w:r>
      <w:r w:rsidR="00824E3C">
        <w:rPr>
          <w:rFonts w:ascii="Arial" w:eastAsia="Calibri" w:hAnsi="Arial" w:cs="Arial"/>
        </w:rPr>
        <w:lastRenderedPageBreak/>
        <w:t xml:space="preserve">have not been detected in MW-10 or any Site wells. Therefore, the </w:t>
      </w:r>
      <w:r w:rsidR="008A2E74">
        <w:rPr>
          <w:rFonts w:ascii="Arial" w:eastAsia="Calibri" w:hAnsi="Arial" w:cs="Arial"/>
        </w:rPr>
        <w:t>following discussion</w:t>
      </w:r>
      <w:r w:rsidR="00824E3C">
        <w:rPr>
          <w:rFonts w:ascii="Arial" w:eastAsia="Calibri" w:hAnsi="Arial" w:cs="Arial"/>
        </w:rPr>
        <w:t xml:space="preserve"> will focus on the remaining contaminants of concern, MTBE and its breakdown product, TBA.   </w:t>
      </w:r>
    </w:p>
    <w:p w14:paraId="0055A911" w14:textId="71439836" w:rsidR="00F92B60" w:rsidRDefault="00F92B60" w:rsidP="00956FA2">
      <w:pPr>
        <w:spacing w:before="10" w:after="0" w:line="280" w:lineRule="exact"/>
        <w:rPr>
          <w:rFonts w:ascii="Arial" w:eastAsia="Calibri" w:hAnsi="Arial" w:cs="Arial"/>
        </w:rPr>
      </w:pPr>
    </w:p>
    <w:p w14:paraId="0508783C" w14:textId="2EEF5A54" w:rsidR="00715E34" w:rsidRDefault="00F92B60" w:rsidP="00956FA2">
      <w:pPr>
        <w:spacing w:before="10" w:after="0" w:line="280" w:lineRule="exact"/>
        <w:rPr>
          <w:rFonts w:ascii="Arial" w:eastAsia="Calibri" w:hAnsi="Arial" w:cs="Arial"/>
        </w:rPr>
      </w:pPr>
      <w:r>
        <w:rPr>
          <w:rFonts w:ascii="Arial" w:eastAsia="Calibri" w:hAnsi="Arial" w:cs="Arial"/>
        </w:rPr>
        <w:t xml:space="preserve">The </w:t>
      </w:r>
      <w:r w:rsidR="00CF4ED6">
        <w:rPr>
          <w:rFonts w:ascii="Arial" w:eastAsia="Calibri" w:hAnsi="Arial" w:cs="Arial"/>
        </w:rPr>
        <w:t>District</w:t>
      </w:r>
      <w:r>
        <w:rPr>
          <w:rFonts w:ascii="Arial" w:eastAsia="Calibri" w:hAnsi="Arial" w:cs="Arial"/>
        </w:rPr>
        <w:t xml:space="preserve"> letter </w:t>
      </w:r>
      <w:r w:rsidR="009D0D87">
        <w:rPr>
          <w:rFonts w:ascii="Arial" w:eastAsia="Calibri" w:hAnsi="Arial" w:cs="Arial"/>
        </w:rPr>
        <w:t xml:space="preserve">referenced </w:t>
      </w:r>
      <w:r w:rsidR="008A2E74">
        <w:rPr>
          <w:rFonts w:ascii="Arial" w:eastAsia="Calibri" w:hAnsi="Arial" w:cs="Arial"/>
        </w:rPr>
        <w:t xml:space="preserve">contaminant </w:t>
      </w:r>
      <w:r w:rsidR="009D0D87">
        <w:rPr>
          <w:rFonts w:ascii="Arial" w:eastAsia="Calibri" w:hAnsi="Arial" w:cs="Arial"/>
        </w:rPr>
        <w:t xml:space="preserve">concentrations from monitoring events conducted between May 2002 and </w:t>
      </w:r>
      <w:r w:rsidR="004E638C">
        <w:rPr>
          <w:rFonts w:ascii="Arial" w:eastAsia="Calibri" w:hAnsi="Arial" w:cs="Arial"/>
        </w:rPr>
        <w:t>December 2009</w:t>
      </w:r>
      <w:r w:rsidR="00715E34">
        <w:rPr>
          <w:rFonts w:ascii="Arial" w:eastAsia="Calibri" w:hAnsi="Arial" w:cs="Arial"/>
        </w:rPr>
        <w:t>, which are not representative of current groundwater conditions,</w:t>
      </w:r>
      <w:r w:rsidR="004E638C">
        <w:rPr>
          <w:rFonts w:ascii="Arial" w:eastAsia="Calibri" w:hAnsi="Arial" w:cs="Arial"/>
        </w:rPr>
        <w:t xml:space="preserve"> and expressed concern about </w:t>
      </w:r>
      <w:r w:rsidR="008A2E74">
        <w:rPr>
          <w:rFonts w:ascii="Arial" w:eastAsia="Calibri" w:hAnsi="Arial" w:cs="Arial"/>
        </w:rPr>
        <w:t xml:space="preserve">the potential for </w:t>
      </w:r>
      <w:r w:rsidR="004E638C">
        <w:rPr>
          <w:rFonts w:ascii="Arial" w:eastAsia="Calibri" w:hAnsi="Arial" w:cs="Arial"/>
        </w:rPr>
        <w:t>a diving contaminant plume</w:t>
      </w:r>
      <w:r w:rsidR="009D0D87">
        <w:rPr>
          <w:rFonts w:ascii="Arial" w:eastAsia="Calibri" w:hAnsi="Arial" w:cs="Arial"/>
        </w:rPr>
        <w:t xml:space="preserve">.  </w:t>
      </w:r>
      <w:r w:rsidR="004E638C">
        <w:rPr>
          <w:rFonts w:ascii="Arial" w:eastAsia="Calibri" w:hAnsi="Arial" w:cs="Arial"/>
        </w:rPr>
        <w:t xml:space="preserve">An on-going release of petroleum hydrocarbons or an unmitigated source (no remediation) could </w:t>
      </w:r>
      <w:r w:rsidR="001E2B6B">
        <w:rPr>
          <w:rFonts w:ascii="Arial" w:eastAsia="Calibri" w:hAnsi="Arial" w:cs="Arial"/>
        </w:rPr>
        <w:t>potentially develop</w:t>
      </w:r>
      <w:r w:rsidR="004E638C">
        <w:rPr>
          <w:rFonts w:ascii="Arial" w:eastAsia="Calibri" w:hAnsi="Arial" w:cs="Arial"/>
        </w:rPr>
        <w:t xml:space="preserve"> a </w:t>
      </w:r>
      <w:r w:rsidR="001E2B6B">
        <w:rPr>
          <w:rFonts w:ascii="Arial" w:eastAsia="Calibri" w:hAnsi="Arial" w:cs="Arial"/>
        </w:rPr>
        <w:t xml:space="preserve">sustained contaminant </w:t>
      </w:r>
      <w:r w:rsidR="004E638C">
        <w:rPr>
          <w:rFonts w:ascii="Arial" w:eastAsia="Calibri" w:hAnsi="Arial" w:cs="Arial"/>
        </w:rPr>
        <w:t>plume that could dive</w:t>
      </w:r>
      <w:r w:rsidR="008A2E74">
        <w:rPr>
          <w:rFonts w:ascii="Arial" w:eastAsia="Calibri" w:hAnsi="Arial" w:cs="Arial"/>
        </w:rPr>
        <w:t>, but those conditions are not present at the site</w:t>
      </w:r>
      <w:r w:rsidR="004E638C">
        <w:rPr>
          <w:rFonts w:ascii="Arial" w:eastAsia="Calibri" w:hAnsi="Arial" w:cs="Arial"/>
        </w:rPr>
        <w:t xml:space="preserve">.  </w:t>
      </w:r>
      <w:r w:rsidR="008A2E74">
        <w:rPr>
          <w:rFonts w:ascii="Arial" w:eastAsia="Calibri" w:hAnsi="Arial" w:cs="Arial"/>
        </w:rPr>
        <w:t>T</w:t>
      </w:r>
      <w:r w:rsidR="004E638C">
        <w:rPr>
          <w:rFonts w:ascii="Arial" w:eastAsia="Calibri" w:hAnsi="Arial" w:cs="Arial"/>
        </w:rPr>
        <w:t xml:space="preserve">he USTs that were the source of the release were removed in 1999.  </w:t>
      </w:r>
      <w:r w:rsidR="009D0D87">
        <w:rPr>
          <w:rFonts w:ascii="Arial" w:eastAsia="Calibri" w:hAnsi="Arial" w:cs="Arial"/>
        </w:rPr>
        <w:t xml:space="preserve">Remedial activities including DPE and SVE were conducted between June 2007 and September 2009.  Additional remediation was performed in 2012 to 2013, and in 2015 to 2016.  </w:t>
      </w:r>
      <w:r w:rsidR="00715E34">
        <w:rPr>
          <w:rFonts w:ascii="Arial" w:eastAsia="Calibri" w:hAnsi="Arial" w:cs="Arial"/>
        </w:rPr>
        <w:t xml:space="preserve">There is neither an on-going release nor an unmitigated source at the Site, so the conditions to sustain a </w:t>
      </w:r>
      <w:r w:rsidR="00A205F9">
        <w:rPr>
          <w:rFonts w:ascii="Arial" w:eastAsia="Calibri" w:hAnsi="Arial" w:cs="Arial"/>
        </w:rPr>
        <w:t xml:space="preserve">potential </w:t>
      </w:r>
      <w:r w:rsidR="00715E34">
        <w:rPr>
          <w:rFonts w:ascii="Arial" w:eastAsia="Calibri" w:hAnsi="Arial" w:cs="Arial"/>
        </w:rPr>
        <w:t>diving plume are not present.</w:t>
      </w:r>
    </w:p>
    <w:p w14:paraId="67E703CE" w14:textId="77777777" w:rsidR="00715E34" w:rsidRDefault="00715E34" w:rsidP="00956FA2">
      <w:pPr>
        <w:spacing w:before="10" w:after="0" w:line="280" w:lineRule="exact"/>
        <w:rPr>
          <w:rFonts w:ascii="Arial" w:eastAsia="Calibri" w:hAnsi="Arial" w:cs="Arial"/>
        </w:rPr>
      </w:pPr>
    </w:p>
    <w:p w14:paraId="6FF28DD1" w14:textId="00341A4E" w:rsidR="00956FA2" w:rsidRDefault="00F82D41" w:rsidP="00CF4ED6">
      <w:pPr>
        <w:spacing w:before="10" w:after="0" w:line="280" w:lineRule="exact"/>
        <w:rPr>
          <w:rFonts w:ascii="Arial" w:eastAsia="Calibri" w:hAnsi="Arial" w:cs="Arial"/>
        </w:rPr>
      </w:pPr>
      <w:r>
        <w:rPr>
          <w:rFonts w:ascii="Arial" w:eastAsia="Calibri" w:hAnsi="Arial" w:cs="Arial"/>
        </w:rPr>
        <w:t>Since 2008</w:t>
      </w:r>
      <w:r w:rsidR="008A2E74">
        <w:rPr>
          <w:rFonts w:ascii="Arial" w:eastAsia="Calibri" w:hAnsi="Arial" w:cs="Arial"/>
        </w:rPr>
        <w:t>,</w:t>
      </w:r>
      <w:r w:rsidR="006D457A">
        <w:rPr>
          <w:rFonts w:ascii="Arial" w:eastAsia="Calibri" w:hAnsi="Arial" w:cs="Arial"/>
        </w:rPr>
        <w:t xml:space="preserve"> </w:t>
      </w:r>
      <w:r>
        <w:rPr>
          <w:rFonts w:ascii="Arial" w:eastAsia="Calibri" w:hAnsi="Arial" w:cs="Arial"/>
        </w:rPr>
        <w:t xml:space="preserve">detectable </w:t>
      </w:r>
      <w:r w:rsidR="00A61D4B">
        <w:rPr>
          <w:rFonts w:ascii="Arial" w:eastAsia="Calibri" w:hAnsi="Arial" w:cs="Arial"/>
        </w:rPr>
        <w:t xml:space="preserve">concentrations of </w:t>
      </w:r>
      <w:r w:rsidR="00956FA2">
        <w:rPr>
          <w:rFonts w:ascii="Arial" w:eastAsia="Calibri" w:hAnsi="Arial" w:cs="Arial"/>
        </w:rPr>
        <w:t>MTBE and TBA</w:t>
      </w:r>
      <w:r w:rsidR="00A61D4B">
        <w:rPr>
          <w:rFonts w:ascii="Arial" w:eastAsia="Calibri" w:hAnsi="Arial" w:cs="Arial"/>
        </w:rPr>
        <w:t xml:space="preserve"> </w:t>
      </w:r>
      <w:r w:rsidR="00956FA2">
        <w:rPr>
          <w:rFonts w:ascii="Arial" w:eastAsia="Calibri" w:hAnsi="Arial" w:cs="Arial"/>
        </w:rPr>
        <w:t>have been limited to the onsite wells in the former UST area (MW-2, MW-3 and MW-10).</w:t>
      </w:r>
      <w:r w:rsidR="003C6A9D">
        <w:rPr>
          <w:rFonts w:ascii="Arial" w:eastAsia="Calibri" w:hAnsi="Arial" w:cs="Arial"/>
        </w:rPr>
        <w:t xml:space="preserve"> In these three wells the MTBE concentrations have decreased and the TBA concentrations initially increased and </w:t>
      </w:r>
      <w:r w:rsidR="00B84E48">
        <w:rPr>
          <w:rFonts w:ascii="Arial" w:eastAsia="Calibri" w:hAnsi="Arial" w:cs="Arial"/>
        </w:rPr>
        <w:t>then</w:t>
      </w:r>
      <w:r w:rsidR="003C6A9D">
        <w:rPr>
          <w:rFonts w:ascii="Arial" w:eastAsia="Calibri" w:hAnsi="Arial" w:cs="Arial"/>
        </w:rPr>
        <w:t xml:space="preserve"> decreased.  These trends indicate that remediation was effective in reducing the MTBE</w:t>
      </w:r>
      <w:r w:rsidR="008A2E74">
        <w:rPr>
          <w:rFonts w:ascii="Arial" w:eastAsia="Calibri" w:hAnsi="Arial" w:cs="Arial"/>
        </w:rPr>
        <w:t xml:space="preserve"> and TBA</w:t>
      </w:r>
      <w:r w:rsidR="00B84E48">
        <w:rPr>
          <w:rFonts w:ascii="Arial" w:eastAsia="Calibri" w:hAnsi="Arial" w:cs="Arial"/>
        </w:rPr>
        <w:t xml:space="preserve"> concentrations</w:t>
      </w:r>
      <w:r w:rsidR="008A2E74">
        <w:rPr>
          <w:rFonts w:ascii="Arial" w:eastAsia="Calibri" w:hAnsi="Arial" w:cs="Arial"/>
        </w:rPr>
        <w:t>. The trends also indicate that</w:t>
      </w:r>
      <w:r w:rsidR="003C6A9D">
        <w:rPr>
          <w:rFonts w:ascii="Arial" w:eastAsia="Calibri" w:hAnsi="Arial" w:cs="Arial"/>
        </w:rPr>
        <w:t xml:space="preserve"> break</w:t>
      </w:r>
      <w:r w:rsidR="008A2E74">
        <w:rPr>
          <w:rFonts w:ascii="Arial" w:eastAsia="Calibri" w:hAnsi="Arial" w:cs="Arial"/>
        </w:rPr>
        <w:t xml:space="preserve">down of </w:t>
      </w:r>
      <w:r w:rsidR="003C6A9D">
        <w:rPr>
          <w:rFonts w:ascii="Arial" w:eastAsia="Calibri" w:hAnsi="Arial" w:cs="Arial"/>
        </w:rPr>
        <w:t xml:space="preserve">MTBE </w:t>
      </w:r>
      <w:r w:rsidR="008A2E74">
        <w:rPr>
          <w:rFonts w:ascii="Arial" w:eastAsia="Calibri" w:hAnsi="Arial" w:cs="Arial"/>
        </w:rPr>
        <w:t xml:space="preserve">to TBA has occurred in groundwater beneath the site.  </w:t>
      </w:r>
      <w:r w:rsidR="00AD07D9">
        <w:rPr>
          <w:rFonts w:ascii="Arial" w:eastAsia="Calibri" w:hAnsi="Arial" w:cs="Arial"/>
        </w:rPr>
        <w:t>Onsite well</w:t>
      </w:r>
      <w:r w:rsidR="004D2AF1">
        <w:rPr>
          <w:rFonts w:ascii="Arial" w:eastAsia="Calibri" w:hAnsi="Arial" w:cs="Arial"/>
        </w:rPr>
        <w:t xml:space="preserve"> cluster</w:t>
      </w:r>
      <w:r w:rsidR="00AD07D9">
        <w:rPr>
          <w:rFonts w:ascii="Arial" w:eastAsia="Calibri" w:hAnsi="Arial" w:cs="Arial"/>
        </w:rPr>
        <w:t xml:space="preserve">s MW-5, MW-5M and MW-5D and MW-6, MW-6M and MW-6D indicated relatively minor concentrations of MTBE and TBA prior to remediation, and </w:t>
      </w:r>
      <w:proofErr w:type="spellStart"/>
      <w:r w:rsidR="00AD07D9">
        <w:rPr>
          <w:rFonts w:ascii="Arial" w:eastAsia="Calibri" w:hAnsi="Arial" w:cs="Arial"/>
        </w:rPr>
        <w:t>no</w:t>
      </w:r>
      <w:r w:rsidR="00224400">
        <w:rPr>
          <w:rFonts w:ascii="Arial" w:eastAsia="Calibri" w:hAnsi="Arial" w:cs="Arial"/>
        </w:rPr>
        <w:t>ndetect</w:t>
      </w:r>
      <w:proofErr w:type="spellEnd"/>
      <w:r w:rsidR="00AD07D9">
        <w:rPr>
          <w:rFonts w:ascii="Arial" w:eastAsia="Calibri" w:hAnsi="Arial" w:cs="Arial"/>
        </w:rPr>
        <w:t xml:space="preserve"> MTBE </w:t>
      </w:r>
      <w:r w:rsidR="00224400">
        <w:rPr>
          <w:rFonts w:ascii="Arial" w:eastAsia="Calibri" w:hAnsi="Arial" w:cs="Arial"/>
        </w:rPr>
        <w:t>and</w:t>
      </w:r>
      <w:r w:rsidR="00AD07D9">
        <w:rPr>
          <w:rFonts w:ascii="Arial" w:eastAsia="Calibri" w:hAnsi="Arial" w:cs="Arial"/>
        </w:rPr>
        <w:t xml:space="preserve"> TBA </w:t>
      </w:r>
      <w:r w:rsidR="00224400">
        <w:rPr>
          <w:rFonts w:ascii="Arial" w:eastAsia="Calibri" w:hAnsi="Arial" w:cs="Arial"/>
        </w:rPr>
        <w:t xml:space="preserve">concentrations </w:t>
      </w:r>
      <w:r w:rsidR="00AD07D9">
        <w:rPr>
          <w:rFonts w:ascii="Arial" w:eastAsia="Calibri" w:hAnsi="Arial" w:cs="Arial"/>
        </w:rPr>
        <w:t xml:space="preserve">since 2009.  The data from these two well clusters demonstrate that the lateral extent of the plume onsite was reduced as a result of </w:t>
      </w:r>
      <w:r w:rsidR="00900397">
        <w:rPr>
          <w:rFonts w:ascii="Arial" w:eastAsia="Calibri" w:hAnsi="Arial" w:cs="Arial"/>
        </w:rPr>
        <w:t>r</w:t>
      </w:r>
      <w:r w:rsidR="00AD07D9">
        <w:rPr>
          <w:rFonts w:ascii="Arial" w:eastAsia="Calibri" w:hAnsi="Arial" w:cs="Arial"/>
        </w:rPr>
        <w:t>emediation.</w:t>
      </w:r>
      <w:r w:rsidR="00900397">
        <w:rPr>
          <w:rFonts w:ascii="Arial" w:eastAsia="Calibri" w:hAnsi="Arial" w:cs="Arial"/>
        </w:rPr>
        <w:t xml:space="preserve">  </w:t>
      </w:r>
      <w:r w:rsidR="00956FA2">
        <w:rPr>
          <w:rFonts w:ascii="Arial" w:eastAsia="Calibri" w:hAnsi="Arial" w:cs="Arial"/>
        </w:rPr>
        <w:t xml:space="preserve">Offsite wells MW-7, MW-8 and MW-9 have indicated no detectable </w:t>
      </w:r>
      <w:r w:rsidR="00824E3C">
        <w:rPr>
          <w:rFonts w:ascii="Arial" w:eastAsia="Calibri" w:hAnsi="Arial" w:cs="Arial"/>
        </w:rPr>
        <w:t>MTBE or TBA</w:t>
      </w:r>
      <w:r w:rsidR="00956FA2">
        <w:rPr>
          <w:rFonts w:ascii="Arial" w:eastAsia="Calibri" w:hAnsi="Arial" w:cs="Arial"/>
        </w:rPr>
        <w:t xml:space="preserve"> since their installation in 2002, and offsite well</w:t>
      </w:r>
      <w:r w:rsidR="00CB1E13">
        <w:rPr>
          <w:rFonts w:ascii="Arial" w:eastAsia="Calibri" w:hAnsi="Arial" w:cs="Arial"/>
        </w:rPr>
        <w:t xml:space="preserve"> cluster</w:t>
      </w:r>
      <w:r w:rsidR="00D922AA">
        <w:rPr>
          <w:rFonts w:ascii="Arial" w:eastAsia="Calibri" w:hAnsi="Arial" w:cs="Arial"/>
        </w:rPr>
        <w:t>s</w:t>
      </w:r>
      <w:r w:rsidR="00CB1E13">
        <w:rPr>
          <w:rFonts w:ascii="Arial" w:eastAsia="Calibri" w:hAnsi="Arial" w:cs="Arial"/>
        </w:rPr>
        <w:t xml:space="preserve"> </w:t>
      </w:r>
      <w:r w:rsidR="00956FA2">
        <w:rPr>
          <w:rFonts w:ascii="Arial" w:eastAsia="Calibri" w:hAnsi="Arial" w:cs="Arial"/>
        </w:rPr>
        <w:t xml:space="preserve">MW-8M, MW-8D, </w:t>
      </w:r>
      <w:r w:rsidR="00CB1E13">
        <w:rPr>
          <w:rFonts w:ascii="Arial" w:eastAsia="Calibri" w:hAnsi="Arial" w:cs="Arial"/>
        </w:rPr>
        <w:t xml:space="preserve">and </w:t>
      </w:r>
      <w:r w:rsidR="00956FA2">
        <w:rPr>
          <w:rFonts w:ascii="Arial" w:eastAsia="Calibri" w:hAnsi="Arial" w:cs="Arial"/>
        </w:rPr>
        <w:t>MW-11M</w:t>
      </w:r>
      <w:r w:rsidR="00D922AA">
        <w:rPr>
          <w:rFonts w:ascii="Arial" w:eastAsia="Calibri" w:hAnsi="Arial" w:cs="Arial"/>
        </w:rPr>
        <w:t>,</w:t>
      </w:r>
      <w:r w:rsidR="00956FA2">
        <w:rPr>
          <w:rFonts w:ascii="Arial" w:eastAsia="Calibri" w:hAnsi="Arial" w:cs="Arial"/>
        </w:rPr>
        <w:t xml:space="preserve"> MW-11D have indicated no detectable </w:t>
      </w:r>
      <w:r w:rsidR="00824E3C">
        <w:rPr>
          <w:rFonts w:ascii="Arial" w:eastAsia="Calibri" w:hAnsi="Arial" w:cs="Arial"/>
        </w:rPr>
        <w:t>MTBE or TBA</w:t>
      </w:r>
      <w:r w:rsidR="00956FA2">
        <w:rPr>
          <w:rFonts w:ascii="Arial" w:eastAsia="Calibri" w:hAnsi="Arial" w:cs="Arial"/>
        </w:rPr>
        <w:t xml:space="preserve"> since their installation in 2015. </w:t>
      </w:r>
      <w:r w:rsidR="00900397">
        <w:rPr>
          <w:rFonts w:ascii="Arial" w:eastAsia="Calibri" w:hAnsi="Arial" w:cs="Arial"/>
        </w:rPr>
        <w:t xml:space="preserve"> The data from these offsite wells demonstrate </w:t>
      </w:r>
      <w:r w:rsidR="004D2AF1">
        <w:rPr>
          <w:rFonts w:ascii="Arial" w:eastAsia="Calibri" w:hAnsi="Arial" w:cs="Arial"/>
        </w:rPr>
        <w:t xml:space="preserve">that </w:t>
      </w:r>
      <w:bookmarkStart w:id="0" w:name="_Hlk533169521"/>
      <w:r w:rsidR="004D2AF1">
        <w:rPr>
          <w:rFonts w:ascii="Arial" w:eastAsia="Calibri" w:hAnsi="Arial" w:cs="Arial"/>
        </w:rPr>
        <w:t xml:space="preserve">either the petroleum hydrocarbon release was not large enough to cause offsite migration of </w:t>
      </w:r>
      <w:r w:rsidR="00EF7F0C">
        <w:rPr>
          <w:rFonts w:ascii="Arial" w:eastAsia="Calibri" w:hAnsi="Arial" w:cs="Arial"/>
        </w:rPr>
        <w:t>MTBE and TBA</w:t>
      </w:r>
      <w:r w:rsidR="004D2AF1">
        <w:rPr>
          <w:rFonts w:ascii="Arial" w:eastAsia="Calibri" w:hAnsi="Arial" w:cs="Arial"/>
        </w:rPr>
        <w:t xml:space="preserve"> or</w:t>
      </w:r>
      <w:r w:rsidR="00900397">
        <w:rPr>
          <w:rFonts w:ascii="Arial" w:eastAsia="Calibri" w:hAnsi="Arial" w:cs="Arial"/>
        </w:rPr>
        <w:t xml:space="preserve"> the remediation was effective in preventing offsite migration of MTBE and TBA</w:t>
      </w:r>
      <w:r w:rsidR="00224400">
        <w:rPr>
          <w:rFonts w:ascii="Arial" w:eastAsia="Calibri" w:hAnsi="Arial" w:cs="Arial"/>
        </w:rPr>
        <w:t xml:space="preserve"> concentrations</w:t>
      </w:r>
      <w:r w:rsidR="00900397">
        <w:rPr>
          <w:rFonts w:ascii="Arial" w:eastAsia="Calibri" w:hAnsi="Arial" w:cs="Arial"/>
        </w:rPr>
        <w:t>.</w:t>
      </w:r>
      <w:bookmarkEnd w:id="0"/>
      <w:r w:rsidR="00900397">
        <w:rPr>
          <w:rFonts w:ascii="Arial" w:eastAsia="Calibri" w:hAnsi="Arial" w:cs="Arial"/>
        </w:rPr>
        <w:t xml:space="preserve">  In addition, t</w:t>
      </w:r>
      <w:r w:rsidR="00956FA2">
        <w:rPr>
          <w:rFonts w:ascii="Arial" w:eastAsia="Calibri" w:hAnsi="Arial" w:cs="Arial"/>
        </w:rPr>
        <w:t xml:space="preserve">he data demonstrate that the lateral extent of the plume has been delineated to nondetectable </w:t>
      </w:r>
      <w:r w:rsidR="004E0548">
        <w:rPr>
          <w:rFonts w:ascii="Arial" w:eastAsia="Calibri" w:hAnsi="Arial" w:cs="Arial"/>
        </w:rPr>
        <w:t xml:space="preserve">levels and verified by years of </w:t>
      </w:r>
      <w:proofErr w:type="spellStart"/>
      <w:r w:rsidR="00D922AA">
        <w:rPr>
          <w:rFonts w:ascii="Arial" w:eastAsia="Calibri" w:hAnsi="Arial" w:cs="Arial"/>
        </w:rPr>
        <w:t>nondetect</w:t>
      </w:r>
      <w:proofErr w:type="spellEnd"/>
      <w:r w:rsidR="00D922AA">
        <w:rPr>
          <w:rFonts w:ascii="Arial" w:eastAsia="Calibri" w:hAnsi="Arial" w:cs="Arial"/>
        </w:rPr>
        <w:t xml:space="preserve"> </w:t>
      </w:r>
      <w:r w:rsidR="004E0548">
        <w:rPr>
          <w:rFonts w:ascii="Arial" w:eastAsia="Calibri" w:hAnsi="Arial" w:cs="Arial"/>
        </w:rPr>
        <w:t>sampling results</w:t>
      </w:r>
      <w:r w:rsidR="00900397">
        <w:rPr>
          <w:rFonts w:ascii="Arial" w:eastAsia="Calibri" w:hAnsi="Arial" w:cs="Arial"/>
        </w:rPr>
        <w:t xml:space="preserve">.  </w:t>
      </w:r>
    </w:p>
    <w:p w14:paraId="3DBF624C" w14:textId="722AE3BC" w:rsidR="00987ED1" w:rsidRDefault="00987ED1" w:rsidP="00956FA2">
      <w:pPr>
        <w:spacing w:before="10" w:after="0" w:line="280" w:lineRule="exact"/>
        <w:rPr>
          <w:rFonts w:ascii="Arial" w:eastAsia="Calibri" w:hAnsi="Arial" w:cs="Arial"/>
        </w:rPr>
      </w:pPr>
    </w:p>
    <w:p w14:paraId="1E6B6C11" w14:textId="1C1A5638" w:rsidR="00571482" w:rsidRDefault="00E5167D" w:rsidP="00CF4ED6">
      <w:pPr>
        <w:spacing w:before="10" w:after="0" w:line="280" w:lineRule="exact"/>
        <w:rPr>
          <w:rFonts w:ascii="Arial" w:eastAsia="Calibri" w:hAnsi="Arial" w:cs="Arial"/>
        </w:rPr>
      </w:pPr>
      <w:r>
        <w:rPr>
          <w:rFonts w:ascii="Arial" w:eastAsia="Calibri" w:hAnsi="Arial" w:cs="Arial"/>
        </w:rPr>
        <w:t xml:space="preserve">The data also demonstrate that the vertical extent of the plume has been delineated. </w:t>
      </w:r>
      <w:r w:rsidR="00571482">
        <w:rPr>
          <w:rFonts w:ascii="Arial" w:eastAsia="Calibri" w:hAnsi="Arial" w:cs="Arial"/>
        </w:rPr>
        <w:t xml:space="preserve">Onsite </w:t>
      </w:r>
      <w:r w:rsidR="004E0548">
        <w:rPr>
          <w:rFonts w:ascii="Arial" w:eastAsia="Calibri" w:hAnsi="Arial" w:cs="Arial"/>
        </w:rPr>
        <w:t xml:space="preserve">well clusters MW-5, MW-5M and MW-5D and MW-6, MW-6M and MW-6D, </w:t>
      </w:r>
      <w:r w:rsidR="00571482">
        <w:rPr>
          <w:rFonts w:ascii="Arial" w:eastAsia="Calibri" w:hAnsi="Arial" w:cs="Arial"/>
        </w:rPr>
        <w:t>and offsite well</w:t>
      </w:r>
      <w:r w:rsidR="004E0548">
        <w:rPr>
          <w:rFonts w:ascii="Arial" w:eastAsia="Calibri" w:hAnsi="Arial" w:cs="Arial"/>
        </w:rPr>
        <w:t xml:space="preserve"> cluster</w:t>
      </w:r>
      <w:r w:rsidR="007113E0">
        <w:rPr>
          <w:rFonts w:ascii="Arial" w:eastAsia="Calibri" w:hAnsi="Arial" w:cs="Arial"/>
        </w:rPr>
        <w:t>s</w:t>
      </w:r>
      <w:r w:rsidR="00571482">
        <w:rPr>
          <w:rFonts w:ascii="Arial" w:eastAsia="Calibri" w:hAnsi="Arial" w:cs="Arial"/>
        </w:rPr>
        <w:t xml:space="preserve"> </w:t>
      </w:r>
      <w:r w:rsidR="007113E0">
        <w:rPr>
          <w:rFonts w:ascii="Arial" w:eastAsia="Calibri" w:hAnsi="Arial" w:cs="Arial"/>
        </w:rPr>
        <w:t xml:space="preserve">MW-8M, MW-8D and </w:t>
      </w:r>
      <w:r w:rsidR="004E0548">
        <w:rPr>
          <w:rFonts w:ascii="Arial" w:eastAsia="Calibri" w:hAnsi="Arial" w:cs="Arial"/>
        </w:rPr>
        <w:t xml:space="preserve">MW-11M and MW-11D </w:t>
      </w:r>
      <w:r w:rsidR="00571482">
        <w:rPr>
          <w:rFonts w:ascii="Arial" w:eastAsia="Calibri" w:hAnsi="Arial" w:cs="Arial"/>
        </w:rPr>
        <w:t xml:space="preserve">were screened in three general depth intervals: 45 to </w:t>
      </w:r>
      <w:r w:rsidR="00CB1E13">
        <w:rPr>
          <w:rFonts w:ascii="Arial" w:eastAsia="Calibri" w:hAnsi="Arial" w:cs="Arial"/>
        </w:rPr>
        <w:t>80</w:t>
      </w:r>
      <w:r w:rsidR="00571482">
        <w:rPr>
          <w:rFonts w:ascii="Arial" w:eastAsia="Calibri" w:hAnsi="Arial" w:cs="Arial"/>
        </w:rPr>
        <w:t xml:space="preserve"> feet below ground surface (bgs), </w:t>
      </w:r>
      <w:bookmarkStart w:id="1" w:name="_Hlk527365791"/>
      <w:r w:rsidR="00571482">
        <w:rPr>
          <w:rFonts w:ascii="Arial" w:eastAsia="Calibri" w:hAnsi="Arial" w:cs="Arial"/>
        </w:rPr>
        <w:t>95 to 98 feet bgs, and 115 to 118 feet bgs</w:t>
      </w:r>
      <w:bookmarkEnd w:id="1"/>
      <w:r w:rsidR="00571482">
        <w:rPr>
          <w:rFonts w:ascii="Arial" w:eastAsia="Calibri" w:hAnsi="Arial" w:cs="Arial"/>
        </w:rPr>
        <w:t>.</w:t>
      </w:r>
      <w:r w:rsidR="00BD4462">
        <w:rPr>
          <w:rFonts w:ascii="Arial" w:eastAsia="Calibri" w:hAnsi="Arial" w:cs="Arial"/>
        </w:rPr>
        <w:t xml:space="preserve">  </w:t>
      </w:r>
      <w:r w:rsidR="00BA34DF">
        <w:rPr>
          <w:rFonts w:ascii="Arial" w:eastAsia="Calibri" w:hAnsi="Arial" w:cs="Arial"/>
        </w:rPr>
        <w:t>The deep</w:t>
      </w:r>
      <w:r w:rsidR="00D922AA">
        <w:rPr>
          <w:rFonts w:ascii="Arial" w:eastAsia="Calibri" w:hAnsi="Arial" w:cs="Arial"/>
        </w:rPr>
        <w:t>-zone</w:t>
      </w:r>
      <w:r w:rsidR="00BA34DF">
        <w:rPr>
          <w:rFonts w:ascii="Arial" w:eastAsia="Calibri" w:hAnsi="Arial" w:cs="Arial"/>
        </w:rPr>
        <w:t xml:space="preserve"> </w:t>
      </w:r>
      <w:r w:rsidR="00CB1E13">
        <w:rPr>
          <w:rFonts w:ascii="Arial" w:eastAsia="Calibri" w:hAnsi="Arial" w:cs="Arial"/>
        </w:rPr>
        <w:t xml:space="preserve">onsite </w:t>
      </w:r>
      <w:r w:rsidR="00BA34DF">
        <w:rPr>
          <w:rFonts w:ascii="Arial" w:eastAsia="Calibri" w:hAnsi="Arial" w:cs="Arial"/>
        </w:rPr>
        <w:t>wells, screened from 115 to 118 feet bgs</w:t>
      </w:r>
      <w:r w:rsidR="00CB1E13">
        <w:rPr>
          <w:rFonts w:ascii="Arial" w:eastAsia="Calibri" w:hAnsi="Arial" w:cs="Arial"/>
        </w:rPr>
        <w:t xml:space="preserve"> (MW-5D and MW-6D)</w:t>
      </w:r>
      <w:r w:rsidR="00BA34DF">
        <w:rPr>
          <w:rFonts w:ascii="Arial" w:eastAsia="Calibri" w:hAnsi="Arial" w:cs="Arial"/>
        </w:rPr>
        <w:t xml:space="preserve">, have indicated </w:t>
      </w:r>
      <w:proofErr w:type="spellStart"/>
      <w:r w:rsidR="00BA34DF">
        <w:rPr>
          <w:rFonts w:ascii="Arial" w:eastAsia="Calibri" w:hAnsi="Arial" w:cs="Arial"/>
        </w:rPr>
        <w:t>no</w:t>
      </w:r>
      <w:r w:rsidR="00224400">
        <w:rPr>
          <w:rFonts w:ascii="Arial" w:eastAsia="Calibri" w:hAnsi="Arial" w:cs="Arial"/>
        </w:rPr>
        <w:t>n</w:t>
      </w:r>
      <w:r w:rsidR="00BA34DF">
        <w:rPr>
          <w:rFonts w:ascii="Arial" w:eastAsia="Calibri" w:hAnsi="Arial" w:cs="Arial"/>
        </w:rPr>
        <w:t>detect</w:t>
      </w:r>
      <w:proofErr w:type="spellEnd"/>
      <w:r w:rsidR="00BA34DF">
        <w:rPr>
          <w:rFonts w:ascii="Arial" w:eastAsia="Calibri" w:hAnsi="Arial" w:cs="Arial"/>
        </w:rPr>
        <w:t xml:space="preserve"> MTBE </w:t>
      </w:r>
      <w:r w:rsidR="00224400">
        <w:rPr>
          <w:rFonts w:ascii="Arial" w:eastAsia="Calibri" w:hAnsi="Arial" w:cs="Arial"/>
        </w:rPr>
        <w:t>and</w:t>
      </w:r>
      <w:r w:rsidR="00BA34DF">
        <w:rPr>
          <w:rFonts w:ascii="Arial" w:eastAsia="Calibri" w:hAnsi="Arial" w:cs="Arial"/>
        </w:rPr>
        <w:t xml:space="preserve"> TBA</w:t>
      </w:r>
      <w:r w:rsidR="00224400">
        <w:rPr>
          <w:rFonts w:ascii="Arial" w:eastAsia="Calibri" w:hAnsi="Arial" w:cs="Arial"/>
        </w:rPr>
        <w:t xml:space="preserve"> concentrations</w:t>
      </w:r>
      <w:r w:rsidR="00BA34DF">
        <w:rPr>
          <w:rFonts w:ascii="Arial" w:eastAsia="Calibri" w:hAnsi="Arial" w:cs="Arial"/>
        </w:rPr>
        <w:t xml:space="preserve"> since 2009</w:t>
      </w:r>
      <w:r w:rsidR="00CB1E13">
        <w:rPr>
          <w:rFonts w:ascii="Arial" w:eastAsia="Calibri" w:hAnsi="Arial" w:cs="Arial"/>
        </w:rPr>
        <w:t>.</w:t>
      </w:r>
      <w:r w:rsidR="00BA34DF">
        <w:rPr>
          <w:rFonts w:ascii="Arial" w:eastAsia="Calibri" w:hAnsi="Arial" w:cs="Arial"/>
        </w:rPr>
        <w:t xml:space="preserve">  The mid-zone </w:t>
      </w:r>
      <w:r w:rsidR="00CB1E13">
        <w:rPr>
          <w:rFonts w:ascii="Arial" w:eastAsia="Calibri" w:hAnsi="Arial" w:cs="Arial"/>
        </w:rPr>
        <w:t xml:space="preserve">onsite </w:t>
      </w:r>
      <w:r w:rsidR="00BA34DF">
        <w:rPr>
          <w:rFonts w:ascii="Arial" w:eastAsia="Calibri" w:hAnsi="Arial" w:cs="Arial"/>
        </w:rPr>
        <w:t>wells screened from 95 to 98 feet bgs</w:t>
      </w:r>
      <w:r w:rsidR="00CB1E13">
        <w:rPr>
          <w:rFonts w:ascii="Arial" w:eastAsia="Calibri" w:hAnsi="Arial" w:cs="Arial"/>
        </w:rPr>
        <w:t xml:space="preserve"> (MW-5M and MW-6M) have indicated </w:t>
      </w:r>
      <w:proofErr w:type="spellStart"/>
      <w:r w:rsidR="00CB1E13">
        <w:rPr>
          <w:rFonts w:ascii="Arial" w:eastAsia="Calibri" w:hAnsi="Arial" w:cs="Arial"/>
        </w:rPr>
        <w:t>no</w:t>
      </w:r>
      <w:r w:rsidR="00224400">
        <w:rPr>
          <w:rFonts w:ascii="Arial" w:eastAsia="Calibri" w:hAnsi="Arial" w:cs="Arial"/>
        </w:rPr>
        <w:t>n</w:t>
      </w:r>
      <w:r w:rsidR="00CB1E13">
        <w:rPr>
          <w:rFonts w:ascii="Arial" w:eastAsia="Calibri" w:hAnsi="Arial" w:cs="Arial"/>
        </w:rPr>
        <w:t>detect</w:t>
      </w:r>
      <w:proofErr w:type="spellEnd"/>
      <w:r w:rsidR="00CB1E13">
        <w:rPr>
          <w:rFonts w:ascii="Arial" w:eastAsia="Calibri" w:hAnsi="Arial" w:cs="Arial"/>
        </w:rPr>
        <w:t xml:space="preserve"> MTBE </w:t>
      </w:r>
      <w:r w:rsidR="00224400">
        <w:rPr>
          <w:rFonts w:ascii="Arial" w:eastAsia="Calibri" w:hAnsi="Arial" w:cs="Arial"/>
        </w:rPr>
        <w:t>and</w:t>
      </w:r>
      <w:r w:rsidR="00CB1E13">
        <w:rPr>
          <w:rFonts w:ascii="Arial" w:eastAsia="Calibri" w:hAnsi="Arial" w:cs="Arial"/>
        </w:rPr>
        <w:t xml:space="preserve"> TBA concentrations since 2008.</w:t>
      </w:r>
      <w:r w:rsidR="00D922AA">
        <w:rPr>
          <w:rFonts w:ascii="Arial" w:eastAsia="Calibri" w:hAnsi="Arial" w:cs="Arial"/>
        </w:rPr>
        <w:t xml:space="preserve">  Only </w:t>
      </w:r>
      <w:r w:rsidR="007B7408">
        <w:rPr>
          <w:rFonts w:ascii="Arial" w:eastAsia="Calibri" w:hAnsi="Arial" w:cs="Arial"/>
        </w:rPr>
        <w:t>two</w:t>
      </w:r>
      <w:r w:rsidR="00D922AA">
        <w:rPr>
          <w:rFonts w:ascii="Arial" w:eastAsia="Calibri" w:hAnsi="Arial" w:cs="Arial"/>
        </w:rPr>
        <w:t xml:space="preserve"> shallow-zone </w:t>
      </w:r>
      <w:r w:rsidR="007B7408">
        <w:rPr>
          <w:rFonts w:ascii="Arial" w:eastAsia="Calibri" w:hAnsi="Arial" w:cs="Arial"/>
        </w:rPr>
        <w:t xml:space="preserve">onsite </w:t>
      </w:r>
      <w:r w:rsidR="00D922AA">
        <w:rPr>
          <w:rFonts w:ascii="Arial" w:eastAsia="Calibri" w:hAnsi="Arial" w:cs="Arial"/>
        </w:rPr>
        <w:t xml:space="preserve">wells </w:t>
      </w:r>
      <w:r w:rsidR="00483A78">
        <w:rPr>
          <w:rFonts w:ascii="Arial" w:eastAsia="Calibri" w:hAnsi="Arial" w:cs="Arial"/>
        </w:rPr>
        <w:t>contain detectable</w:t>
      </w:r>
      <w:r w:rsidR="00D922AA">
        <w:rPr>
          <w:rFonts w:ascii="Arial" w:eastAsia="Calibri" w:hAnsi="Arial" w:cs="Arial"/>
        </w:rPr>
        <w:t xml:space="preserve"> MTBE. </w:t>
      </w:r>
      <w:r w:rsidR="00CB1E13">
        <w:rPr>
          <w:rFonts w:ascii="Arial" w:eastAsia="Calibri" w:hAnsi="Arial" w:cs="Arial"/>
        </w:rPr>
        <w:t xml:space="preserve">  During the most recent sampling event in March 2017, shallow</w:t>
      </w:r>
      <w:r w:rsidR="007B7408">
        <w:rPr>
          <w:rFonts w:ascii="Arial" w:eastAsia="Calibri" w:hAnsi="Arial" w:cs="Arial"/>
        </w:rPr>
        <w:t>-zone</w:t>
      </w:r>
      <w:r w:rsidR="00CB1E13">
        <w:rPr>
          <w:rFonts w:ascii="Arial" w:eastAsia="Calibri" w:hAnsi="Arial" w:cs="Arial"/>
        </w:rPr>
        <w:t xml:space="preserve"> onsite wells MW-2 and MW-12 indicated a</w:t>
      </w:r>
      <w:r w:rsidR="007113E0">
        <w:rPr>
          <w:rFonts w:ascii="Arial" w:eastAsia="Calibri" w:hAnsi="Arial" w:cs="Arial"/>
        </w:rPr>
        <w:t xml:space="preserve">n MTBE </w:t>
      </w:r>
      <w:r w:rsidR="00CB1E13">
        <w:rPr>
          <w:rFonts w:ascii="Arial" w:eastAsia="Calibri" w:hAnsi="Arial" w:cs="Arial"/>
        </w:rPr>
        <w:t xml:space="preserve">concentration of 4.2 </w:t>
      </w:r>
      <w:r w:rsidR="007113E0">
        <w:rPr>
          <w:rFonts w:ascii="Arial" w:eastAsia="Calibri" w:hAnsi="Arial" w:cs="Arial"/>
        </w:rPr>
        <w:t>micrograms per liter (</w:t>
      </w:r>
      <w:r w:rsidR="00CB1E13">
        <w:rPr>
          <w:rFonts w:ascii="Arial" w:eastAsia="Calibri" w:hAnsi="Arial" w:cs="Arial"/>
        </w:rPr>
        <w:t>µg/l</w:t>
      </w:r>
      <w:r w:rsidR="007113E0">
        <w:rPr>
          <w:rFonts w:ascii="Arial" w:eastAsia="Calibri" w:hAnsi="Arial" w:cs="Arial"/>
        </w:rPr>
        <w:t>)</w:t>
      </w:r>
      <w:r w:rsidR="00CB1E13">
        <w:rPr>
          <w:rFonts w:ascii="Arial" w:eastAsia="Calibri" w:hAnsi="Arial" w:cs="Arial"/>
        </w:rPr>
        <w:t xml:space="preserve"> and </w:t>
      </w:r>
      <w:r w:rsidR="007113E0">
        <w:rPr>
          <w:rFonts w:ascii="Arial" w:eastAsia="Calibri" w:hAnsi="Arial" w:cs="Arial"/>
        </w:rPr>
        <w:t>3.4 µg/l</w:t>
      </w:r>
      <w:r w:rsidR="00F81A5A">
        <w:rPr>
          <w:rFonts w:ascii="Arial" w:eastAsia="Calibri" w:hAnsi="Arial" w:cs="Arial"/>
        </w:rPr>
        <w:t>, respectively</w:t>
      </w:r>
      <w:r w:rsidR="007113E0">
        <w:rPr>
          <w:rFonts w:ascii="Arial" w:eastAsia="Calibri" w:hAnsi="Arial" w:cs="Arial"/>
        </w:rPr>
        <w:t>.</w:t>
      </w:r>
      <w:r w:rsidR="0073434E">
        <w:rPr>
          <w:rFonts w:ascii="Arial" w:eastAsia="Calibri" w:hAnsi="Arial" w:cs="Arial"/>
        </w:rPr>
        <w:t xml:space="preserve">  The data from the two onsite well clusters described above confirm that the vertical extent of the plume has been delineated onsite.</w:t>
      </w:r>
      <w:r w:rsidR="007113E0">
        <w:rPr>
          <w:rFonts w:ascii="Arial" w:eastAsia="Calibri" w:hAnsi="Arial" w:cs="Arial"/>
        </w:rPr>
        <w:t xml:space="preserve">  </w:t>
      </w:r>
      <w:r w:rsidR="007B7408">
        <w:rPr>
          <w:rFonts w:ascii="Arial" w:eastAsia="Calibri" w:hAnsi="Arial" w:cs="Arial"/>
        </w:rPr>
        <w:t xml:space="preserve">The offsite shallow-zone wells </w:t>
      </w:r>
      <w:r w:rsidR="00F81A5A">
        <w:rPr>
          <w:rFonts w:ascii="Arial" w:eastAsia="Calibri" w:hAnsi="Arial" w:cs="Arial"/>
        </w:rPr>
        <w:t xml:space="preserve">(MW-7, MW-8, MW-9) </w:t>
      </w:r>
      <w:r w:rsidR="007B7408">
        <w:rPr>
          <w:rFonts w:ascii="Arial" w:eastAsia="Calibri" w:hAnsi="Arial" w:cs="Arial"/>
        </w:rPr>
        <w:t>have no</w:t>
      </w:r>
      <w:r w:rsidR="00224400">
        <w:rPr>
          <w:rFonts w:ascii="Arial" w:eastAsia="Calibri" w:hAnsi="Arial" w:cs="Arial"/>
        </w:rPr>
        <w:t>t</w:t>
      </w:r>
      <w:r w:rsidR="007B7408">
        <w:rPr>
          <w:rFonts w:ascii="Arial" w:eastAsia="Calibri" w:hAnsi="Arial" w:cs="Arial"/>
        </w:rPr>
        <w:t xml:space="preserve"> </w:t>
      </w:r>
      <w:r w:rsidR="00483A78">
        <w:rPr>
          <w:rFonts w:ascii="Arial" w:eastAsia="Calibri" w:hAnsi="Arial" w:cs="Arial"/>
        </w:rPr>
        <w:t xml:space="preserve">contained </w:t>
      </w:r>
      <w:r w:rsidR="007B7408">
        <w:rPr>
          <w:rFonts w:ascii="Arial" w:eastAsia="Calibri" w:hAnsi="Arial" w:cs="Arial"/>
        </w:rPr>
        <w:t>detect</w:t>
      </w:r>
      <w:r w:rsidR="00483A78">
        <w:rPr>
          <w:rFonts w:ascii="Arial" w:eastAsia="Calibri" w:hAnsi="Arial" w:cs="Arial"/>
        </w:rPr>
        <w:t>able</w:t>
      </w:r>
      <w:r w:rsidR="007B7408">
        <w:rPr>
          <w:rFonts w:ascii="Arial" w:eastAsia="Calibri" w:hAnsi="Arial" w:cs="Arial"/>
        </w:rPr>
        <w:t xml:space="preserve"> MTBE or TBA since </w:t>
      </w:r>
      <w:r w:rsidR="00F81A5A">
        <w:rPr>
          <w:rFonts w:ascii="Arial" w:eastAsia="Calibri" w:hAnsi="Arial" w:cs="Arial"/>
        </w:rPr>
        <w:t>their installation in 2002. O</w:t>
      </w:r>
      <w:r w:rsidR="007113E0">
        <w:rPr>
          <w:rFonts w:ascii="Arial" w:eastAsia="Calibri" w:hAnsi="Arial" w:cs="Arial"/>
        </w:rPr>
        <w:t xml:space="preserve">ffsite well clusters </w:t>
      </w:r>
      <w:r w:rsidR="00F81A5A">
        <w:rPr>
          <w:rFonts w:ascii="Arial" w:eastAsia="Calibri" w:hAnsi="Arial" w:cs="Arial"/>
        </w:rPr>
        <w:t xml:space="preserve">MW-8M, MW-8D and MW-11M, MW-11D </w:t>
      </w:r>
      <w:r w:rsidR="007113E0">
        <w:rPr>
          <w:rFonts w:ascii="Arial" w:eastAsia="Calibri" w:hAnsi="Arial" w:cs="Arial"/>
        </w:rPr>
        <w:t xml:space="preserve">have </w:t>
      </w:r>
      <w:bookmarkStart w:id="2" w:name="_Hlk534621581"/>
      <w:r w:rsidR="007113E0">
        <w:rPr>
          <w:rFonts w:ascii="Arial" w:eastAsia="Calibri" w:hAnsi="Arial" w:cs="Arial"/>
        </w:rPr>
        <w:t>no</w:t>
      </w:r>
      <w:r w:rsidR="00224400">
        <w:rPr>
          <w:rFonts w:ascii="Arial" w:eastAsia="Calibri" w:hAnsi="Arial" w:cs="Arial"/>
        </w:rPr>
        <w:t>t</w:t>
      </w:r>
      <w:r w:rsidR="007113E0">
        <w:rPr>
          <w:rFonts w:ascii="Arial" w:eastAsia="Calibri" w:hAnsi="Arial" w:cs="Arial"/>
        </w:rPr>
        <w:t xml:space="preserve"> detect</w:t>
      </w:r>
      <w:r w:rsidR="00224400">
        <w:rPr>
          <w:rFonts w:ascii="Arial" w:eastAsia="Calibri" w:hAnsi="Arial" w:cs="Arial"/>
        </w:rPr>
        <w:t>ed</w:t>
      </w:r>
      <w:r w:rsidR="007113E0">
        <w:rPr>
          <w:rFonts w:ascii="Arial" w:eastAsia="Calibri" w:hAnsi="Arial" w:cs="Arial"/>
        </w:rPr>
        <w:t xml:space="preserve"> MTBE or TBA </w:t>
      </w:r>
      <w:bookmarkEnd w:id="2"/>
      <w:r w:rsidR="007B7408">
        <w:rPr>
          <w:rFonts w:ascii="Arial" w:eastAsia="Calibri" w:hAnsi="Arial" w:cs="Arial"/>
        </w:rPr>
        <w:lastRenderedPageBreak/>
        <w:t xml:space="preserve">in mid-zone or deep-zone wells </w:t>
      </w:r>
      <w:r w:rsidR="007113E0">
        <w:rPr>
          <w:rFonts w:ascii="Arial" w:eastAsia="Calibri" w:hAnsi="Arial" w:cs="Arial"/>
        </w:rPr>
        <w:t xml:space="preserve">since their installation in 2015.  </w:t>
      </w:r>
      <w:r w:rsidR="0073434E">
        <w:rPr>
          <w:rFonts w:ascii="Arial" w:eastAsia="Calibri" w:hAnsi="Arial" w:cs="Arial"/>
        </w:rPr>
        <w:t>M</w:t>
      </w:r>
      <w:r w:rsidR="007113E0">
        <w:rPr>
          <w:rFonts w:ascii="Arial" w:eastAsia="Calibri" w:hAnsi="Arial" w:cs="Arial"/>
        </w:rPr>
        <w:t xml:space="preserve">onitoring data from multiple wells </w:t>
      </w:r>
      <w:r w:rsidR="0073434E">
        <w:rPr>
          <w:rFonts w:ascii="Arial" w:eastAsia="Calibri" w:hAnsi="Arial" w:cs="Arial"/>
        </w:rPr>
        <w:t xml:space="preserve">over multiple years </w:t>
      </w:r>
      <w:r w:rsidR="007113E0">
        <w:rPr>
          <w:rFonts w:ascii="Arial" w:eastAsia="Calibri" w:hAnsi="Arial" w:cs="Arial"/>
        </w:rPr>
        <w:t xml:space="preserve">demonstrate that MTBE and TBA concentrations are not present in the deeper wells.  </w:t>
      </w:r>
      <w:r w:rsidR="00AF4474">
        <w:rPr>
          <w:rFonts w:ascii="Arial" w:eastAsia="Calibri" w:hAnsi="Arial" w:cs="Arial"/>
        </w:rPr>
        <w:t xml:space="preserve">The vertical extent of the </w:t>
      </w:r>
      <w:r w:rsidR="00224400">
        <w:rPr>
          <w:rFonts w:ascii="Arial" w:eastAsia="Calibri" w:hAnsi="Arial" w:cs="Arial"/>
        </w:rPr>
        <w:t>MTBE and TBA concentrations</w:t>
      </w:r>
      <w:r w:rsidR="00AF4474">
        <w:rPr>
          <w:rFonts w:ascii="Arial" w:eastAsia="Calibri" w:hAnsi="Arial" w:cs="Arial"/>
        </w:rPr>
        <w:t xml:space="preserve"> has been delineated</w:t>
      </w:r>
      <w:r w:rsidR="00224400">
        <w:rPr>
          <w:rFonts w:ascii="Arial" w:eastAsia="Calibri" w:hAnsi="Arial" w:cs="Arial"/>
        </w:rPr>
        <w:t>.</w:t>
      </w:r>
      <w:r w:rsidR="00AF4474">
        <w:rPr>
          <w:rFonts w:ascii="Arial" w:eastAsia="Calibri" w:hAnsi="Arial" w:cs="Arial"/>
        </w:rPr>
        <w:t xml:space="preserve"> </w:t>
      </w:r>
    </w:p>
    <w:p w14:paraId="281297CA" w14:textId="6C55DAAD" w:rsidR="002E39B3" w:rsidRDefault="002E39B3" w:rsidP="00D61D6F">
      <w:pPr>
        <w:spacing w:before="10" w:after="0" w:line="280" w:lineRule="exact"/>
        <w:rPr>
          <w:rFonts w:ascii="Arial" w:eastAsia="Calibri" w:hAnsi="Arial" w:cs="Arial"/>
        </w:rPr>
      </w:pPr>
    </w:p>
    <w:p w14:paraId="26C31DB6" w14:textId="396A682D" w:rsidR="00FD4710" w:rsidRDefault="00FD4710" w:rsidP="00FD4710">
      <w:pPr>
        <w:spacing w:before="10" w:after="0" w:line="280" w:lineRule="exact"/>
        <w:rPr>
          <w:rFonts w:ascii="Arial" w:eastAsia="Calibri" w:hAnsi="Arial" w:cs="Arial"/>
        </w:rPr>
      </w:pPr>
      <w:r>
        <w:rPr>
          <w:rFonts w:ascii="Arial" w:eastAsia="Calibri" w:hAnsi="Arial" w:cs="Arial"/>
        </w:rPr>
        <w:t>The Low Threat UST Case Closure Policy (Policy) requires plume delineation to water quality objectives</w:t>
      </w:r>
      <w:r w:rsidR="000D02F0">
        <w:rPr>
          <w:rFonts w:ascii="Arial" w:eastAsia="Calibri" w:hAnsi="Arial" w:cs="Arial"/>
        </w:rPr>
        <w:t xml:space="preserve"> (WQOs)</w:t>
      </w:r>
      <w:r>
        <w:rPr>
          <w:rFonts w:ascii="Arial" w:eastAsia="Calibri" w:hAnsi="Arial" w:cs="Arial"/>
        </w:rPr>
        <w:t xml:space="preserve">. For this claim the plume has been delineated to </w:t>
      </w:r>
      <w:proofErr w:type="spellStart"/>
      <w:r>
        <w:rPr>
          <w:rFonts w:ascii="Arial" w:eastAsia="Calibri" w:hAnsi="Arial" w:cs="Arial"/>
        </w:rPr>
        <w:t>nondetect</w:t>
      </w:r>
      <w:proofErr w:type="spellEnd"/>
      <w:r>
        <w:rPr>
          <w:rFonts w:ascii="Arial" w:eastAsia="Calibri" w:hAnsi="Arial" w:cs="Arial"/>
        </w:rPr>
        <w:t xml:space="preserve"> levels, which meets and exceeds the requirements of the Policy. </w:t>
      </w:r>
    </w:p>
    <w:p w14:paraId="51E7D522" w14:textId="45E86519" w:rsidR="00571482" w:rsidRDefault="00571482" w:rsidP="00D61D6F">
      <w:pPr>
        <w:spacing w:before="10" w:after="0" w:line="280" w:lineRule="exact"/>
        <w:rPr>
          <w:rFonts w:ascii="Arial" w:eastAsia="Calibri" w:hAnsi="Arial" w:cs="Arial"/>
        </w:rPr>
      </w:pPr>
    </w:p>
    <w:p w14:paraId="02804603" w14:textId="65E5EFAB" w:rsidR="0091400A" w:rsidRPr="000D02F0" w:rsidRDefault="00BA4F33">
      <w:pPr>
        <w:spacing w:before="10" w:after="0" w:line="280" w:lineRule="exact"/>
        <w:rPr>
          <w:rFonts w:ascii="Arial" w:eastAsia="Calibri" w:hAnsi="Arial" w:cs="Arial"/>
        </w:rPr>
      </w:pPr>
      <w:r w:rsidRPr="00BA4F33">
        <w:rPr>
          <w:rFonts w:ascii="Arial" w:eastAsia="Calibri" w:hAnsi="Arial" w:cs="Arial"/>
          <w:i/>
          <w:u w:val="single"/>
        </w:rPr>
        <w:t>Comment 2</w:t>
      </w:r>
      <w:r>
        <w:rPr>
          <w:rFonts w:ascii="Arial" w:eastAsia="Calibri" w:hAnsi="Arial" w:cs="Arial"/>
          <w:i/>
        </w:rPr>
        <w:t xml:space="preserve">:  </w:t>
      </w:r>
      <w:r w:rsidR="001E4F48">
        <w:rPr>
          <w:rFonts w:ascii="Arial" w:eastAsia="Calibri" w:hAnsi="Arial" w:cs="Arial"/>
          <w:i/>
        </w:rPr>
        <w:t>One or more nearby drinking water production wells are vulnerable to ground surface sources of VOCs</w:t>
      </w:r>
      <w:r w:rsidR="000D02F0">
        <w:rPr>
          <w:rFonts w:ascii="Arial" w:eastAsia="Calibri" w:hAnsi="Arial" w:cs="Arial"/>
          <w:i/>
        </w:rPr>
        <w:t xml:space="preserve"> </w:t>
      </w:r>
      <w:r w:rsidR="000D02F0" w:rsidRPr="000D02F0">
        <w:rPr>
          <w:rFonts w:ascii="Arial" w:eastAsia="Calibri" w:hAnsi="Arial" w:cs="Arial"/>
        </w:rPr>
        <w:t>[volatile organic compounds]</w:t>
      </w:r>
      <w:r w:rsidR="001E4F48" w:rsidRPr="000D02F0">
        <w:rPr>
          <w:rFonts w:ascii="Arial" w:eastAsia="Calibri" w:hAnsi="Arial" w:cs="Arial"/>
        </w:rPr>
        <w:t>.</w:t>
      </w:r>
    </w:p>
    <w:p w14:paraId="0E0A983E" w14:textId="77777777" w:rsidR="00A70847" w:rsidRDefault="00A70847">
      <w:pPr>
        <w:spacing w:before="10" w:after="0" w:line="280" w:lineRule="exact"/>
        <w:rPr>
          <w:rFonts w:ascii="Calibri" w:eastAsia="Calibri" w:hAnsi="Calibri" w:cs="Calibri"/>
        </w:rPr>
      </w:pPr>
    </w:p>
    <w:p w14:paraId="06C1369B" w14:textId="458443DA" w:rsidR="00EF7F0C" w:rsidRDefault="00470C3F" w:rsidP="00667FBB">
      <w:pPr>
        <w:spacing w:after="0" w:line="280" w:lineRule="exact"/>
        <w:rPr>
          <w:rFonts w:ascii="Arial" w:eastAsia="Calibri" w:hAnsi="Arial" w:cs="Arial"/>
        </w:rPr>
      </w:pPr>
      <w:r w:rsidRPr="00F8575B">
        <w:rPr>
          <w:rFonts w:ascii="Arial" w:eastAsia="Calibri" w:hAnsi="Arial" w:cs="Arial"/>
          <w:u w:val="single"/>
        </w:rPr>
        <w:t>Response 2</w:t>
      </w:r>
      <w:r>
        <w:rPr>
          <w:rFonts w:ascii="Arial" w:eastAsia="Calibri" w:hAnsi="Arial" w:cs="Arial"/>
        </w:rPr>
        <w:t xml:space="preserve">: </w:t>
      </w:r>
      <w:r w:rsidR="000D02F0">
        <w:rPr>
          <w:rFonts w:ascii="Arial" w:eastAsia="Calibri" w:hAnsi="Arial" w:cs="Arial"/>
        </w:rPr>
        <w:t>For the production wells to be vulnerable to contamination from the Site, there must be a mechanism to move contaminated groundwater from the Site to the area of the intake of production wells</w:t>
      </w:r>
      <w:r w:rsidR="00956FA2">
        <w:rPr>
          <w:rFonts w:ascii="Arial" w:eastAsia="Calibri" w:hAnsi="Arial" w:cs="Arial"/>
        </w:rPr>
        <w:t xml:space="preserve"> </w:t>
      </w:r>
      <w:r w:rsidR="00251397">
        <w:rPr>
          <w:rFonts w:ascii="Arial" w:eastAsia="Calibri" w:hAnsi="Arial" w:cs="Arial"/>
        </w:rPr>
        <w:t>T</w:t>
      </w:r>
      <w:r w:rsidR="00251397">
        <w:rPr>
          <w:rFonts w:ascii="Arial" w:eastAsia="Calibri" w:hAnsi="Arial" w:cs="Arial"/>
        </w:rPr>
        <w:noBreakHyphen/>
        <w:t>MS3</w:t>
      </w:r>
      <w:r w:rsidR="00956FA2">
        <w:rPr>
          <w:rFonts w:ascii="Arial" w:eastAsia="Calibri" w:hAnsi="Arial" w:cs="Arial"/>
        </w:rPr>
        <w:t xml:space="preserve"> and </w:t>
      </w:r>
      <w:r w:rsidR="00251397">
        <w:rPr>
          <w:rFonts w:ascii="Arial" w:eastAsia="Calibri" w:hAnsi="Arial" w:cs="Arial"/>
        </w:rPr>
        <w:t>T</w:t>
      </w:r>
      <w:r w:rsidR="00251397">
        <w:rPr>
          <w:rFonts w:ascii="Arial" w:eastAsia="Calibri" w:hAnsi="Arial" w:cs="Arial"/>
        </w:rPr>
        <w:noBreakHyphen/>
        <w:t>MS4</w:t>
      </w:r>
      <w:r w:rsidR="000D02F0">
        <w:rPr>
          <w:rFonts w:ascii="Arial" w:eastAsia="Calibri" w:hAnsi="Arial" w:cs="Arial"/>
        </w:rPr>
        <w:t>.</w:t>
      </w:r>
      <w:r w:rsidR="00956FA2">
        <w:rPr>
          <w:rFonts w:ascii="Arial" w:eastAsia="Calibri" w:hAnsi="Arial" w:cs="Arial"/>
        </w:rPr>
        <w:t xml:space="preserve">  </w:t>
      </w:r>
      <w:r w:rsidR="00870CBC">
        <w:rPr>
          <w:rFonts w:ascii="Arial" w:eastAsia="Calibri" w:hAnsi="Arial" w:cs="Arial"/>
        </w:rPr>
        <w:t xml:space="preserve">The </w:t>
      </w:r>
      <w:r w:rsidR="00CF4ED6">
        <w:rPr>
          <w:rFonts w:ascii="Arial" w:eastAsia="Calibri" w:hAnsi="Arial" w:cs="Arial"/>
        </w:rPr>
        <w:t>District</w:t>
      </w:r>
      <w:r w:rsidR="00870CBC">
        <w:rPr>
          <w:rFonts w:ascii="Arial" w:eastAsia="Calibri" w:hAnsi="Arial" w:cs="Arial"/>
        </w:rPr>
        <w:t xml:space="preserve"> letter stated there was a MTBE detection of 0.04 µg/l in production well </w:t>
      </w:r>
      <w:r w:rsidR="00251397">
        <w:rPr>
          <w:rFonts w:ascii="Arial" w:eastAsia="Calibri" w:hAnsi="Arial" w:cs="Arial"/>
        </w:rPr>
        <w:t>T</w:t>
      </w:r>
      <w:r w:rsidR="00251397">
        <w:rPr>
          <w:rFonts w:ascii="Arial" w:eastAsia="Calibri" w:hAnsi="Arial" w:cs="Arial"/>
        </w:rPr>
        <w:noBreakHyphen/>
        <w:t>MS4</w:t>
      </w:r>
      <w:r w:rsidR="00870CBC">
        <w:rPr>
          <w:rFonts w:ascii="Arial" w:eastAsia="Calibri" w:hAnsi="Arial" w:cs="Arial"/>
        </w:rPr>
        <w:t xml:space="preserve"> on November 17, 2008</w:t>
      </w:r>
      <w:r w:rsidR="00483A78">
        <w:rPr>
          <w:rFonts w:ascii="Arial" w:eastAsia="Calibri" w:hAnsi="Arial" w:cs="Arial"/>
        </w:rPr>
        <w:t>;</w:t>
      </w:r>
      <w:r w:rsidR="00870CBC">
        <w:rPr>
          <w:rFonts w:ascii="Arial" w:eastAsia="Calibri" w:hAnsi="Arial" w:cs="Arial"/>
        </w:rPr>
        <w:t xml:space="preserve"> however, GeoTracker and the State Division of Drinking Water Electronic Data Transfer (EDT) Library (an online database </w:t>
      </w:r>
      <w:r w:rsidR="00CF4ED6">
        <w:rPr>
          <w:rFonts w:ascii="Arial" w:eastAsia="Calibri" w:hAnsi="Arial" w:cs="Arial"/>
        </w:rPr>
        <w:t>populated</w:t>
      </w:r>
      <w:r w:rsidR="00870CBC">
        <w:rPr>
          <w:rFonts w:ascii="Arial" w:eastAsia="Calibri" w:hAnsi="Arial" w:cs="Arial"/>
        </w:rPr>
        <w:t xml:space="preserve"> by public water suppliers) do not show that well </w:t>
      </w:r>
      <w:r w:rsidR="00251397">
        <w:rPr>
          <w:rFonts w:ascii="Arial" w:eastAsia="Calibri" w:hAnsi="Arial" w:cs="Arial"/>
        </w:rPr>
        <w:t>T</w:t>
      </w:r>
      <w:r w:rsidR="00251397">
        <w:rPr>
          <w:rFonts w:ascii="Arial" w:eastAsia="Calibri" w:hAnsi="Arial" w:cs="Arial"/>
        </w:rPr>
        <w:noBreakHyphen/>
        <w:t>MS4</w:t>
      </w:r>
      <w:r w:rsidR="00870CBC">
        <w:rPr>
          <w:rFonts w:ascii="Arial" w:eastAsia="Calibri" w:hAnsi="Arial" w:cs="Arial"/>
        </w:rPr>
        <w:t xml:space="preserve"> was sampled for MTBE on that date.</w:t>
      </w:r>
      <w:r w:rsidR="004B1B12">
        <w:rPr>
          <w:rFonts w:ascii="Arial" w:eastAsia="Calibri" w:hAnsi="Arial" w:cs="Arial"/>
        </w:rPr>
        <w:t xml:space="preserve"> </w:t>
      </w:r>
      <w:r w:rsidR="000D02F0">
        <w:rPr>
          <w:rFonts w:ascii="Arial" w:eastAsia="Calibri" w:hAnsi="Arial" w:cs="Arial"/>
        </w:rPr>
        <w:t>Based on information available in GeoTracker</w:t>
      </w:r>
      <w:r w:rsidR="004B1B12">
        <w:rPr>
          <w:rFonts w:ascii="Arial" w:eastAsia="Calibri" w:hAnsi="Arial" w:cs="Arial"/>
        </w:rPr>
        <w:t xml:space="preserve"> and the EDT Library,</w:t>
      </w:r>
      <w:r w:rsidR="000D02F0">
        <w:rPr>
          <w:rFonts w:ascii="Arial" w:eastAsia="Calibri" w:hAnsi="Arial" w:cs="Arial"/>
        </w:rPr>
        <w:t xml:space="preserve"> production well </w:t>
      </w:r>
      <w:r w:rsidR="00251397">
        <w:rPr>
          <w:rFonts w:ascii="Arial" w:eastAsia="Calibri" w:hAnsi="Arial" w:cs="Arial"/>
        </w:rPr>
        <w:t>T</w:t>
      </w:r>
      <w:r w:rsidR="00251397">
        <w:rPr>
          <w:rFonts w:ascii="Arial" w:eastAsia="Calibri" w:hAnsi="Arial" w:cs="Arial"/>
        </w:rPr>
        <w:noBreakHyphen/>
        <w:t>MS3</w:t>
      </w:r>
      <w:r w:rsidR="000D02F0">
        <w:rPr>
          <w:rFonts w:ascii="Arial" w:eastAsia="Calibri" w:hAnsi="Arial" w:cs="Arial"/>
        </w:rPr>
        <w:t xml:space="preserve"> has indicated </w:t>
      </w:r>
      <w:proofErr w:type="spellStart"/>
      <w:r w:rsidR="000D02F0">
        <w:rPr>
          <w:rFonts w:ascii="Arial" w:eastAsia="Calibri" w:hAnsi="Arial" w:cs="Arial"/>
        </w:rPr>
        <w:t>nondetect</w:t>
      </w:r>
      <w:proofErr w:type="spellEnd"/>
      <w:r w:rsidR="000D02F0">
        <w:rPr>
          <w:rFonts w:ascii="Arial" w:eastAsia="Calibri" w:hAnsi="Arial" w:cs="Arial"/>
        </w:rPr>
        <w:t xml:space="preserve"> concentrations of MTBE for 42 sampling events conducted since 1996, and </w:t>
      </w:r>
      <w:r w:rsidR="00251397">
        <w:rPr>
          <w:rFonts w:ascii="Arial" w:eastAsia="Calibri" w:hAnsi="Arial" w:cs="Arial"/>
        </w:rPr>
        <w:t>T</w:t>
      </w:r>
      <w:r w:rsidR="00251397">
        <w:rPr>
          <w:rFonts w:ascii="Arial" w:eastAsia="Calibri" w:hAnsi="Arial" w:cs="Arial"/>
        </w:rPr>
        <w:noBreakHyphen/>
        <w:t>MS4</w:t>
      </w:r>
      <w:r w:rsidR="000D02F0">
        <w:rPr>
          <w:rFonts w:ascii="Arial" w:eastAsia="Calibri" w:hAnsi="Arial" w:cs="Arial"/>
        </w:rPr>
        <w:t xml:space="preserve"> has indicated </w:t>
      </w:r>
      <w:proofErr w:type="spellStart"/>
      <w:r w:rsidR="000D02F0">
        <w:rPr>
          <w:rFonts w:ascii="Arial" w:eastAsia="Calibri" w:hAnsi="Arial" w:cs="Arial"/>
        </w:rPr>
        <w:t>nondetect</w:t>
      </w:r>
      <w:proofErr w:type="spellEnd"/>
      <w:r w:rsidR="000D02F0">
        <w:rPr>
          <w:rFonts w:ascii="Arial" w:eastAsia="Calibri" w:hAnsi="Arial" w:cs="Arial"/>
        </w:rPr>
        <w:t xml:space="preserve"> concentrations of MTBE for </w:t>
      </w:r>
      <w:r w:rsidR="004B1B12">
        <w:rPr>
          <w:rFonts w:ascii="Arial" w:eastAsia="Calibri" w:hAnsi="Arial" w:cs="Arial"/>
        </w:rPr>
        <w:t>30</w:t>
      </w:r>
      <w:r w:rsidR="000D02F0">
        <w:rPr>
          <w:rFonts w:ascii="Arial" w:eastAsia="Calibri" w:hAnsi="Arial" w:cs="Arial"/>
        </w:rPr>
        <w:t xml:space="preserve"> sampling events conducted since 2000. Both production wells have indicated </w:t>
      </w:r>
      <w:proofErr w:type="spellStart"/>
      <w:r w:rsidR="000D02F0">
        <w:rPr>
          <w:rFonts w:ascii="Arial" w:eastAsia="Calibri" w:hAnsi="Arial" w:cs="Arial"/>
        </w:rPr>
        <w:t>nondetect</w:t>
      </w:r>
      <w:proofErr w:type="spellEnd"/>
      <w:r w:rsidR="000D02F0">
        <w:rPr>
          <w:rFonts w:ascii="Arial" w:eastAsia="Calibri" w:hAnsi="Arial" w:cs="Arial"/>
        </w:rPr>
        <w:t xml:space="preserve"> concentrations of TBA since TBA reporting was initiated in 2001. </w:t>
      </w:r>
    </w:p>
    <w:p w14:paraId="087EB520" w14:textId="77777777" w:rsidR="00EF7F0C" w:rsidRDefault="00EF7F0C" w:rsidP="00667FBB">
      <w:pPr>
        <w:spacing w:after="0" w:line="280" w:lineRule="exact"/>
        <w:rPr>
          <w:rFonts w:ascii="Arial" w:eastAsia="Calibri" w:hAnsi="Arial" w:cs="Arial"/>
        </w:rPr>
      </w:pPr>
    </w:p>
    <w:p w14:paraId="22598A0C" w14:textId="54B9DF73" w:rsidR="00FA4678" w:rsidRDefault="000D02F0" w:rsidP="00667FBB">
      <w:pPr>
        <w:spacing w:after="0" w:line="280" w:lineRule="exact"/>
        <w:rPr>
          <w:rFonts w:ascii="Arial" w:eastAsia="Calibri" w:hAnsi="Arial" w:cs="Arial"/>
        </w:rPr>
      </w:pPr>
      <w:r>
        <w:rPr>
          <w:rFonts w:ascii="Arial" w:eastAsia="Calibri" w:hAnsi="Arial" w:cs="Arial"/>
        </w:rPr>
        <w:t xml:space="preserve">It is our understanding that both </w:t>
      </w:r>
      <w:r w:rsidR="00251397">
        <w:rPr>
          <w:rFonts w:ascii="Arial" w:eastAsia="Calibri" w:hAnsi="Arial" w:cs="Arial"/>
        </w:rPr>
        <w:t>wells T</w:t>
      </w:r>
      <w:r w:rsidR="00251397">
        <w:rPr>
          <w:rFonts w:ascii="Arial" w:eastAsia="Calibri" w:hAnsi="Arial" w:cs="Arial"/>
        </w:rPr>
        <w:noBreakHyphen/>
        <w:t>MS3 and T</w:t>
      </w:r>
      <w:r w:rsidR="00251397">
        <w:rPr>
          <w:rFonts w:ascii="Arial" w:eastAsia="Calibri" w:hAnsi="Arial" w:cs="Arial"/>
        </w:rPr>
        <w:noBreakHyphen/>
        <w:t>MS4</w:t>
      </w:r>
      <w:r>
        <w:rPr>
          <w:rFonts w:ascii="Arial" w:eastAsia="Calibri" w:hAnsi="Arial" w:cs="Arial"/>
        </w:rPr>
        <w:t xml:space="preserve"> have been actively pumped since 1996 and 2000, respectively. These production wells were pumping prior to, during and after the discovery of the petroleum hydrocarbon release at the Site, its delineation and remediation, yet </w:t>
      </w:r>
      <w:r w:rsidR="004B1B12">
        <w:rPr>
          <w:rFonts w:ascii="Arial" w:eastAsia="Calibri" w:hAnsi="Arial" w:cs="Arial"/>
        </w:rPr>
        <w:t xml:space="preserve">since </w:t>
      </w:r>
      <w:r w:rsidR="00FA4678">
        <w:rPr>
          <w:rFonts w:ascii="Arial" w:eastAsia="Calibri" w:hAnsi="Arial" w:cs="Arial"/>
        </w:rPr>
        <w:t xml:space="preserve">at least 2000 (and as far back as </w:t>
      </w:r>
      <w:r w:rsidR="004B1B12">
        <w:rPr>
          <w:rFonts w:ascii="Arial" w:eastAsia="Calibri" w:hAnsi="Arial" w:cs="Arial"/>
        </w:rPr>
        <w:t>1996</w:t>
      </w:r>
      <w:r w:rsidR="00FA4678">
        <w:rPr>
          <w:rFonts w:ascii="Arial" w:eastAsia="Calibri" w:hAnsi="Arial" w:cs="Arial"/>
        </w:rPr>
        <w:t>)</w:t>
      </w:r>
      <w:r>
        <w:rPr>
          <w:rFonts w:ascii="Arial" w:eastAsia="Calibri" w:hAnsi="Arial" w:cs="Arial"/>
        </w:rPr>
        <w:t xml:space="preserve"> no MTBE or TBA have </w:t>
      </w:r>
      <w:r w:rsidR="004B1B12">
        <w:rPr>
          <w:rFonts w:ascii="Arial" w:eastAsia="Calibri" w:hAnsi="Arial" w:cs="Arial"/>
        </w:rPr>
        <w:t>been detected</w:t>
      </w:r>
      <w:r w:rsidR="00D922AA">
        <w:rPr>
          <w:rFonts w:ascii="Arial" w:eastAsia="Calibri" w:hAnsi="Arial" w:cs="Arial"/>
        </w:rPr>
        <w:t xml:space="preserve"> in the production wells</w:t>
      </w:r>
      <w:r w:rsidR="00194A49">
        <w:rPr>
          <w:rFonts w:ascii="Arial" w:eastAsia="Calibri" w:hAnsi="Arial" w:cs="Arial"/>
        </w:rPr>
        <w:t>.</w:t>
      </w:r>
      <w:r w:rsidR="0069019D">
        <w:rPr>
          <w:rFonts w:ascii="Arial" w:eastAsia="Calibri" w:hAnsi="Arial" w:cs="Arial"/>
        </w:rPr>
        <w:t xml:space="preserve"> </w:t>
      </w:r>
      <w:r w:rsidR="003E048B">
        <w:rPr>
          <w:rFonts w:ascii="Arial" w:eastAsia="Calibri" w:hAnsi="Arial" w:cs="Arial"/>
        </w:rPr>
        <w:t>When MTBE and TBA concentrations were at their highest, prior to remediation, no MTBE or TBA were detected in the production wells.  Now that the remaining MTBE concentrations in onsite wells are below its water quality objective and TBA is no</w:t>
      </w:r>
      <w:r w:rsidR="00251397">
        <w:rPr>
          <w:rFonts w:ascii="Arial" w:eastAsia="Calibri" w:hAnsi="Arial" w:cs="Arial"/>
        </w:rPr>
        <w:t xml:space="preserve">t </w:t>
      </w:r>
      <w:r w:rsidR="003E048B">
        <w:rPr>
          <w:rFonts w:ascii="Arial" w:eastAsia="Calibri" w:hAnsi="Arial" w:cs="Arial"/>
        </w:rPr>
        <w:t>detect</w:t>
      </w:r>
      <w:r w:rsidR="00251397">
        <w:rPr>
          <w:rFonts w:ascii="Arial" w:eastAsia="Calibri" w:hAnsi="Arial" w:cs="Arial"/>
        </w:rPr>
        <w:t>ed</w:t>
      </w:r>
      <w:r w:rsidR="003E048B">
        <w:rPr>
          <w:rFonts w:ascii="Arial" w:eastAsia="Calibri" w:hAnsi="Arial" w:cs="Arial"/>
        </w:rPr>
        <w:t xml:space="preserve">, it is highly unlikely that MTBE </w:t>
      </w:r>
      <w:r w:rsidR="00EE385E">
        <w:rPr>
          <w:rFonts w:ascii="Arial" w:eastAsia="Calibri" w:hAnsi="Arial" w:cs="Arial"/>
        </w:rPr>
        <w:t xml:space="preserve">originating from the Site </w:t>
      </w:r>
      <w:r w:rsidR="003E048B">
        <w:rPr>
          <w:rFonts w:ascii="Arial" w:eastAsia="Calibri" w:hAnsi="Arial" w:cs="Arial"/>
        </w:rPr>
        <w:t xml:space="preserve">will </w:t>
      </w:r>
      <w:r w:rsidR="00251397">
        <w:rPr>
          <w:rFonts w:ascii="Arial" w:eastAsia="Calibri" w:hAnsi="Arial" w:cs="Arial"/>
        </w:rPr>
        <w:t xml:space="preserve">ever </w:t>
      </w:r>
      <w:r w:rsidR="003E048B">
        <w:rPr>
          <w:rFonts w:ascii="Arial" w:eastAsia="Calibri" w:hAnsi="Arial" w:cs="Arial"/>
        </w:rPr>
        <w:t xml:space="preserve">be detected in the production wells.   </w:t>
      </w:r>
      <w:r w:rsidR="002F1C43">
        <w:rPr>
          <w:rFonts w:ascii="Arial" w:eastAsia="Calibri" w:hAnsi="Arial" w:cs="Arial"/>
        </w:rPr>
        <w:t>A</w:t>
      </w:r>
      <w:r w:rsidR="00FA4678">
        <w:rPr>
          <w:rFonts w:ascii="Arial" w:eastAsia="Calibri" w:hAnsi="Arial" w:cs="Arial"/>
        </w:rPr>
        <w:t xml:space="preserve">s previously discussed, there have been no detections of MTBE or TBA </w:t>
      </w:r>
      <w:r w:rsidR="00251397">
        <w:rPr>
          <w:rFonts w:ascii="Arial" w:eastAsia="Calibri" w:hAnsi="Arial" w:cs="Arial"/>
        </w:rPr>
        <w:t xml:space="preserve">concentrations </w:t>
      </w:r>
      <w:r w:rsidR="00FA4678">
        <w:rPr>
          <w:rFonts w:ascii="Arial" w:eastAsia="Calibri" w:hAnsi="Arial" w:cs="Arial"/>
        </w:rPr>
        <w:t xml:space="preserve">in </w:t>
      </w:r>
      <w:bookmarkStart w:id="3" w:name="_GoBack"/>
      <w:bookmarkEnd w:id="3"/>
      <w:r w:rsidR="003E048B">
        <w:rPr>
          <w:rFonts w:ascii="Arial" w:eastAsia="Calibri" w:hAnsi="Arial" w:cs="Arial"/>
        </w:rPr>
        <w:t xml:space="preserve">the </w:t>
      </w:r>
      <w:r w:rsidR="00FA4678">
        <w:rPr>
          <w:rFonts w:ascii="Arial" w:eastAsia="Calibri" w:hAnsi="Arial" w:cs="Arial"/>
        </w:rPr>
        <w:t>offsite wells, therefore there is no evidence that MTBE or TBA are migrating offsite</w:t>
      </w:r>
      <w:r w:rsidR="002F1C43">
        <w:rPr>
          <w:rFonts w:ascii="Arial" w:eastAsia="Calibri" w:hAnsi="Arial" w:cs="Arial"/>
        </w:rPr>
        <w:t xml:space="preserve"> toward the production wells.</w:t>
      </w:r>
      <w:r w:rsidR="00FA4678">
        <w:rPr>
          <w:rFonts w:ascii="Arial" w:eastAsia="Calibri" w:hAnsi="Arial" w:cs="Arial"/>
        </w:rPr>
        <w:t xml:space="preserve">  </w:t>
      </w:r>
    </w:p>
    <w:p w14:paraId="24992572" w14:textId="77777777" w:rsidR="00FA4678" w:rsidRDefault="00FA4678" w:rsidP="00667FBB">
      <w:pPr>
        <w:spacing w:after="0" w:line="280" w:lineRule="exact"/>
        <w:rPr>
          <w:rFonts w:ascii="Arial" w:eastAsia="Calibri" w:hAnsi="Arial" w:cs="Arial"/>
        </w:rPr>
      </w:pPr>
    </w:p>
    <w:p w14:paraId="315591CA" w14:textId="1E179F72" w:rsidR="00385705" w:rsidRDefault="00CD1554" w:rsidP="00667FBB">
      <w:pPr>
        <w:spacing w:after="0" w:line="280" w:lineRule="exact"/>
        <w:rPr>
          <w:rFonts w:ascii="Arial" w:eastAsia="Calibri" w:hAnsi="Arial" w:cs="Arial"/>
        </w:rPr>
      </w:pPr>
      <w:r>
        <w:rPr>
          <w:rFonts w:ascii="Arial" w:eastAsia="Calibri" w:hAnsi="Arial" w:cs="Arial"/>
        </w:rPr>
        <w:t xml:space="preserve">The decrease in lateral and vertical extent of the plume since 2008 is evidence that the source of MTBE and TBA is depleted and demonstrates that at present the rate of natural attenuation exceeds the rate of groundwater movement both vertically and laterally. The remaining petroleum hydrocarbon plume which is limited to onsite </w:t>
      </w:r>
      <w:r w:rsidR="00251397">
        <w:rPr>
          <w:rFonts w:ascii="Arial" w:eastAsia="Calibri" w:hAnsi="Arial" w:cs="Arial"/>
        </w:rPr>
        <w:t>w</w:t>
      </w:r>
      <w:r>
        <w:rPr>
          <w:rFonts w:ascii="Arial" w:eastAsia="Calibri" w:hAnsi="Arial" w:cs="Arial"/>
        </w:rPr>
        <w:t xml:space="preserve">ells </w:t>
      </w:r>
      <w:r w:rsidR="005120AA">
        <w:rPr>
          <w:rFonts w:ascii="Arial" w:eastAsia="Calibri" w:hAnsi="Arial" w:cs="Arial"/>
        </w:rPr>
        <w:t>will continue to attenuate</w:t>
      </w:r>
      <w:r>
        <w:rPr>
          <w:rFonts w:ascii="Arial" w:eastAsia="Calibri" w:hAnsi="Arial" w:cs="Arial"/>
        </w:rPr>
        <w:t xml:space="preserve"> and MTBE and TBA concentrations will continue to decrease</w:t>
      </w:r>
      <w:r w:rsidR="005120AA">
        <w:rPr>
          <w:rFonts w:ascii="Arial" w:eastAsia="Calibri" w:hAnsi="Arial" w:cs="Arial"/>
        </w:rPr>
        <w:t>.</w:t>
      </w:r>
      <w:r>
        <w:rPr>
          <w:rFonts w:ascii="Arial" w:eastAsia="Calibri" w:hAnsi="Arial" w:cs="Arial"/>
        </w:rPr>
        <w:t xml:space="preserve"> The contaminant plume is shrinking at a rate faster than the groundwater that contains the contaminants is moving toward the production wells.  Therefore, production wells </w:t>
      </w:r>
      <w:r w:rsidR="00251397">
        <w:rPr>
          <w:rFonts w:ascii="Arial" w:eastAsia="Calibri" w:hAnsi="Arial" w:cs="Arial"/>
        </w:rPr>
        <w:t>T</w:t>
      </w:r>
      <w:r w:rsidR="00251397">
        <w:rPr>
          <w:rFonts w:ascii="Arial" w:eastAsia="Calibri" w:hAnsi="Arial" w:cs="Arial"/>
        </w:rPr>
        <w:noBreakHyphen/>
        <w:t>MS3</w:t>
      </w:r>
      <w:r>
        <w:rPr>
          <w:rFonts w:ascii="Arial" w:eastAsia="Calibri" w:hAnsi="Arial" w:cs="Arial"/>
        </w:rPr>
        <w:t xml:space="preserve"> and </w:t>
      </w:r>
      <w:r w:rsidR="00251397">
        <w:rPr>
          <w:rFonts w:ascii="Arial" w:eastAsia="Calibri" w:hAnsi="Arial" w:cs="Arial"/>
        </w:rPr>
        <w:t>T</w:t>
      </w:r>
      <w:r w:rsidR="00251397">
        <w:rPr>
          <w:rFonts w:ascii="Arial" w:eastAsia="Calibri" w:hAnsi="Arial" w:cs="Arial"/>
        </w:rPr>
        <w:noBreakHyphen/>
        <w:t>MS4</w:t>
      </w:r>
      <w:r>
        <w:rPr>
          <w:rFonts w:ascii="Arial" w:eastAsia="Calibri" w:hAnsi="Arial" w:cs="Arial"/>
        </w:rPr>
        <w:t xml:space="preserve"> are not vulnerable to contamination from the Site.  The Site meets the criteria for closure under the Policy.</w:t>
      </w:r>
    </w:p>
    <w:p w14:paraId="7370C819" w14:textId="77777777" w:rsidR="00385705" w:rsidRDefault="00385705" w:rsidP="00667FBB">
      <w:pPr>
        <w:spacing w:after="0" w:line="280" w:lineRule="exact"/>
        <w:rPr>
          <w:rFonts w:ascii="Arial" w:eastAsia="Calibri" w:hAnsi="Arial" w:cs="Arial"/>
        </w:rPr>
      </w:pPr>
    </w:p>
    <w:p w14:paraId="4A4AF3E1" w14:textId="5FC06353" w:rsidR="00C37F6A" w:rsidRDefault="00C37F6A" w:rsidP="00CF4ED6">
      <w:pPr>
        <w:spacing w:after="0" w:line="280" w:lineRule="exact"/>
        <w:rPr>
          <w:rFonts w:ascii="Arial" w:eastAsia="Calibri" w:hAnsi="Arial" w:cs="Arial"/>
        </w:rPr>
      </w:pPr>
    </w:p>
    <w:sectPr w:rsidR="00C37F6A" w:rsidSect="00360994">
      <w:headerReference w:type="default" r:id="rId7"/>
      <w:footerReference w:type="default" r:id="rId8"/>
      <w:pgSz w:w="12240" w:h="15840"/>
      <w:pgMar w:top="1440" w:right="1440" w:bottom="1440" w:left="1440" w:header="0" w:footer="10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F50F" w14:textId="77777777" w:rsidR="00B02961" w:rsidRDefault="00B02961">
      <w:pPr>
        <w:spacing w:after="0" w:line="240" w:lineRule="auto"/>
      </w:pPr>
      <w:r>
        <w:separator/>
      </w:r>
    </w:p>
  </w:endnote>
  <w:endnote w:type="continuationSeparator" w:id="0">
    <w:p w14:paraId="60E9A51A" w14:textId="77777777" w:rsidR="00B02961" w:rsidRDefault="00B0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A1B7" w14:textId="77777777" w:rsidR="004E4898" w:rsidRDefault="0057203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DE12E6F" wp14:editId="12BF1E3C">
              <wp:simplePos x="0" y="0"/>
              <wp:positionH relativeFrom="page">
                <wp:posOffset>3825240</wp:posOffset>
              </wp:positionH>
              <wp:positionV relativeFrom="page">
                <wp:posOffset>9275445</wp:posOffset>
              </wp:positionV>
              <wp:extent cx="12128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7A955" w14:textId="77777777" w:rsidR="004E4898" w:rsidRDefault="00D060F2">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1F439E">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12E6F" id="_x0000_t202" coordsize="21600,21600" o:spt="202" path="m,l,21600r21600,l21600,xe">
              <v:stroke joinstyle="miter"/>
              <v:path gradientshapeok="t" o:connecttype="rect"/>
            </v:shapetype>
            <v:shape id="Text Box 1" o:spid="_x0000_s1026" type="#_x0000_t202" style="position:absolute;margin-left:301.2pt;margin-top:730.35pt;width:9.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A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" filled="f" stroked="f">
              <v:textbox inset="0,0,0,0">
                <w:txbxContent>
                  <w:p w14:paraId="48F7A955" w14:textId="77777777" w:rsidR="004E4898" w:rsidRDefault="00D060F2">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1F439E">
                      <w:rPr>
                        <w:rFonts w:ascii="Calibri" w:eastAsia="Calibri" w:hAnsi="Calibri" w:cs="Calibri"/>
                        <w:noProof/>
                        <w:position w:val="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E3E4" w14:textId="77777777" w:rsidR="00B02961" w:rsidRDefault="00B02961">
      <w:pPr>
        <w:spacing w:after="0" w:line="240" w:lineRule="auto"/>
      </w:pPr>
      <w:r>
        <w:separator/>
      </w:r>
    </w:p>
  </w:footnote>
  <w:footnote w:type="continuationSeparator" w:id="0">
    <w:p w14:paraId="6DAA7AEA" w14:textId="77777777" w:rsidR="00B02961" w:rsidRDefault="00B0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6FB1" w14:textId="77777777" w:rsidR="00360994" w:rsidRDefault="00360994">
    <w:pPr>
      <w:pStyle w:val="Header"/>
      <w:rPr>
        <w:rFonts w:ascii="Arial" w:hAnsi="Arial" w:cs="Arial"/>
      </w:rPr>
    </w:pPr>
  </w:p>
  <w:p w14:paraId="59E4DBAD" w14:textId="77777777" w:rsidR="001F439E" w:rsidRDefault="001F439E">
    <w:pPr>
      <w:pStyle w:val="Header"/>
      <w:rPr>
        <w:rFonts w:ascii="Arial" w:hAnsi="Arial" w:cs="Arial"/>
      </w:rPr>
    </w:pPr>
  </w:p>
  <w:p w14:paraId="3BCC57C9" w14:textId="2C1CD5B2" w:rsidR="00616F5C" w:rsidRPr="00616F5C" w:rsidRDefault="00616F5C">
    <w:pPr>
      <w:pStyle w:val="Header"/>
      <w:rPr>
        <w:rFonts w:ascii="Arial" w:hAnsi="Arial" w:cs="Arial"/>
      </w:rPr>
    </w:pPr>
    <w:r w:rsidRPr="00616F5C">
      <w:rPr>
        <w:rFonts w:ascii="Arial" w:hAnsi="Arial" w:cs="Arial"/>
      </w:rPr>
      <w:t xml:space="preserve">Response to Public Comment – </w:t>
    </w:r>
    <w:r w:rsidR="00835297">
      <w:rPr>
        <w:rFonts w:ascii="Arial" w:hAnsi="Arial" w:cs="Arial"/>
      </w:rPr>
      <w:t>OCWD</w:t>
    </w:r>
  </w:p>
  <w:p w14:paraId="29508EFD" w14:textId="4D77B0A7" w:rsidR="00616F5C" w:rsidRPr="00616F5C" w:rsidRDefault="00835297">
    <w:pPr>
      <w:pStyle w:val="Header"/>
      <w:rPr>
        <w:rFonts w:ascii="Arial" w:hAnsi="Arial" w:cs="Arial"/>
      </w:rPr>
    </w:pPr>
    <w:r>
      <w:rPr>
        <w:rFonts w:ascii="Arial" w:hAnsi="Arial" w:cs="Arial"/>
      </w:rPr>
      <w:t>Tustin Auto Wash</w:t>
    </w:r>
    <w:r w:rsidR="00616F5C" w:rsidRPr="00616F5C">
      <w:rPr>
        <w:rFonts w:ascii="Arial" w:hAnsi="Arial" w:cs="Arial"/>
      </w:rPr>
      <w:t xml:space="preserve">, </w:t>
    </w:r>
    <w:r>
      <w:rPr>
        <w:rFonts w:ascii="Arial" w:hAnsi="Arial" w:cs="Arial"/>
      </w:rPr>
      <w:t>Tustin</w:t>
    </w:r>
  </w:p>
  <w:p w14:paraId="128A5901" w14:textId="6C8BBDFB" w:rsidR="00616F5C" w:rsidRDefault="00616F5C">
    <w:pPr>
      <w:pStyle w:val="Header"/>
    </w:pPr>
    <w:r w:rsidRPr="00616F5C">
      <w:rPr>
        <w:rFonts w:ascii="Arial" w:hAnsi="Arial" w:cs="Arial"/>
      </w:rPr>
      <w:t xml:space="preserve">Claim </w:t>
    </w:r>
    <w:r w:rsidR="00835297">
      <w:rPr>
        <w:rFonts w:ascii="Arial" w:hAnsi="Arial" w:cs="Arial"/>
      </w:rPr>
      <w:t>14847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98"/>
    <w:rsid w:val="00005858"/>
    <w:rsid w:val="00007B5C"/>
    <w:rsid w:val="00056AB1"/>
    <w:rsid w:val="0006156E"/>
    <w:rsid w:val="0007103E"/>
    <w:rsid w:val="00090691"/>
    <w:rsid w:val="000A4333"/>
    <w:rsid w:val="000C545D"/>
    <w:rsid w:val="000D02F0"/>
    <w:rsid w:val="000E3936"/>
    <w:rsid w:val="000F2125"/>
    <w:rsid w:val="00104AED"/>
    <w:rsid w:val="00113ACC"/>
    <w:rsid w:val="00126702"/>
    <w:rsid w:val="00133E24"/>
    <w:rsid w:val="00134631"/>
    <w:rsid w:val="001431D6"/>
    <w:rsid w:val="00147979"/>
    <w:rsid w:val="00161C93"/>
    <w:rsid w:val="0019390F"/>
    <w:rsid w:val="00194A49"/>
    <w:rsid w:val="001C76BB"/>
    <w:rsid w:val="001E2B6B"/>
    <w:rsid w:val="001E4F48"/>
    <w:rsid w:val="001F439E"/>
    <w:rsid w:val="00222466"/>
    <w:rsid w:val="00224400"/>
    <w:rsid w:val="00243931"/>
    <w:rsid w:val="00250595"/>
    <w:rsid w:val="00251397"/>
    <w:rsid w:val="00293C1D"/>
    <w:rsid w:val="002E39B3"/>
    <w:rsid w:val="002E4B0B"/>
    <w:rsid w:val="002F1C43"/>
    <w:rsid w:val="002F28A6"/>
    <w:rsid w:val="0030669F"/>
    <w:rsid w:val="00327C0F"/>
    <w:rsid w:val="0033153A"/>
    <w:rsid w:val="0034609A"/>
    <w:rsid w:val="00352933"/>
    <w:rsid w:val="00360994"/>
    <w:rsid w:val="003738AA"/>
    <w:rsid w:val="00383932"/>
    <w:rsid w:val="00384695"/>
    <w:rsid w:val="00385705"/>
    <w:rsid w:val="00385782"/>
    <w:rsid w:val="0039192B"/>
    <w:rsid w:val="0039239D"/>
    <w:rsid w:val="003A4AFC"/>
    <w:rsid w:val="003C2226"/>
    <w:rsid w:val="003C6A9D"/>
    <w:rsid w:val="003C7124"/>
    <w:rsid w:val="003D4916"/>
    <w:rsid w:val="003E048B"/>
    <w:rsid w:val="003F07EB"/>
    <w:rsid w:val="004123AE"/>
    <w:rsid w:val="00441166"/>
    <w:rsid w:val="00441744"/>
    <w:rsid w:val="00447FE3"/>
    <w:rsid w:val="00470C3F"/>
    <w:rsid w:val="00483A78"/>
    <w:rsid w:val="004936E7"/>
    <w:rsid w:val="004B1B12"/>
    <w:rsid w:val="004D2AF1"/>
    <w:rsid w:val="004D7CDE"/>
    <w:rsid w:val="004E0548"/>
    <w:rsid w:val="004E4898"/>
    <w:rsid w:val="004E638C"/>
    <w:rsid w:val="00502827"/>
    <w:rsid w:val="00506086"/>
    <w:rsid w:val="005120AA"/>
    <w:rsid w:val="00514227"/>
    <w:rsid w:val="00514895"/>
    <w:rsid w:val="0053433D"/>
    <w:rsid w:val="0053628E"/>
    <w:rsid w:val="005550A6"/>
    <w:rsid w:val="005604D0"/>
    <w:rsid w:val="00571482"/>
    <w:rsid w:val="00572033"/>
    <w:rsid w:val="00577622"/>
    <w:rsid w:val="00577C97"/>
    <w:rsid w:val="005F1F8F"/>
    <w:rsid w:val="006119E3"/>
    <w:rsid w:val="00616F5C"/>
    <w:rsid w:val="0065519A"/>
    <w:rsid w:val="0066089F"/>
    <w:rsid w:val="00667FBB"/>
    <w:rsid w:val="0069019D"/>
    <w:rsid w:val="006C7A8D"/>
    <w:rsid w:val="006D0935"/>
    <w:rsid w:val="006D457A"/>
    <w:rsid w:val="006D630C"/>
    <w:rsid w:val="006F4537"/>
    <w:rsid w:val="006F78D7"/>
    <w:rsid w:val="007109F2"/>
    <w:rsid w:val="007113E0"/>
    <w:rsid w:val="00715E34"/>
    <w:rsid w:val="00726F46"/>
    <w:rsid w:val="0073434E"/>
    <w:rsid w:val="00734C70"/>
    <w:rsid w:val="00742F0B"/>
    <w:rsid w:val="00764D07"/>
    <w:rsid w:val="0078110E"/>
    <w:rsid w:val="007A4581"/>
    <w:rsid w:val="007B7408"/>
    <w:rsid w:val="00824E3C"/>
    <w:rsid w:val="00835297"/>
    <w:rsid w:val="008554E2"/>
    <w:rsid w:val="00864E64"/>
    <w:rsid w:val="0086683A"/>
    <w:rsid w:val="008679C1"/>
    <w:rsid w:val="00870CBC"/>
    <w:rsid w:val="0087774F"/>
    <w:rsid w:val="008A2E74"/>
    <w:rsid w:val="008D03F3"/>
    <w:rsid w:val="008F6BC4"/>
    <w:rsid w:val="00900397"/>
    <w:rsid w:val="0090274A"/>
    <w:rsid w:val="0091400A"/>
    <w:rsid w:val="00923FF3"/>
    <w:rsid w:val="009435A6"/>
    <w:rsid w:val="00946B79"/>
    <w:rsid w:val="00954680"/>
    <w:rsid w:val="00956FA2"/>
    <w:rsid w:val="00987ED1"/>
    <w:rsid w:val="00997BBC"/>
    <w:rsid w:val="009B7B6F"/>
    <w:rsid w:val="009C6716"/>
    <w:rsid w:val="009D0D87"/>
    <w:rsid w:val="009D15D6"/>
    <w:rsid w:val="009E7CC1"/>
    <w:rsid w:val="009F6655"/>
    <w:rsid w:val="00A06CE5"/>
    <w:rsid w:val="00A13948"/>
    <w:rsid w:val="00A205F9"/>
    <w:rsid w:val="00A53D4E"/>
    <w:rsid w:val="00A61D4B"/>
    <w:rsid w:val="00A70847"/>
    <w:rsid w:val="00AD07D9"/>
    <w:rsid w:val="00AD31C8"/>
    <w:rsid w:val="00AD6FD9"/>
    <w:rsid w:val="00AE5D34"/>
    <w:rsid w:val="00AF4474"/>
    <w:rsid w:val="00AF65D0"/>
    <w:rsid w:val="00AF7BFA"/>
    <w:rsid w:val="00B02961"/>
    <w:rsid w:val="00B100B3"/>
    <w:rsid w:val="00B21CDA"/>
    <w:rsid w:val="00B22FFF"/>
    <w:rsid w:val="00B56D48"/>
    <w:rsid w:val="00B7028C"/>
    <w:rsid w:val="00B84E48"/>
    <w:rsid w:val="00B84F9F"/>
    <w:rsid w:val="00BA34DF"/>
    <w:rsid w:val="00BA4F33"/>
    <w:rsid w:val="00BB592D"/>
    <w:rsid w:val="00BD3167"/>
    <w:rsid w:val="00BD4462"/>
    <w:rsid w:val="00C05383"/>
    <w:rsid w:val="00C11629"/>
    <w:rsid w:val="00C13292"/>
    <w:rsid w:val="00C16275"/>
    <w:rsid w:val="00C37F6A"/>
    <w:rsid w:val="00C4635B"/>
    <w:rsid w:val="00C663A6"/>
    <w:rsid w:val="00C77426"/>
    <w:rsid w:val="00C92240"/>
    <w:rsid w:val="00CA4A04"/>
    <w:rsid w:val="00CB1E13"/>
    <w:rsid w:val="00CB687C"/>
    <w:rsid w:val="00CD1554"/>
    <w:rsid w:val="00CD4AA1"/>
    <w:rsid w:val="00CD6114"/>
    <w:rsid w:val="00CD6355"/>
    <w:rsid w:val="00CE1A7A"/>
    <w:rsid w:val="00CE2139"/>
    <w:rsid w:val="00CF3EA1"/>
    <w:rsid w:val="00CF4ED6"/>
    <w:rsid w:val="00D02674"/>
    <w:rsid w:val="00D0284A"/>
    <w:rsid w:val="00D060F2"/>
    <w:rsid w:val="00D16B32"/>
    <w:rsid w:val="00D61D6F"/>
    <w:rsid w:val="00D72EE5"/>
    <w:rsid w:val="00D77E6D"/>
    <w:rsid w:val="00D922AA"/>
    <w:rsid w:val="00DB0B08"/>
    <w:rsid w:val="00DB18AA"/>
    <w:rsid w:val="00DC6B74"/>
    <w:rsid w:val="00DF1E94"/>
    <w:rsid w:val="00E11831"/>
    <w:rsid w:val="00E20340"/>
    <w:rsid w:val="00E42BEB"/>
    <w:rsid w:val="00E5167D"/>
    <w:rsid w:val="00E570C2"/>
    <w:rsid w:val="00E61674"/>
    <w:rsid w:val="00E70EA4"/>
    <w:rsid w:val="00E729BB"/>
    <w:rsid w:val="00E773DD"/>
    <w:rsid w:val="00E83734"/>
    <w:rsid w:val="00EB62CB"/>
    <w:rsid w:val="00ED4544"/>
    <w:rsid w:val="00ED65A7"/>
    <w:rsid w:val="00EE385E"/>
    <w:rsid w:val="00EF44F8"/>
    <w:rsid w:val="00EF7F0C"/>
    <w:rsid w:val="00F02DFE"/>
    <w:rsid w:val="00F42AF3"/>
    <w:rsid w:val="00F44B13"/>
    <w:rsid w:val="00F46F01"/>
    <w:rsid w:val="00F66A2B"/>
    <w:rsid w:val="00F7144E"/>
    <w:rsid w:val="00F81A5A"/>
    <w:rsid w:val="00F82D41"/>
    <w:rsid w:val="00F8575B"/>
    <w:rsid w:val="00F92B60"/>
    <w:rsid w:val="00FA4678"/>
    <w:rsid w:val="00FB5208"/>
    <w:rsid w:val="00FC113A"/>
    <w:rsid w:val="00FD11D6"/>
    <w:rsid w:val="00FD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7EB8DA"/>
  <w15:docId w15:val="{9EDAD177-07EF-4557-AE4D-8FB2D74B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95"/>
    <w:rPr>
      <w:rFonts w:ascii="Tahoma" w:hAnsi="Tahoma" w:cs="Tahoma"/>
      <w:sz w:val="16"/>
      <w:szCs w:val="16"/>
    </w:rPr>
  </w:style>
  <w:style w:type="paragraph" w:styleId="ListParagraph">
    <w:name w:val="List Paragraph"/>
    <w:basedOn w:val="Normal"/>
    <w:uiPriority w:val="34"/>
    <w:qFormat/>
    <w:rsid w:val="00764D07"/>
    <w:pPr>
      <w:widowControl/>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61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F5C"/>
  </w:style>
  <w:style w:type="paragraph" w:styleId="Footer">
    <w:name w:val="footer"/>
    <w:basedOn w:val="Normal"/>
    <w:link w:val="FooterChar"/>
    <w:uiPriority w:val="99"/>
    <w:unhideWhenUsed/>
    <w:rsid w:val="0061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F5C"/>
  </w:style>
  <w:style w:type="character" w:customStyle="1" w:styleId="ustltrhead">
    <w:name w:val="ustltrhead"/>
    <w:rsid w:val="00B7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07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19AA-5299-4A32-BB20-8BAAF2CC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- 2016_01_12_Ltr to RWQCB re AME Site Closure</vt:lpstr>
    </vt:vector>
  </TitlesOfParts>
  <Company>SWRCB</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- 2016_01_12_Ltr to RWQCB re AME Site Closure</dc:title>
  <dc:creator>JKeener</dc:creator>
  <cp:lastModifiedBy>Sheehan, Caryl@Waterboards</cp:lastModifiedBy>
  <cp:revision>7</cp:revision>
  <cp:lastPrinted>2018-12-03T15:59:00Z</cp:lastPrinted>
  <dcterms:created xsi:type="dcterms:W3CDTF">2019-01-15T16:58:00Z</dcterms:created>
  <dcterms:modified xsi:type="dcterms:W3CDTF">2019-01-28T23:00:00Z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LastSaved">
    <vt:filetime>2016-02-18T00:00:00Z</vt:filetime>
  </property>
</Properties>
</file>