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02F2C" w14:textId="55999089" w:rsidR="00025F60" w:rsidRPr="00025F60" w:rsidRDefault="00836115" w:rsidP="00C91332">
      <w:pPr>
        <w:pStyle w:val="Heading1"/>
        <w:jc w:val="center"/>
        <w:rPr>
          <w:b/>
          <w:bCs/>
        </w:rPr>
      </w:pPr>
      <w:r>
        <w:rPr>
          <w:b/>
          <w:bCs/>
        </w:rPr>
        <w:t xml:space="preserve">New </w:t>
      </w:r>
      <w:r w:rsidR="00025F60" w:rsidRPr="00025F60">
        <w:rPr>
          <w:b/>
          <w:bCs/>
        </w:rPr>
        <w:t>Legislation Consolidat</w:t>
      </w:r>
      <w:r w:rsidR="00C91332">
        <w:rPr>
          <w:b/>
          <w:bCs/>
        </w:rPr>
        <w:t>es</w:t>
      </w:r>
      <w:r w:rsidR="00025F60" w:rsidRPr="00025F60">
        <w:rPr>
          <w:b/>
          <w:bCs/>
        </w:rPr>
        <w:t xml:space="preserve"> All Water Use Reporting Periods</w:t>
      </w:r>
      <w:r>
        <w:rPr>
          <w:b/>
          <w:bCs/>
        </w:rPr>
        <w:t xml:space="preserve"> and Due Dates</w:t>
      </w:r>
    </w:p>
    <w:p w14:paraId="07FB4848" w14:textId="29F6AB8F" w:rsidR="00025F60" w:rsidRDefault="00025F60"/>
    <w:p w14:paraId="7205C591" w14:textId="30EEDFA3" w:rsidR="004031AB" w:rsidRDefault="00C13E4F" w:rsidP="00836115">
      <w:r w:rsidRPr="00C13E4F">
        <w:t>S</w:t>
      </w:r>
      <w:r w:rsidR="009103B4">
        <w:t xml:space="preserve">enate </w:t>
      </w:r>
      <w:r w:rsidRPr="00C13E4F">
        <w:t>B</w:t>
      </w:r>
      <w:r w:rsidR="009103B4">
        <w:t>ill</w:t>
      </w:r>
      <w:r w:rsidRPr="00C13E4F">
        <w:t xml:space="preserve"> 155 was passed by the California </w:t>
      </w:r>
      <w:r w:rsidR="000B4E8C">
        <w:t>L</w:t>
      </w:r>
      <w:r w:rsidR="000B4E8C" w:rsidRPr="00C13E4F">
        <w:t xml:space="preserve">egislature </w:t>
      </w:r>
      <w:r w:rsidRPr="00C13E4F">
        <w:t xml:space="preserve">on September </w:t>
      </w:r>
      <w:r w:rsidR="009103B4">
        <w:t>9</w:t>
      </w:r>
      <w:r w:rsidRPr="00C13E4F">
        <w:t>, 2021 and signed into law by Governor Newsom on September 23</w:t>
      </w:r>
      <w:r w:rsidRPr="00836115">
        <w:rPr>
          <w:vertAlign w:val="superscript"/>
        </w:rPr>
        <w:t>rd</w:t>
      </w:r>
      <w:r w:rsidRPr="00C13E4F">
        <w:t xml:space="preserve">.  As a </w:t>
      </w:r>
      <w:r w:rsidR="009103B4">
        <w:t xml:space="preserve">budget </w:t>
      </w:r>
      <w:r w:rsidRPr="00C13E4F">
        <w:t xml:space="preserve">trailer bill, the new law is effective immediately.  </w:t>
      </w:r>
      <w:r w:rsidR="009103B4">
        <w:t>Provisions in SB 155</w:t>
      </w:r>
      <w:r w:rsidRPr="00C13E4F">
        <w:t xml:space="preserve"> consolidate all water use reporting periods, for all types of water rights, to the standard Water Year (October 1 through September 30).  Further, the new law consolidates the due dates for all water use reports to February 1 of the ensuing year.  The new law also provides a protocol for the transition to the new periods and due dates.  </w:t>
      </w:r>
    </w:p>
    <w:p w14:paraId="621EAB62" w14:textId="7D284A75" w:rsidR="004031AB" w:rsidRDefault="004031AB" w:rsidP="00836115"/>
    <w:p w14:paraId="1540DEA2" w14:textId="74A9B7ED" w:rsidR="00C22451" w:rsidRDefault="00C13E4F" w:rsidP="00836115">
      <w:r w:rsidRPr="00C13E4F">
        <w:t xml:space="preserve">The tables </w:t>
      </w:r>
      <w:r w:rsidR="00836115">
        <w:t>below</w:t>
      </w:r>
      <w:r w:rsidRPr="00C13E4F">
        <w:t xml:space="preserve"> provide a visual depiction of the changes and transition.  The left table shows the months during which water use is to be reported.  Note the nine-month </w:t>
      </w:r>
      <w:r w:rsidR="00836115">
        <w:t>“</w:t>
      </w:r>
      <w:r w:rsidRPr="00C13E4F">
        <w:t>stub period" for reporting water use between January 1 and September 30, 2021.  The right table identifies the due date for each reporting period.  The color shading of the reporting periods in the left table correspond to the shading for each of the dates on which reports are due in the right table.  Water use reports for calendar year 2020 (unaffected by the new law) were due in April/July of 2021.  Use during January thru September 2021 (the stub period) will be reported by April 1, 2022 for both Reports of Licensee and Statements of Diversion and Use.  Reports of water use during the Water Year beginning October 1, 2021 and ending September 2022 will be reported by February 1, 2023.  For Water Years thereafter, all reports of water use are due the following February 1.</w:t>
      </w:r>
      <w:r w:rsidR="00B61FFE">
        <w:br/>
      </w:r>
    </w:p>
    <w:p w14:paraId="6863E453" w14:textId="04A66963" w:rsidR="00385F6C" w:rsidRDefault="00836115" w:rsidP="00385F6C">
      <w:pPr>
        <w:ind w:firstLine="720"/>
        <w:rPr>
          <w:rFonts w:cs="Arial"/>
          <w:b/>
          <w:bCs/>
          <w:color w:val="000000"/>
          <w:sz w:val="28"/>
          <w:szCs w:val="28"/>
        </w:rPr>
      </w:pPr>
      <w:r w:rsidRPr="00836115">
        <w:rPr>
          <w:rFonts w:cs="Arial"/>
          <w:b/>
          <w:bCs/>
          <w:color w:val="000000"/>
          <w:sz w:val="28"/>
          <w:szCs w:val="28"/>
        </w:rPr>
        <w:t>Water Use Reporting</w:t>
      </w:r>
      <w:r w:rsidR="00AD0BC6">
        <w:rPr>
          <w:rFonts w:cs="Arial"/>
          <w:b/>
          <w:bCs/>
          <w:color w:val="000000"/>
          <w:sz w:val="28"/>
          <w:szCs w:val="28"/>
        </w:rPr>
        <w:t xml:space="preserve"> Periods  </w:t>
      </w:r>
      <w:r w:rsidRPr="00836115">
        <w:rPr>
          <w:rFonts w:cs="Arial"/>
          <w:b/>
          <w:bCs/>
          <w:color w:val="000000"/>
          <w:sz w:val="28"/>
          <w:szCs w:val="28"/>
        </w:rPr>
        <w:t xml:space="preserve"> </w:t>
      </w:r>
      <w:r w:rsidR="00AD0BC6">
        <w:rPr>
          <w:rFonts w:cs="Arial"/>
          <w:b/>
          <w:bCs/>
          <w:color w:val="000000"/>
          <w:sz w:val="28"/>
          <w:szCs w:val="28"/>
        </w:rPr>
        <w:tab/>
      </w:r>
      <w:r w:rsidR="00AD0BC6">
        <w:rPr>
          <w:rFonts w:cs="Arial"/>
          <w:b/>
          <w:bCs/>
          <w:color w:val="000000"/>
          <w:sz w:val="28"/>
          <w:szCs w:val="28"/>
        </w:rPr>
        <w:tab/>
      </w:r>
      <w:r w:rsidR="00385F6C">
        <w:rPr>
          <w:rFonts w:cs="Arial"/>
          <w:b/>
          <w:bCs/>
          <w:color w:val="000000"/>
          <w:sz w:val="28"/>
          <w:szCs w:val="28"/>
        </w:rPr>
        <w:tab/>
      </w:r>
      <w:r w:rsidR="00385F6C">
        <w:rPr>
          <w:rFonts w:cs="Arial"/>
          <w:b/>
          <w:bCs/>
          <w:color w:val="000000"/>
          <w:sz w:val="28"/>
          <w:szCs w:val="28"/>
        </w:rPr>
        <w:tab/>
      </w:r>
      <w:r w:rsidR="00385F6C">
        <w:rPr>
          <w:rFonts w:cs="Arial"/>
          <w:b/>
          <w:bCs/>
          <w:color w:val="000000"/>
          <w:sz w:val="28"/>
          <w:szCs w:val="28"/>
        </w:rPr>
        <w:tab/>
      </w:r>
      <w:r w:rsidR="00385F6C">
        <w:rPr>
          <w:rFonts w:cs="Arial"/>
          <w:b/>
          <w:bCs/>
          <w:color w:val="000000"/>
          <w:sz w:val="28"/>
          <w:szCs w:val="28"/>
        </w:rPr>
        <w:tab/>
        <w:t>Report Due Dates</w:t>
      </w:r>
      <w:r w:rsidR="00385F6C">
        <w:rPr>
          <w:rFonts w:cs="Arial"/>
          <w:b/>
          <w:bCs/>
          <w:color w:val="000000"/>
          <w:sz w:val="28"/>
          <w:szCs w:val="28"/>
        </w:rPr>
        <w:br/>
      </w:r>
    </w:p>
    <w:p w14:paraId="3EFF87BF" w14:textId="49080A67" w:rsidR="00BA4F7A" w:rsidRDefault="009D4843" w:rsidP="00385F6C">
      <w:pPr>
        <w:ind w:left="1440"/>
      </w:pPr>
      <w:r>
        <w:rPr>
          <w:noProof/>
        </w:rPr>
        <w:drawing>
          <wp:inline distT="0" distB="0" distL="0" distR="0" wp14:anchorId="5483E5B6" wp14:editId="0FA9BB4A">
            <wp:extent cx="4210638" cy="2600688"/>
            <wp:effectExtent l="0" t="0" r="0" b="9525"/>
            <wp:docPr id="5" name="Picture 5" descr="The reporting period due dates are as follows: Water diverted January through December 2020 are due April 1, 2021 (Reports of Licensee) and July 1, 2021 (Statements of Diversion and Use); Water diverted January through September 2021 are due April 1, 2022 (this is the first unified reporting for the nine-month transition stub period); Water diverted October 2021 through September 2022 are due February 1, 2023 (first full water year in unified reporting where the reporting transition is complete, and the first reports able to be filed using the Delta ACP occur); Water diverted October 2022 through September 2023 are due February 1, 2024 (this is the second full water year in unified 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reporting period due dates are as follows: Water diverted January through December 2020 are due April 1, 2021 (Reports of Licensee) and July 1, 2021 (Statements of Diversion and Use); Water diverted January through September 2021 are due April 1, 2022 (this is the first unified reporting for the nine-month transition stub period); Water diverted October 2021 through September 2022 are due February 1, 2023 (first full water year in unified reporting where the reporting transition is complete, and the first reports able to be filed using the Delta ACP occur); Water diverted October 2022 through September 2023 are due February 1, 2024 (this is the second full water year in unified reporting)."/>
                    <pic:cNvPicPr/>
                  </pic:nvPicPr>
                  <pic:blipFill>
                    <a:blip r:embed="rId6">
                      <a:extLst>
                        <a:ext uri="{28A0092B-C50C-407E-A947-70E740481C1C}">
                          <a14:useLocalDpi xmlns:a14="http://schemas.microsoft.com/office/drawing/2010/main" val="0"/>
                        </a:ext>
                      </a:extLst>
                    </a:blip>
                    <a:stretch>
                      <a:fillRect/>
                    </a:stretch>
                  </pic:blipFill>
                  <pic:spPr>
                    <a:xfrm>
                      <a:off x="0" y="0"/>
                      <a:ext cx="4210638" cy="2600688"/>
                    </a:xfrm>
                    <a:prstGeom prst="rect">
                      <a:avLst/>
                    </a:prstGeom>
                  </pic:spPr>
                </pic:pic>
              </a:graphicData>
            </a:graphic>
          </wp:inline>
        </w:drawing>
      </w:r>
      <w:r w:rsidR="007E0737">
        <w:rPr>
          <w:noProof/>
        </w:rPr>
        <mc:AlternateContent>
          <mc:Choice Requires="wps">
            <w:drawing>
              <wp:anchor distT="45720" distB="45720" distL="114300" distR="114300" simplePos="0" relativeHeight="251667456" behindDoc="0" locked="0" layoutInCell="1" allowOverlap="1" wp14:anchorId="7B0089C0" wp14:editId="40A46FC8">
                <wp:simplePos x="0" y="0"/>
                <wp:positionH relativeFrom="column">
                  <wp:posOffset>4190365</wp:posOffset>
                </wp:positionH>
                <wp:positionV relativeFrom="page">
                  <wp:posOffset>6972300</wp:posOffset>
                </wp:positionV>
                <wp:extent cx="3477895" cy="557530"/>
                <wp:effectExtent l="0" t="0" r="825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557530"/>
                        </a:xfrm>
                        <a:prstGeom prst="rect">
                          <a:avLst/>
                        </a:prstGeom>
                        <a:solidFill>
                          <a:srgbClr val="FFFFFF"/>
                        </a:solidFill>
                        <a:ln w="9525">
                          <a:noFill/>
                          <a:miter lim="800000"/>
                          <a:headEnd/>
                          <a:tailEnd/>
                        </a:ln>
                      </wps:spPr>
                      <wps:txbx>
                        <w:txbxContent>
                          <w:p w14:paraId="29E20008" w14:textId="576D51CA" w:rsidR="00C22451" w:rsidRPr="00385F6C" w:rsidRDefault="00C22451">
                            <w:r w:rsidRPr="00385F6C">
                              <w:t>Created by</w:t>
                            </w:r>
                            <w:r w:rsidR="00CE3554">
                              <w:t>:</w:t>
                            </w:r>
                            <w:r w:rsidRPr="00385F6C">
                              <w:t xml:space="preserve"> Lindsay Kammeier</w:t>
                            </w:r>
                            <w:r w:rsidRPr="00385F6C">
                              <w:br/>
                            </w:r>
                            <w:r w:rsidR="007E0737">
                              <w:t xml:space="preserve">Email: </w:t>
                            </w:r>
                            <w:r w:rsidRPr="00385F6C">
                              <w:t>Lindsay.kammeier@waterboards.ca.gov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0089C0" id="_x0000_t202" coordsize="21600,21600" o:spt="202" path="m,l,21600r21600,l21600,xe">
                <v:stroke joinstyle="miter"/>
                <v:path gradientshapeok="t" o:connecttype="rect"/>
              </v:shapetype>
              <v:shape id="Text Box 2" o:spid="_x0000_s1026" type="#_x0000_t202" style="position:absolute;left:0;text-align:left;margin-left:329.95pt;margin-top:549pt;width:273.85pt;height:43.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" stroked="f">
                <v:textbox>
                  <w:txbxContent>
                    <w:p w14:paraId="29E20008" w14:textId="576D51CA" w:rsidR="00C22451" w:rsidRPr="00385F6C" w:rsidRDefault="00C22451">
                      <w:r w:rsidRPr="00385F6C">
                        <w:t>Created by</w:t>
                      </w:r>
                      <w:r w:rsidR="00CE3554">
                        <w:t>:</w:t>
                      </w:r>
                      <w:r w:rsidRPr="00385F6C">
                        <w:t xml:space="preserve"> Lindsay Kammeier</w:t>
                      </w:r>
                      <w:r w:rsidRPr="00385F6C">
                        <w:br/>
                      </w:r>
                      <w:r w:rsidR="007E0737">
                        <w:t xml:space="preserve">Email: </w:t>
                      </w:r>
                      <w:r w:rsidRPr="00385F6C">
                        <w:t>Lindsay.kammeier@waterboards.ca.gov</w:t>
                      </w:r>
                    </w:p>
                  </w:txbxContent>
                </v:textbox>
                <w10:wrap type="square" anchory="page"/>
              </v:shape>
            </w:pict>
          </mc:Fallback>
        </mc:AlternateContent>
      </w:r>
      <w:r w:rsidR="007A1546">
        <w:rPr>
          <w:noProof/>
        </w:rPr>
        <w:drawing>
          <wp:anchor distT="0" distB="0" distL="114300" distR="114300" simplePos="0" relativeHeight="251664384" behindDoc="0" locked="0" layoutInCell="1" allowOverlap="1" wp14:anchorId="2454B20D" wp14:editId="1FA237DF">
            <wp:simplePos x="0" y="0"/>
            <wp:positionH relativeFrom="column">
              <wp:posOffset>-419735</wp:posOffset>
            </wp:positionH>
            <wp:positionV relativeFrom="paragraph">
              <wp:posOffset>-1905</wp:posOffset>
            </wp:positionV>
            <wp:extent cx="4276725" cy="2600325"/>
            <wp:effectExtent l="0" t="0" r="9525" b="9525"/>
            <wp:wrapSquare wrapText="bothSides"/>
            <wp:docPr id="4" name="Picture 4" descr="Two related charts providing a visual depiction of changes and transition timelines for Unified Water Use Reporting. The left chart (covering years 2020 through 2023) indicates the months during which water use is to be reported, while the right table (covering years 2021 through 2024) identifies the due date(s) for each reporting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wo related charts providing a visual depiction of changes and transition timelines for Unified Water Use Reporting. The left chart (covering years 2020 through 2023) indicates the months during which water use is to be reported, while the right table (covering years 2021 through 2024) identifies the due date(s) for each reporting period."/>
                    <pic:cNvPicPr/>
                  </pic:nvPicPr>
                  <pic:blipFill>
                    <a:blip r:embed="rId7">
                      <a:extLst>
                        <a:ext uri="{28A0092B-C50C-407E-A947-70E740481C1C}">
                          <a14:useLocalDpi xmlns:a14="http://schemas.microsoft.com/office/drawing/2010/main" val="0"/>
                        </a:ext>
                      </a:extLst>
                    </a:blip>
                    <a:stretch>
                      <a:fillRect/>
                    </a:stretch>
                  </pic:blipFill>
                  <pic:spPr>
                    <a:xfrm>
                      <a:off x="0" y="0"/>
                      <a:ext cx="4276725" cy="2600325"/>
                    </a:xfrm>
                    <a:prstGeom prst="rect">
                      <a:avLst/>
                    </a:prstGeom>
                  </pic:spPr>
                </pic:pic>
              </a:graphicData>
            </a:graphic>
            <wp14:sizeRelH relativeFrom="page">
              <wp14:pctWidth>0</wp14:pctWidth>
            </wp14:sizeRelH>
            <wp14:sizeRelV relativeFrom="page">
              <wp14:pctHeight>0</wp14:pctHeight>
            </wp14:sizeRelV>
          </wp:anchor>
        </w:drawing>
      </w:r>
      <w:r w:rsidR="00385F6C">
        <w:rPr>
          <w:b/>
          <w:bCs/>
          <w:noProof/>
        </w:rPr>
        <w:drawing>
          <wp:anchor distT="0" distB="0" distL="114300" distR="114300" simplePos="0" relativeHeight="251665408" behindDoc="0" locked="0" layoutInCell="1" allowOverlap="1" wp14:anchorId="4BA24914" wp14:editId="194B7B7B">
            <wp:simplePos x="0" y="0"/>
            <wp:positionH relativeFrom="column">
              <wp:posOffset>7848468</wp:posOffset>
            </wp:positionH>
            <wp:positionV relativeFrom="paragraph">
              <wp:posOffset>2691122</wp:posOffset>
            </wp:positionV>
            <wp:extent cx="914400" cy="633752"/>
            <wp:effectExtent l="19050" t="19050" r="19050" b="13970"/>
            <wp:wrapNone/>
            <wp:docPr id="1" name="Picture 1" descr="Water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 Board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633752"/>
                    </a:xfrm>
                    <a:prstGeom prst="rect">
                      <a:avLst/>
                    </a:prstGeom>
                    <a:ln w="12700">
                      <a:solidFill>
                        <a:schemeClr val="accent1">
                          <a:lumMod val="75000"/>
                        </a:schemeClr>
                      </a:solidFill>
                    </a:ln>
                  </pic:spPr>
                </pic:pic>
              </a:graphicData>
            </a:graphic>
            <wp14:sizeRelH relativeFrom="page">
              <wp14:pctWidth>0</wp14:pctWidth>
            </wp14:sizeRelH>
            <wp14:sizeRelV relativeFrom="page">
              <wp14:pctHeight>0</wp14:pctHeight>
            </wp14:sizeRelV>
          </wp:anchor>
        </w:drawing>
      </w:r>
      <w:r w:rsidR="00AD0BC6">
        <w:rPr>
          <w:rFonts w:cs="Arial"/>
          <w:b/>
          <w:bCs/>
          <w:color w:val="000000"/>
          <w:sz w:val="28"/>
          <w:szCs w:val="28"/>
        </w:rPr>
        <w:tab/>
      </w:r>
      <w:r w:rsidR="00AD0BC6">
        <w:rPr>
          <w:rFonts w:cs="Arial"/>
          <w:b/>
          <w:bCs/>
          <w:color w:val="000000"/>
          <w:sz w:val="28"/>
          <w:szCs w:val="28"/>
        </w:rPr>
        <w:tab/>
      </w:r>
      <w:r w:rsidR="00C22451">
        <w:rPr>
          <w:rFonts w:cs="Arial"/>
          <w:b/>
          <w:bCs/>
          <w:color w:val="000000"/>
          <w:sz w:val="28"/>
          <w:szCs w:val="28"/>
        </w:rPr>
        <w:t xml:space="preserve">       </w:t>
      </w:r>
    </w:p>
    <w:sectPr w:rsidR="00BA4F7A" w:rsidSect="00385F6C">
      <w:headerReference w:type="even" r:id="rId9"/>
      <w:headerReference w:type="default" r:id="rId10"/>
      <w:footerReference w:type="even" r:id="rId11"/>
      <w:footerReference w:type="default" r:id="rId12"/>
      <w:headerReference w:type="first" r:id="rId13"/>
      <w:footerReference w:type="first" r:id="rId14"/>
      <w:pgSz w:w="15840" w:h="12240" w:orient="landscape"/>
      <w:pgMar w:top="576" w:right="72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22A46" w14:textId="77777777" w:rsidR="00CC5070" w:rsidRDefault="00CC5070" w:rsidP="00A93050">
      <w:r>
        <w:separator/>
      </w:r>
    </w:p>
  </w:endnote>
  <w:endnote w:type="continuationSeparator" w:id="0">
    <w:p w14:paraId="1C565820" w14:textId="77777777" w:rsidR="00CC5070" w:rsidRDefault="00CC5070" w:rsidP="00A9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8D643" w14:textId="77777777" w:rsidR="00A93050" w:rsidRDefault="00A9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D0A95" w14:textId="77777777" w:rsidR="00A93050" w:rsidRDefault="00A93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E45B2" w14:textId="77777777" w:rsidR="00A93050" w:rsidRDefault="00A93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FEAA0" w14:textId="77777777" w:rsidR="00CC5070" w:rsidRDefault="00CC5070" w:rsidP="00A93050">
      <w:r>
        <w:separator/>
      </w:r>
    </w:p>
  </w:footnote>
  <w:footnote w:type="continuationSeparator" w:id="0">
    <w:p w14:paraId="21675995" w14:textId="77777777" w:rsidR="00CC5070" w:rsidRDefault="00CC5070" w:rsidP="00A9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7E783" w14:textId="77777777" w:rsidR="00A93050" w:rsidRDefault="00A93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06315" w14:textId="7872A2A2" w:rsidR="00A93050" w:rsidRDefault="00A93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95B41" w14:textId="77777777" w:rsidR="00A93050" w:rsidRDefault="00A93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4F"/>
    <w:rsid w:val="00025F60"/>
    <w:rsid w:val="00067891"/>
    <w:rsid w:val="000B4E8C"/>
    <w:rsid w:val="000D3EF7"/>
    <w:rsid w:val="001169F3"/>
    <w:rsid w:val="001249B9"/>
    <w:rsid w:val="0019245A"/>
    <w:rsid w:val="001949C9"/>
    <w:rsid w:val="002647F7"/>
    <w:rsid w:val="00385F6C"/>
    <w:rsid w:val="003E0CC0"/>
    <w:rsid w:val="004031AB"/>
    <w:rsid w:val="0041708A"/>
    <w:rsid w:val="00450D39"/>
    <w:rsid w:val="004A6C71"/>
    <w:rsid w:val="00585D94"/>
    <w:rsid w:val="005D41D0"/>
    <w:rsid w:val="005F04DB"/>
    <w:rsid w:val="00607DBF"/>
    <w:rsid w:val="006217C9"/>
    <w:rsid w:val="00667D13"/>
    <w:rsid w:val="006B189D"/>
    <w:rsid w:val="006C0A07"/>
    <w:rsid w:val="00713E2B"/>
    <w:rsid w:val="00794525"/>
    <w:rsid w:val="007A1546"/>
    <w:rsid w:val="007E0737"/>
    <w:rsid w:val="00806067"/>
    <w:rsid w:val="00836115"/>
    <w:rsid w:val="00857D2E"/>
    <w:rsid w:val="008702A2"/>
    <w:rsid w:val="009103B4"/>
    <w:rsid w:val="00961E46"/>
    <w:rsid w:val="00990440"/>
    <w:rsid w:val="009D4843"/>
    <w:rsid w:val="009F5E3E"/>
    <w:rsid w:val="00A871C3"/>
    <w:rsid w:val="00A93050"/>
    <w:rsid w:val="00AD0BC6"/>
    <w:rsid w:val="00B2327C"/>
    <w:rsid w:val="00B61FFE"/>
    <w:rsid w:val="00BA4F7A"/>
    <w:rsid w:val="00C13E4F"/>
    <w:rsid w:val="00C22451"/>
    <w:rsid w:val="00C22D17"/>
    <w:rsid w:val="00C91332"/>
    <w:rsid w:val="00CC5070"/>
    <w:rsid w:val="00CE3554"/>
    <w:rsid w:val="00D77758"/>
    <w:rsid w:val="00D83A96"/>
    <w:rsid w:val="00E33AB7"/>
    <w:rsid w:val="00E8508C"/>
    <w:rsid w:val="00EA0ACB"/>
    <w:rsid w:val="00ED5A72"/>
    <w:rsid w:val="00F87D88"/>
    <w:rsid w:val="00FF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85A53"/>
  <w15:chartTrackingRefBased/>
  <w15:docId w15:val="{49143144-7942-4F54-A129-86A650C4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2E"/>
    <w:pPr>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857D2E"/>
    <w:pPr>
      <w:keepNext/>
      <w:keepLines/>
      <w:spacing w:before="24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D2E"/>
    <w:rPr>
      <w:rFonts w:ascii="Arial" w:eastAsiaTheme="majorEastAsia" w:hAnsi="Arial" w:cstheme="majorBidi"/>
      <w:sz w:val="28"/>
      <w:szCs w:val="32"/>
    </w:rPr>
  </w:style>
  <w:style w:type="paragraph" w:styleId="BalloonText">
    <w:name w:val="Balloon Text"/>
    <w:basedOn w:val="Normal"/>
    <w:link w:val="BalloonTextChar"/>
    <w:uiPriority w:val="99"/>
    <w:semiHidden/>
    <w:unhideWhenUsed/>
    <w:rsid w:val="00194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9C9"/>
    <w:rPr>
      <w:rFonts w:ascii="Segoe UI" w:hAnsi="Segoe UI" w:cs="Segoe UI"/>
      <w:sz w:val="18"/>
      <w:szCs w:val="18"/>
    </w:rPr>
  </w:style>
  <w:style w:type="paragraph" w:styleId="Header">
    <w:name w:val="header"/>
    <w:basedOn w:val="Normal"/>
    <w:link w:val="HeaderChar"/>
    <w:uiPriority w:val="99"/>
    <w:unhideWhenUsed/>
    <w:rsid w:val="00A93050"/>
    <w:pPr>
      <w:tabs>
        <w:tab w:val="center" w:pos="4680"/>
        <w:tab w:val="right" w:pos="9360"/>
      </w:tabs>
    </w:pPr>
  </w:style>
  <w:style w:type="character" w:customStyle="1" w:styleId="HeaderChar">
    <w:name w:val="Header Char"/>
    <w:basedOn w:val="DefaultParagraphFont"/>
    <w:link w:val="Header"/>
    <w:uiPriority w:val="99"/>
    <w:rsid w:val="00A93050"/>
    <w:rPr>
      <w:rFonts w:ascii="Arial" w:hAnsi="Arial" w:cs="Times New Roman"/>
      <w:sz w:val="24"/>
      <w:szCs w:val="24"/>
    </w:rPr>
  </w:style>
  <w:style w:type="paragraph" w:styleId="Footer">
    <w:name w:val="footer"/>
    <w:basedOn w:val="Normal"/>
    <w:link w:val="FooterChar"/>
    <w:uiPriority w:val="99"/>
    <w:unhideWhenUsed/>
    <w:rsid w:val="00A93050"/>
    <w:pPr>
      <w:tabs>
        <w:tab w:val="center" w:pos="4680"/>
        <w:tab w:val="right" w:pos="9360"/>
      </w:tabs>
    </w:pPr>
  </w:style>
  <w:style w:type="character" w:customStyle="1" w:styleId="FooterChar">
    <w:name w:val="Footer Char"/>
    <w:basedOn w:val="DefaultParagraphFont"/>
    <w:link w:val="Footer"/>
    <w:uiPriority w:val="99"/>
    <w:rsid w:val="00A93050"/>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195187">
      <w:bodyDiv w:val="1"/>
      <w:marLeft w:val="0"/>
      <w:marRight w:val="0"/>
      <w:marTop w:val="0"/>
      <w:marBottom w:val="0"/>
      <w:divBdr>
        <w:top w:val="none" w:sz="0" w:space="0" w:color="auto"/>
        <w:left w:val="none" w:sz="0" w:space="0" w:color="auto"/>
        <w:bottom w:val="none" w:sz="0" w:space="0" w:color="auto"/>
        <w:right w:val="none" w:sz="0" w:space="0" w:color="auto"/>
      </w:divBdr>
    </w:div>
    <w:div w:id="1254440460">
      <w:bodyDiv w:val="1"/>
      <w:marLeft w:val="0"/>
      <w:marRight w:val="0"/>
      <w:marTop w:val="0"/>
      <w:marBottom w:val="0"/>
      <w:divBdr>
        <w:top w:val="none" w:sz="0" w:space="0" w:color="auto"/>
        <w:left w:val="none" w:sz="0" w:space="0" w:color="auto"/>
        <w:bottom w:val="none" w:sz="0" w:space="0" w:color="auto"/>
        <w:right w:val="none" w:sz="0" w:space="0" w:color="auto"/>
      </w:divBdr>
    </w:div>
    <w:div w:id="157824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 Legislation Consolidates All Water Use Reporting Periods and Due Dates</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Legislation Consolidates All Water Use Reporting Periods and Due Dates</dc:title>
  <dc:subject>New Legislation Consolidates All Water Use Reporting Periods and Due Dates</dc:subject>
  <dc:creator>SWRCB</dc:creator>
  <cp:keywords/>
  <dc:description/>
  <cp:lastModifiedBy>Baker, Jason@Waterboards</cp:lastModifiedBy>
  <cp:revision>2</cp:revision>
  <cp:lastPrinted>2021-10-18T20:38:00Z</cp:lastPrinted>
  <dcterms:created xsi:type="dcterms:W3CDTF">2021-10-28T18:19:00Z</dcterms:created>
  <dcterms:modified xsi:type="dcterms:W3CDTF">2021-10-28T18:19:00Z</dcterms:modified>
</cp:coreProperties>
</file>